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6"/>
          <w:szCs w:val="26"/>
        </w:rPr>
      </w:pPr>
      <w:bookmarkStart w:colFirst="0" w:colLast="0" w:name="_heading=h.gjdgxs" w:id="0"/>
      <w:bookmarkEnd w:id="0"/>
      <w:r w:rsidDel="00000000" w:rsidR="00000000" w:rsidRPr="00000000">
        <w:rPr>
          <w:rtl w:val="0"/>
        </w:rPr>
      </w:r>
    </w:p>
    <w:tbl>
      <w:tblPr>
        <w:tblStyle w:val="Table1"/>
        <w:tblW w:w="934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1137"/>
        <w:gridCol w:w="8211"/>
        <w:tblGridChange w:id="0">
          <w:tblGrid>
            <w:gridCol w:w="1137"/>
            <w:gridCol w:w="8211"/>
          </w:tblGrid>
        </w:tblGridChange>
      </w:tblGrid>
      <w:tr>
        <w:trPr>
          <w:trHeight w:val="434" w:hRule="atLeast"/>
        </w:trPr>
        <w:tc>
          <w:tcPr>
            <w:gridSpan w:val="2"/>
          </w:tcPr>
          <w:p w:rsidR="00000000" w:rsidDel="00000000" w:rsidP="00000000" w:rsidRDefault="00000000" w:rsidRPr="00000000" w14:paraId="00000002">
            <w:pPr>
              <w:jc w:val="center"/>
              <w:rPr>
                <w:b w:val="1"/>
              </w:rPr>
            </w:pPr>
            <w:r w:rsidDel="00000000" w:rsidR="00000000" w:rsidRPr="00000000">
              <w:rPr>
                <w:b w:val="1"/>
                <w:i w:val="0"/>
                <w:color w:val="c00000"/>
                <w:rtl w:val="0"/>
              </w:rPr>
              <w:t xml:space="preserve">BRAZIL</w:t>
            </w:r>
            <w:r w:rsidDel="00000000" w:rsidR="00000000" w:rsidRPr="00000000">
              <w:rPr>
                <w:rtl w:val="0"/>
              </w:rPr>
            </w:r>
          </w:p>
        </w:tc>
      </w:tr>
      <w:tr>
        <w:trPr>
          <w:trHeight w:val="955" w:hRule="atLeast"/>
        </w:trPr>
        <w:tc>
          <w:tcPr>
            <w:gridSpan w:val="2"/>
            <w:shd w:fill="f2f2f2" w:val="clear"/>
          </w:tcPr>
          <w:p w:rsidR="00000000" w:rsidDel="00000000" w:rsidP="00000000" w:rsidRDefault="00000000" w:rsidRPr="00000000" w14:paraId="00000004">
            <w:pPr>
              <w:ind w:right="15"/>
              <w:rPr>
                <w:b w:val="1"/>
              </w:rPr>
            </w:pPr>
            <w:r w:rsidDel="00000000" w:rsidR="00000000" w:rsidRPr="00000000">
              <w:rPr>
                <w:b w:val="1"/>
                <w:i w:val="0"/>
                <w:sz w:val="24"/>
                <w:szCs w:val="24"/>
                <w:rtl w:val="0"/>
              </w:rPr>
              <w:t xml:space="preserve">Superior Court of Justice – 2016</w:t>
            </w:r>
            <w:r w:rsidDel="00000000" w:rsidR="00000000" w:rsidRPr="00000000">
              <w:rPr>
                <w:rtl w:val="0"/>
              </w:rPr>
            </w:r>
          </w:p>
          <w:p w:rsidR="00000000" w:rsidDel="00000000" w:rsidP="00000000" w:rsidRDefault="00000000" w:rsidRPr="00000000" w14:paraId="00000005">
            <w:pPr>
              <w:rPr/>
            </w:pPr>
            <w:r w:rsidDel="00000000" w:rsidR="00000000" w:rsidRPr="00000000">
              <w:rPr>
                <w:i w:val="0"/>
                <w:sz w:val="24"/>
                <w:szCs w:val="24"/>
                <w:rtl w:val="0"/>
              </w:rPr>
              <w:t xml:space="preserve">Public Ministry v. Pandurata Alimentos LTDA </w:t>
            </w:r>
            <w:r w:rsidDel="00000000" w:rsidR="00000000" w:rsidRPr="00000000">
              <w:rPr>
                <w:rtl w:val="0"/>
              </w:rPr>
            </w:r>
          </w:p>
          <w:p w:rsidR="00000000" w:rsidDel="00000000" w:rsidP="00000000" w:rsidRDefault="00000000" w:rsidRPr="00000000" w14:paraId="00000006">
            <w:pPr>
              <w:rPr>
                <w:sz w:val="22"/>
                <w:szCs w:val="22"/>
              </w:rPr>
            </w:pPr>
            <w:r w:rsidDel="00000000" w:rsidR="00000000" w:rsidRPr="00000000">
              <w:rPr>
                <w:i w:val="0"/>
                <w:sz w:val="24"/>
                <w:szCs w:val="24"/>
                <w:rtl w:val="0"/>
              </w:rPr>
              <w:t xml:space="preserve">Advertising directed to children</w:t>
            </w:r>
            <w:r w:rsidDel="00000000" w:rsidR="00000000" w:rsidRPr="00000000">
              <w:rPr>
                <w:rtl w:val="0"/>
              </w:rPr>
            </w:r>
          </w:p>
        </w:tc>
      </w:tr>
      <w:tr>
        <w:trPr>
          <w:trHeight w:val="665" w:hRule="atLeast"/>
        </w:trPr>
        <w:tc>
          <w:tcPr>
            <w:tcBorders>
              <w:bottom w:color="000000" w:space="0" w:sz="4" w:val="single"/>
            </w:tcBorders>
          </w:tcPr>
          <w:p w:rsidR="00000000" w:rsidDel="00000000" w:rsidP="00000000" w:rsidRDefault="00000000" w:rsidRPr="00000000" w14:paraId="00000008">
            <w:pPr>
              <w:rPr>
                <w:b w:val="1"/>
                <w:sz w:val="22"/>
                <w:szCs w:val="22"/>
              </w:rPr>
            </w:pPr>
            <w:r w:rsidDel="00000000" w:rsidR="00000000" w:rsidRPr="00000000">
              <w:rPr>
                <w:b w:val="1"/>
                <w:i w:val="0"/>
                <w:sz w:val="22"/>
                <w:szCs w:val="22"/>
                <w:rtl w:val="0"/>
              </w:rPr>
              <w:t xml:space="preserve">Issue</w:t>
            </w:r>
            <w:r w:rsidDel="00000000" w:rsidR="00000000" w:rsidRPr="00000000">
              <w:rPr>
                <w:rtl w:val="0"/>
              </w:rPr>
            </w:r>
          </w:p>
          <w:p w:rsidR="00000000" w:rsidDel="00000000" w:rsidP="00000000" w:rsidRDefault="00000000" w:rsidRPr="00000000" w14:paraId="00000009">
            <w:pPr>
              <w:rPr>
                <w:b w:val="1"/>
                <w:sz w:val="22"/>
                <w:szCs w:val="22"/>
              </w:rPr>
            </w:pPr>
            <w:r w:rsidDel="00000000" w:rsidR="00000000" w:rsidRPr="00000000">
              <w:rPr>
                <w:rtl w:val="0"/>
              </w:rPr>
            </w:r>
          </w:p>
          <w:p w:rsidR="00000000" w:rsidDel="00000000" w:rsidP="00000000" w:rsidRDefault="00000000" w:rsidRPr="00000000" w14:paraId="0000000A">
            <w:pPr>
              <w:rPr>
                <w:b w:val="1"/>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B">
            <w:pPr>
              <w:jc w:val="both"/>
              <w:rPr>
                <w:sz w:val="20"/>
                <w:szCs w:val="20"/>
              </w:rPr>
            </w:pPr>
            <w:r w:rsidDel="00000000" w:rsidR="00000000" w:rsidRPr="00000000">
              <w:rPr>
                <w:sz w:val="20"/>
                <w:szCs w:val="20"/>
                <w:rtl w:val="0"/>
              </w:rPr>
              <w:t xml:space="preserve">In 2007, the Alana Institute filed a complaint before the public prosecutor of Sao Pablo since an abusive advertising campaign of the food product </w:t>
            </w:r>
            <w:r w:rsidDel="00000000" w:rsidR="00000000" w:rsidRPr="00000000">
              <w:rPr>
                <w:i w:val="1"/>
                <w:sz w:val="20"/>
                <w:szCs w:val="20"/>
                <w:rtl w:val="0"/>
              </w:rPr>
              <w:t xml:space="preserve">“Gulosos”</w:t>
            </w:r>
            <w:r w:rsidDel="00000000" w:rsidR="00000000" w:rsidRPr="00000000">
              <w:rPr>
                <w:sz w:val="20"/>
                <w:szCs w:val="20"/>
                <w:rtl w:val="0"/>
              </w:rPr>
              <w:t xml:space="preserve"> was being directed at children. Gulosos is a brand that belongs </w:t>
            </w:r>
            <w:r w:rsidDel="00000000" w:rsidR="00000000" w:rsidRPr="00000000">
              <w:rPr>
                <w:sz w:val="20"/>
                <w:szCs w:val="20"/>
                <w:rtl w:val="0"/>
              </w:rPr>
              <w:t xml:space="preserve">to Bauducco, a trademark owned by Pandurata. </w:t>
            </w:r>
          </w:p>
          <w:p w:rsidR="00000000" w:rsidDel="00000000" w:rsidP="00000000" w:rsidRDefault="00000000" w:rsidRPr="00000000" w14:paraId="0000000C">
            <w:pPr>
              <w:jc w:val="both"/>
              <w:rPr>
                <w:sz w:val="20"/>
                <w:szCs w:val="20"/>
              </w:rPr>
            </w:pPr>
            <w:r w:rsidDel="00000000" w:rsidR="00000000" w:rsidRPr="00000000">
              <w:rPr>
                <w:sz w:val="20"/>
                <w:szCs w:val="20"/>
                <w:rtl w:val="0"/>
              </w:rPr>
              <w:t xml:space="preserve">The advertising campaign was called “</w:t>
            </w:r>
            <w:r w:rsidDel="00000000" w:rsidR="00000000" w:rsidRPr="00000000">
              <w:rPr>
                <w:i w:val="1"/>
                <w:sz w:val="20"/>
                <w:szCs w:val="20"/>
                <w:rtl w:val="0"/>
              </w:rPr>
              <w:t xml:space="preserve">It’s Shrek Time</w:t>
            </w:r>
            <w:r w:rsidDel="00000000" w:rsidR="00000000" w:rsidRPr="00000000">
              <w:rPr>
                <w:sz w:val="20"/>
                <w:szCs w:val="20"/>
                <w:rtl w:val="0"/>
              </w:rPr>
              <w:t xml:space="preserve">”, and it consisted of obtaining a collectable Shrek watch, provided that the consumer presented five pieces of “</w:t>
            </w:r>
            <w:r w:rsidDel="00000000" w:rsidR="00000000" w:rsidRPr="00000000">
              <w:rPr>
                <w:i w:val="1"/>
                <w:sz w:val="20"/>
                <w:szCs w:val="20"/>
                <w:rtl w:val="0"/>
              </w:rPr>
              <w:t xml:space="preserve">Gulosos</w:t>
            </w:r>
            <w:r w:rsidDel="00000000" w:rsidR="00000000" w:rsidRPr="00000000">
              <w:rPr>
                <w:sz w:val="20"/>
                <w:szCs w:val="20"/>
                <w:rtl w:val="0"/>
              </w:rPr>
              <w:t xml:space="preserve">” cookies, along with R$5. </w:t>
            </w:r>
            <w:r w:rsidDel="00000000" w:rsidR="00000000" w:rsidRPr="00000000">
              <w:rPr>
                <w:color w:val="000000"/>
                <w:sz w:val="20"/>
                <w:szCs w:val="20"/>
                <w:rtl w:val="0"/>
              </w:rPr>
              <w:t xml:space="preserve">The Ministry firstly investigated administratively and then decided to file a public civil lawsuit against the company for using a “commercial hook”, a figure prohibited in Brazil according to its Constitution</w:t>
            </w:r>
            <w:r w:rsidDel="00000000" w:rsidR="00000000" w:rsidRPr="00000000">
              <w:rPr>
                <w:color w:val="000000"/>
                <w:sz w:val="20"/>
                <w:szCs w:val="20"/>
                <w:vertAlign w:val="superscript"/>
              </w:rPr>
              <w:footnoteReference w:customMarkFollows="0" w:id="0"/>
            </w:r>
            <w:r w:rsidDel="00000000" w:rsidR="00000000" w:rsidRPr="00000000">
              <w:rPr>
                <w:color w:val="000000"/>
                <w:sz w:val="20"/>
                <w:szCs w:val="20"/>
                <w:rtl w:val="0"/>
              </w:rPr>
              <w:t xml:space="preserve">, the Consumer Protection Code</w:t>
            </w:r>
            <w:r w:rsidDel="00000000" w:rsidR="00000000" w:rsidRPr="00000000">
              <w:rPr>
                <w:color w:val="000000"/>
                <w:sz w:val="20"/>
                <w:szCs w:val="20"/>
                <w:vertAlign w:val="superscript"/>
              </w:rPr>
              <w:footnoteReference w:customMarkFollows="0" w:id="1"/>
            </w:r>
            <w:r w:rsidDel="00000000" w:rsidR="00000000" w:rsidRPr="00000000">
              <w:rPr>
                <w:color w:val="000000"/>
                <w:sz w:val="20"/>
                <w:szCs w:val="20"/>
                <w:rtl w:val="0"/>
              </w:rPr>
              <w:t xml:space="preserve">, the Statute of </w:t>
            </w:r>
            <w:r w:rsidDel="00000000" w:rsidR="00000000" w:rsidRPr="00000000">
              <w:rPr>
                <w:sz w:val="20"/>
                <w:szCs w:val="20"/>
                <w:rtl w:val="0"/>
              </w:rPr>
              <w:t xml:space="preserve">Children and Adolescents</w:t>
            </w:r>
            <w:r w:rsidDel="00000000" w:rsidR="00000000" w:rsidRPr="00000000">
              <w:rPr>
                <w:sz w:val="20"/>
                <w:szCs w:val="20"/>
                <w:vertAlign w:val="superscript"/>
              </w:rPr>
              <w:footnoteReference w:customMarkFollows="0" w:id="2"/>
            </w:r>
            <w:r w:rsidDel="00000000" w:rsidR="00000000" w:rsidRPr="00000000">
              <w:rPr>
                <w:sz w:val="20"/>
                <w:szCs w:val="20"/>
                <w:rtl w:val="0"/>
              </w:rPr>
              <w:t xml:space="preserve">, and it is a practice outlawed even in the Brazilian Self-Regulation Advertising Code</w:t>
            </w:r>
            <w:r w:rsidDel="00000000" w:rsidR="00000000" w:rsidRPr="00000000">
              <w:rPr>
                <w:sz w:val="20"/>
                <w:szCs w:val="20"/>
                <w:vertAlign w:val="superscript"/>
              </w:rPr>
              <w:footnoteReference w:customMarkFollows="0" w:id="3"/>
            </w:r>
            <w:r w:rsidDel="00000000" w:rsidR="00000000" w:rsidRPr="00000000">
              <w:rPr>
                <w:sz w:val="20"/>
                <w:szCs w:val="20"/>
                <w:rtl w:val="0"/>
              </w:rPr>
              <w:t xml:space="preserve">.</w:t>
            </w:r>
          </w:p>
        </w:tc>
      </w:tr>
      <w:tr>
        <w:trPr>
          <w:trHeight w:val="558" w:hRule="atLeast"/>
        </w:trPr>
        <w:tc>
          <w:tcPr>
            <w:tcBorders>
              <w:top w:color="000000" w:space="0" w:sz="4" w:val="single"/>
              <w:bottom w:color="e7e6e6" w:space="0" w:sz="4" w:val="single"/>
            </w:tcBorders>
          </w:tcPr>
          <w:p w:rsidR="00000000" w:rsidDel="00000000" w:rsidP="00000000" w:rsidRDefault="00000000" w:rsidRPr="00000000" w14:paraId="0000000D">
            <w:pPr>
              <w:rPr>
                <w:b w:val="1"/>
                <w:color w:val="ff0000"/>
                <w:sz w:val="22"/>
                <w:szCs w:val="22"/>
              </w:rPr>
            </w:pPr>
            <w:r w:rsidDel="00000000" w:rsidR="00000000" w:rsidRPr="00000000">
              <w:rPr>
                <w:b w:val="1"/>
                <w:i w:val="0"/>
                <w:color w:val="ff0000"/>
                <w:sz w:val="22"/>
                <w:szCs w:val="22"/>
                <w:rtl w:val="0"/>
              </w:rPr>
              <w:t xml:space="preserve">Industry position</w:t>
            </w:r>
            <w:r w:rsidDel="00000000" w:rsidR="00000000" w:rsidRPr="00000000">
              <w:rPr>
                <w:rtl w:val="0"/>
              </w:rPr>
            </w:r>
          </w:p>
        </w:tc>
        <w:tc>
          <w:tcPr>
            <w:tcBorders>
              <w:top w:color="000000" w:space="0" w:sz="4" w:val="single"/>
            </w:tcBorders>
          </w:tcPr>
          <w:p w:rsidR="00000000" w:rsidDel="00000000" w:rsidP="00000000" w:rsidRDefault="00000000" w:rsidRPr="00000000" w14:paraId="0000000E">
            <w:pPr>
              <w:numPr>
                <w:ilvl w:val="0"/>
                <w:numId w:val="1"/>
              </w:numPr>
              <w:ind w:left="720" w:hanging="360"/>
              <w:jc w:val="both"/>
              <w:rPr>
                <w:color w:val="0e101a"/>
              </w:rPr>
            </w:pPr>
            <w:r w:rsidDel="00000000" w:rsidR="00000000" w:rsidRPr="00000000">
              <w:rPr>
                <w:color w:val="0e101a"/>
                <w:sz w:val="20"/>
                <w:szCs w:val="20"/>
                <w:rtl w:val="0"/>
              </w:rPr>
              <w:t xml:space="preserve">The campaign under analysis does not represent a commercial hook since the gift was not only subject to the cookies' purchase. On the contrary, </w:t>
            </w:r>
            <w:r w:rsidDel="00000000" w:rsidR="00000000" w:rsidRPr="00000000">
              <w:rPr>
                <w:i w:val="1"/>
                <w:color w:val="0e101a"/>
                <w:sz w:val="20"/>
                <w:szCs w:val="20"/>
                <w:rtl w:val="0"/>
              </w:rPr>
              <w:t xml:space="preserve">"the purchase of 5 packs of the product plus R $5.00 provided the consumer with the chance to get the gift." </w:t>
            </w:r>
          </w:p>
          <w:p w:rsidR="00000000" w:rsidDel="00000000" w:rsidP="00000000" w:rsidRDefault="00000000" w:rsidRPr="00000000" w14:paraId="0000000F">
            <w:pPr>
              <w:numPr>
                <w:ilvl w:val="0"/>
                <w:numId w:val="1"/>
              </w:numPr>
              <w:ind w:left="720" w:hanging="360"/>
              <w:jc w:val="both"/>
              <w:rPr>
                <w:color w:val="0e101a"/>
              </w:rPr>
            </w:pPr>
            <w:r w:rsidDel="00000000" w:rsidR="00000000" w:rsidRPr="00000000">
              <w:rPr>
                <w:color w:val="0e101a"/>
                <w:sz w:val="20"/>
                <w:szCs w:val="20"/>
                <w:rtl w:val="0"/>
              </w:rPr>
              <w:t xml:space="preserve">Besides, this advertisement refers to the well-known modality of connecting a "gift" to the purchase of a product, in this case, "Gulosos". From this concept, it could be concluded that "gifts" should be delivered free of charge to consumers, which is not the case here, as consumers had to pay for the watch.</w:t>
            </w:r>
            <w:r w:rsidDel="00000000" w:rsidR="00000000" w:rsidRPr="00000000">
              <w:rPr>
                <w:rtl w:val="0"/>
              </w:rPr>
            </w:r>
          </w:p>
        </w:tc>
      </w:tr>
      <w:tr>
        <w:trPr>
          <w:trHeight w:val="843" w:hRule="atLeast"/>
        </w:trPr>
        <w:tc>
          <w:tcPr>
            <w:tcBorders>
              <w:top w:color="000000" w:space="0" w:sz="4" w:val="single"/>
              <w:bottom w:color="e7e6e6" w:space="0" w:sz="4" w:val="single"/>
            </w:tcBorders>
          </w:tcPr>
          <w:p w:rsidR="00000000" w:rsidDel="00000000" w:rsidP="00000000" w:rsidRDefault="00000000" w:rsidRPr="00000000" w14:paraId="00000010">
            <w:pPr>
              <w:rPr>
                <w:b w:val="1"/>
                <w:sz w:val="22"/>
                <w:szCs w:val="22"/>
              </w:rPr>
            </w:pPr>
            <w:bookmarkStart w:colFirst="0" w:colLast="0" w:name="_heading=h.1fob9te" w:id="1"/>
            <w:bookmarkEnd w:id="1"/>
            <w:r w:rsidDel="00000000" w:rsidR="00000000" w:rsidRPr="00000000">
              <w:rPr>
                <w:b w:val="1"/>
                <w:i w:val="0"/>
                <w:sz w:val="22"/>
                <w:szCs w:val="22"/>
                <w:rtl w:val="0"/>
              </w:rPr>
              <w:t xml:space="preserve">Decision</w:t>
            </w:r>
            <w:r w:rsidDel="00000000" w:rsidR="00000000" w:rsidRPr="00000000">
              <w:rPr>
                <w:rtl w:val="0"/>
              </w:rPr>
            </w:r>
          </w:p>
        </w:tc>
        <w:tc>
          <w:tcPr>
            <w:tcBorders>
              <w:top w:color="000000" w:space="0" w:sz="4" w:val="single"/>
            </w:tcBorders>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e101a"/>
                <w:sz w:val="20"/>
                <w:szCs w:val="20"/>
                <w:u w:val="none"/>
                <w:shd w:fill="auto" w:val="clear"/>
                <w:vertAlign w:val="baseline"/>
              </w:rPr>
            </w:pPr>
            <w:r w:rsidDel="00000000" w:rsidR="00000000" w:rsidRPr="00000000">
              <w:rPr>
                <w:rFonts w:ascii="Calibri" w:cs="Calibri" w:eastAsia="Calibri" w:hAnsi="Calibri"/>
                <w:b w:val="0"/>
                <w:i w:val="0"/>
                <w:smallCaps w:val="0"/>
                <w:strike w:val="0"/>
                <w:color w:val="0e101a"/>
                <w:sz w:val="20"/>
                <w:szCs w:val="20"/>
                <w:u w:val="none"/>
                <w:shd w:fill="auto" w:val="clear"/>
                <w:vertAlign w:val="baseline"/>
                <w:rtl w:val="0"/>
              </w:rPr>
              <w:t xml:space="preserve">In 2016, the Superior Court of Justice ruled in favor of the Public Ministry, defending children from abusive advertising following these arguments: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e101a"/>
                <w:sz w:val="20"/>
                <w:szCs w:val="20"/>
                <w:u w:val="none"/>
                <w:shd w:fill="auto" w:val="clear"/>
                <w:vertAlign w:val="baseline"/>
              </w:rPr>
            </w:pPr>
            <w:r w:rsidDel="00000000" w:rsidR="00000000" w:rsidRPr="00000000">
              <w:rPr>
                <w:rFonts w:ascii="Calibri" w:cs="Calibri" w:eastAsia="Calibri" w:hAnsi="Calibri"/>
                <w:b w:val="0"/>
                <w:i w:val="0"/>
                <w:smallCaps w:val="0"/>
                <w:strike w:val="0"/>
                <w:color w:val="0e101a"/>
                <w:sz w:val="20"/>
                <w:szCs w:val="20"/>
                <w:u w:val="none"/>
                <w:shd w:fill="auto" w:val="clear"/>
                <w:vertAlign w:val="baseline"/>
                <w:rtl w:val="0"/>
              </w:rPr>
              <w:t xml:space="preserve">● Bauducco's advertising campaign characterizes double abusive advertising. Firstly, because it is an advertisement or promotion of food </w:t>
            </w:r>
            <w:r w:rsidDel="00000000" w:rsidR="00000000" w:rsidRPr="00000000">
              <w:rPr>
                <w:rFonts w:ascii="Calibri" w:cs="Calibri" w:eastAsia="Calibri" w:hAnsi="Calibri"/>
                <w:b w:val="1"/>
                <w:i w:val="0"/>
                <w:smallCaps w:val="0"/>
                <w:strike w:val="0"/>
                <w:color w:val="0e101a"/>
                <w:sz w:val="20"/>
                <w:szCs w:val="20"/>
                <w:u w:val="none"/>
                <w:shd w:fill="auto" w:val="clear"/>
                <w:vertAlign w:val="baseline"/>
                <w:rtl w:val="0"/>
              </w:rPr>
              <w:t xml:space="preserve">directed, directly or indirectly, to children</w:t>
            </w:r>
            <w:r w:rsidDel="00000000" w:rsidR="00000000" w:rsidRPr="00000000">
              <w:rPr>
                <w:rFonts w:ascii="Calibri" w:cs="Calibri" w:eastAsia="Calibri" w:hAnsi="Calibri"/>
                <w:b w:val="0"/>
                <w:i w:val="1"/>
                <w:smallCaps w:val="0"/>
                <w:strike w:val="0"/>
                <w:color w:val="0e101a"/>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e101a"/>
                <w:sz w:val="20"/>
                <w:szCs w:val="20"/>
                <w:u w:val="none"/>
                <w:shd w:fill="auto" w:val="clear"/>
                <w:vertAlign w:val="baseline"/>
                <w:rtl w:val="0"/>
              </w:rPr>
              <w:t xml:space="preserve"> Secondly, because of the evident </w:t>
            </w:r>
            <w:r w:rsidDel="00000000" w:rsidR="00000000" w:rsidRPr="00000000">
              <w:rPr>
                <w:rFonts w:ascii="Calibri" w:cs="Calibri" w:eastAsia="Calibri" w:hAnsi="Calibri"/>
                <w:b w:val="1"/>
                <w:i w:val="1"/>
                <w:smallCaps w:val="0"/>
                <w:strike w:val="0"/>
                <w:color w:val="0e101a"/>
                <w:sz w:val="20"/>
                <w:szCs w:val="20"/>
                <w:u w:val="none"/>
                <w:shd w:fill="auto" w:val="clear"/>
                <w:vertAlign w:val="baseline"/>
                <w:rtl w:val="0"/>
              </w:rPr>
              <w:t xml:space="preserve">"commercial hook",</w:t>
            </w:r>
            <w:r w:rsidDel="00000000" w:rsidR="00000000" w:rsidRPr="00000000">
              <w:rPr>
                <w:rFonts w:ascii="Calibri" w:cs="Calibri" w:eastAsia="Calibri" w:hAnsi="Calibri"/>
                <w:b w:val="0"/>
                <w:i w:val="0"/>
                <w:smallCaps w:val="0"/>
                <w:strike w:val="0"/>
                <w:color w:val="0e101a"/>
                <w:sz w:val="20"/>
                <w:szCs w:val="20"/>
                <w:u w:val="none"/>
                <w:shd w:fill="auto" w:val="clear"/>
                <w:vertAlign w:val="baseline"/>
                <w:rtl w:val="0"/>
              </w:rPr>
              <w:t xml:space="preserve"> illegal in the legal business between adults and, with more excellent reason, in a marketing context that uses or </w:t>
            </w:r>
            <w:r w:rsidDel="00000000" w:rsidR="00000000" w:rsidRPr="00000000">
              <w:rPr>
                <w:rFonts w:ascii="Calibri" w:cs="Calibri" w:eastAsia="Calibri" w:hAnsi="Calibri"/>
                <w:b w:val="1"/>
                <w:i w:val="0"/>
                <w:smallCaps w:val="0"/>
                <w:strike w:val="0"/>
                <w:color w:val="0e101a"/>
                <w:sz w:val="20"/>
                <w:szCs w:val="20"/>
                <w:u w:val="none"/>
                <w:shd w:fill="auto" w:val="clear"/>
                <w:vertAlign w:val="baseline"/>
                <w:rtl w:val="0"/>
              </w:rPr>
              <w:t xml:space="preserve">manipulates the playful universe of children.</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e101a"/>
                <w:sz w:val="20"/>
                <w:szCs w:val="20"/>
                <w:u w:val="none"/>
                <w:shd w:fill="auto" w:val="clear"/>
                <w:vertAlign w:val="baseline"/>
              </w:rPr>
            </w:pPr>
            <w:r w:rsidDel="00000000" w:rsidR="00000000" w:rsidRPr="00000000">
              <w:rPr>
                <w:rFonts w:ascii="Calibri" w:cs="Calibri" w:eastAsia="Calibri" w:hAnsi="Calibri"/>
                <w:b w:val="0"/>
                <w:i w:val="0"/>
                <w:smallCaps w:val="0"/>
                <w:strike w:val="0"/>
                <w:color w:val="0e101a"/>
                <w:sz w:val="20"/>
                <w:szCs w:val="20"/>
                <w:u w:val="none"/>
                <w:shd w:fill="auto" w:val="clear"/>
                <w:vertAlign w:val="baseline"/>
                <w:rtl w:val="0"/>
              </w:rPr>
              <w:t xml:space="preserve">● A commercial hook is set up, since, to buy the watch, it would be necessary for the consumer </w:t>
            </w:r>
            <w:r w:rsidDel="00000000" w:rsidR="00000000" w:rsidRPr="00000000">
              <w:rPr>
                <w:rFonts w:ascii="Calibri" w:cs="Calibri" w:eastAsia="Calibri" w:hAnsi="Calibri"/>
                <w:b w:val="0"/>
                <w:i w:val="1"/>
                <w:smallCaps w:val="0"/>
                <w:strike w:val="0"/>
                <w:color w:val="0e101a"/>
                <w:sz w:val="20"/>
                <w:szCs w:val="20"/>
                <w:u w:val="none"/>
                <w:shd w:fill="auto" w:val="clear"/>
                <w:vertAlign w:val="baseline"/>
                <w:rtl w:val="0"/>
              </w:rPr>
              <w:t xml:space="preserve">also to buy five (5) "Gulosos" products</w:t>
            </w:r>
            <w:r w:rsidDel="00000000" w:rsidR="00000000" w:rsidRPr="00000000">
              <w:rPr>
                <w:rFonts w:ascii="Calibri" w:cs="Calibri" w:eastAsia="Calibri" w:hAnsi="Calibri"/>
                <w:b w:val="0"/>
                <w:i w:val="0"/>
                <w:smallCaps w:val="0"/>
                <w:strike w:val="0"/>
                <w:color w:val="0e101a"/>
                <w:sz w:val="20"/>
                <w:szCs w:val="20"/>
                <w:u w:val="none"/>
                <w:shd w:fill="auto" w:val="clear"/>
                <w:vertAlign w:val="baseline"/>
                <w:rtl w:val="0"/>
              </w:rPr>
              <w:t xml:space="preserve">. It also presents the use of imperative verb tense.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e101a"/>
                <w:sz w:val="20"/>
                <w:szCs w:val="20"/>
                <w:u w:val="none"/>
                <w:shd w:fill="auto" w:val="clear"/>
                <w:vertAlign w:val="baseline"/>
              </w:rPr>
            </w:pPr>
            <w:r w:rsidDel="00000000" w:rsidR="00000000" w:rsidRPr="00000000">
              <w:rPr>
                <w:rFonts w:ascii="Calibri" w:cs="Calibri" w:eastAsia="Calibri" w:hAnsi="Calibri"/>
                <w:b w:val="0"/>
                <w:i w:val="0"/>
                <w:smallCaps w:val="0"/>
                <w:strike w:val="0"/>
                <w:color w:val="0e101a"/>
                <w:sz w:val="20"/>
                <w:szCs w:val="20"/>
                <w:u w:val="none"/>
                <w:shd w:fill="auto" w:val="clear"/>
                <w:vertAlign w:val="baseline"/>
                <w:rtl w:val="0"/>
              </w:rPr>
              <w:t xml:space="preserve">● Marketing (advertising or sales promotion) of food directed to children, directly or indirectly, is abusive. The decision to buy and consume foodstuffs, especially in times </w:t>
            </w:r>
            <w:r w:rsidDel="00000000" w:rsidR="00000000" w:rsidRPr="00000000">
              <w:rPr>
                <w:rFonts w:ascii="Calibri" w:cs="Calibri" w:eastAsia="Calibri" w:hAnsi="Calibri"/>
                <w:b w:val="1"/>
                <w:i w:val="0"/>
                <w:smallCaps w:val="0"/>
                <w:strike w:val="0"/>
                <w:color w:val="0e101a"/>
                <w:sz w:val="20"/>
                <w:szCs w:val="20"/>
                <w:u w:val="none"/>
                <w:shd w:fill="auto" w:val="clear"/>
                <w:vertAlign w:val="baseline"/>
                <w:rtl w:val="0"/>
              </w:rPr>
              <w:t xml:space="preserve">of obesity crisis</w:t>
            </w:r>
            <w:r w:rsidDel="00000000" w:rsidR="00000000" w:rsidRPr="00000000">
              <w:rPr>
                <w:rFonts w:ascii="Calibri" w:cs="Calibri" w:eastAsia="Calibri" w:hAnsi="Calibri"/>
                <w:b w:val="0"/>
                <w:i w:val="0"/>
                <w:smallCaps w:val="0"/>
                <w:strike w:val="0"/>
                <w:color w:val="0e101a"/>
                <w:sz w:val="20"/>
                <w:szCs w:val="20"/>
                <w:u w:val="none"/>
                <w:shd w:fill="auto" w:val="clear"/>
                <w:vertAlign w:val="baseline"/>
                <w:rtl w:val="0"/>
              </w:rPr>
              <w:t xml:space="preserve">, must reside in their parents' decision.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e101a"/>
                <w:sz w:val="20"/>
                <w:szCs w:val="20"/>
                <w:u w:val="none"/>
                <w:shd w:fill="auto" w:val="clear"/>
                <w:vertAlign w:val="baseline"/>
              </w:rPr>
            </w:pPr>
            <w:r w:rsidDel="00000000" w:rsidR="00000000" w:rsidRPr="00000000">
              <w:rPr>
                <w:rFonts w:ascii="Calibri" w:cs="Calibri" w:eastAsia="Calibri" w:hAnsi="Calibri"/>
                <w:b w:val="0"/>
                <w:i w:val="0"/>
                <w:smallCaps w:val="0"/>
                <w:strike w:val="0"/>
                <w:color w:val="0e101a"/>
                <w:sz w:val="20"/>
                <w:szCs w:val="20"/>
                <w:u w:val="none"/>
                <w:shd w:fill="auto" w:val="clear"/>
                <w:vertAlign w:val="baseline"/>
                <w:rtl w:val="0"/>
              </w:rPr>
              <w:t xml:space="preserve">● Therefore, the authority to decide about children's diet is on their parents: </w:t>
            </w:r>
            <w:r w:rsidDel="00000000" w:rsidR="00000000" w:rsidRPr="00000000">
              <w:rPr>
                <w:rFonts w:ascii="Calibri" w:cs="Calibri" w:eastAsia="Calibri" w:hAnsi="Calibri"/>
                <w:b w:val="0"/>
                <w:i w:val="1"/>
                <w:smallCaps w:val="0"/>
                <w:strike w:val="0"/>
                <w:color w:val="0e101a"/>
                <w:sz w:val="20"/>
                <w:szCs w:val="20"/>
                <w:u w:val="none"/>
                <w:shd w:fill="auto" w:val="clear"/>
                <w:vertAlign w:val="baseline"/>
                <w:rtl w:val="0"/>
              </w:rPr>
              <w:t xml:space="preserve">no commercial enterprise, and not even others that do not have a direct commercial interest, </w:t>
            </w:r>
            <w:r w:rsidDel="00000000" w:rsidR="00000000" w:rsidRPr="00000000">
              <w:rPr>
                <w:rFonts w:ascii="Calibri" w:cs="Calibri" w:eastAsia="Calibri" w:hAnsi="Calibri"/>
                <w:b w:val="1"/>
                <w:i w:val="1"/>
                <w:smallCaps w:val="0"/>
                <w:strike w:val="0"/>
                <w:color w:val="0e101a"/>
                <w:sz w:val="20"/>
                <w:szCs w:val="20"/>
                <w:u w:val="none"/>
                <w:shd w:fill="auto" w:val="clear"/>
                <w:vertAlign w:val="baseline"/>
                <w:rtl w:val="0"/>
              </w:rPr>
              <w:t xml:space="preserve">have the constitutional legal right guaranteed to hinder the authority and common sense of them.</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e101a"/>
                <w:sz w:val="20"/>
                <w:szCs w:val="20"/>
                <w:u w:val="none"/>
                <w:shd w:fill="auto" w:val="clear"/>
                <w:vertAlign w:val="baseline"/>
              </w:rPr>
            </w:pPr>
            <w:r w:rsidDel="00000000" w:rsidR="00000000" w:rsidRPr="00000000">
              <w:rPr>
                <w:rFonts w:ascii="Calibri" w:cs="Calibri" w:eastAsia="Calibri" w:hAnsi="Calibri"/>
                <w:b w:val="0"/>
                <w:i w:val="0"/>
                <w:smallCaps w:val="0"/>
                <w:strike w:val="0"/>
                <w:color w:val="0e101a"/>
                <w:sz w:val="20"/>
                <w:szCs w:val="20"/>
                <w:u w:val="none"/>
                <w:shd w:fill="auto" w:val="clear"/>
                <w:vertAlign w:val="baseline"/>
                <w:rtl w:val="0"/>
              </w:rPr>
              <w:t xml:space="preserve">● Decisions about food as a </w:t>
            </w:r>
            <w:r w:rsidDel="00000000" w:rsidR="00000000" w:rsidRPr="00000000">
              <w:rPr>
                <w:rFonts w:ascii="Calibri" w:cs="Calibri" w:eastAsia="Calibri" w:hAnsi="Calibri"/>
                <w:b w:val="0"/>
                <w:i w:val="1"/>
                <w:smallCaps w:val="0"/>
                <w:strike w:val="0"/>
                <w:color w:val="0e101a"/>
                <w:sz w:val="20"/>
                <w:szCs w:val="20"/>
                <w:u w:val="none"/>
                <w:shd w:fill="auto" w:val="clear"/>
                <w:vertAlign w:val="baseline"/>
                <w:rtl w:val="0"/>
              </w:rPr>
              <w:t xml:space="preserve">medicine</w:t>
            </w:r>
            <w:r w:rsidDel="00000000" w:rsidR="00000000" w:rsidRPr="00000000">
              <w:rPr>
                <w:rFonts w:ascii="Calibri" w:cs="Calibri" w:eastAsia="Calibri" w:hAnsi="Calibri"/>
                <w:b w:val="0"/>
                <w:i w:val="0"/>
                <w:smallCaps w:val="0"/>
                <w:strike w:val="0"/>
                <w:color w:val="0e101a"/>
                <w:sz w:val="20"/>
                <w:szCs w:val="20"/>
                <w:u w:val="none"/>
                <w:shd w:fill="auto" w:val="clear"/>
                <w:vertAlign w:val="baseline"/>
                <w:rtl w:val="0"/>
              </w:rPr>
              <w:t xml:space="preserve"> are not to be taken by the suppliers. They can offer the products, but without removing the autonomy of the parents, and more than anything, do not direct these ads to children and, through the "back door," again blocking their parents.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0e101a"/>
                <w:sz w:val="20"/>
                <w:szCs w:val="20"/>
              </w:rPr>
            </w:pPr>
            <w:r w:rsidDel="00000000" w:rsidR="00000000" w:rsidRPr="00000000">
              <w:rPr>
                <w:rFonts w:ascii="Calibri" w:cs="Calibri" w:eastAsia="Calibri" w:hAnsi="Calibri"/>
                <w:b w:val="0"/>
                <w:i w:val="0"/>
                <w:smallCaps w:val="0"/>
                <w:strike w:val="0"/>
                <w:color w:val="0e101a"/>
                <w:sz w:val="20"/>
                <w:szCs w:val="20"/>
                <w:u w:val="none"/>
                <w:shd w:fill="auto" w:val="clear"/>
                <w:vertAlign w:val="baseline"/>
                <w:rtl w:val="0"/>
              </w:rPr>
              <w:t xml:space="preserve">● A child does not have the legal consent to complete legal businesses, but it </w:t>
            </w:r>
            <w:r w:rsidDel="00000000" w:rsidR="00000000" w:rsidRPr="00000000">
              <w:rPr>
                <w:rFonts w:ascii="Calibri" w:cs="Calibri" w:eastAsia="Calibri" w:hAnsi="Calibri"/>
                <w:b w:val="1"/>
                <w:i w:val="0"/>
                <w:smallCaps w:val="0"/>
                <w:strike w:val="0"/>
                <w:color w:val="0e101a"/>
                <w:sz w:val="20"/>
                <w:szCs w:val="20"/>
                <w:u w:val="none"/>
                <w:shd w:fill="auto" w:val="clear"/>
                <w:vertAlign w:val="baseline"/>
                <w:rtl w:val="0"/>
              </w:rPr>
              <w:t xml:space="preserve">has the power to convince its parents.</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e101a"/>
                <w:sz w:val="24"/>
                <w:szCs w:val="24"/>
                <w:u w:val="none"/>
                <w:shd w:fill="auto" w:val="clear"/>
                <w:vertAlign w:val="baseline"/>
              </w:rPr>
            </w:pPr>
            <w:r w:rsidDel="00000000" w:rsidR="00000000" w:rsidRPr="00000000">
              <w:rPr>
                <w:color w:val="0e101a"/>
                <w:sz w:val="20"/>
                <w:szCs w:val="20"/>
                <w:rtl w:val="0"/>
              </w:rPr>
              <w:t xml:space="preserve">● </w:t>
            </w:r>
            <w:r w:rsidDel="00000000" w:rsidR="00000000" w:rsidRPr="00000000">
              <w:rPr>
                <w:color w:val="0e101a"/>
                <w:sz w:val="20"/>
                <w:szCs w:val="20"/>
                <w:rtl w:val="0"/>
              </w:rPr>
              <w:t xml:space="preserve">“</w:t>
            </w:r>
            <w:r w:rsidDel="00000000" w:rsidR="00000000" w:rsidRPr="00000000">
              <w:rPr>
                <w:rFonts w:ascii="Calibri" w:cs="Calibri" w:eastAsia="Calibri" w:hAnsi="Calibri"/>
                <w:b w:val="0"/>
                <w:i w:val="1"/>
                <w:smallCaps w:val="0"/>
                <w:strike w:val="0"/>
                <w:color w:val="0e101a"/>
                <w:sz w:val="20"/>
                <w:szCs w:val="20"/>
                <w:u w:val="none"/>
                <w:shd w:fill="auto" w:val="clear"/>
                <w:vertAlign w:val="baseline"/>
                <w:rtl w:val="0"/>
              </w:rPr>
              <w:t xml:space="preserve">Nowadays, we are all suffering an obesity crisis; in fact, all of us are struggling with weight control, especially children; so, it is surprising that advertising like this is still directed at them.</w:t>
            </w:r>
            <w:r w:rsidDel="00000000" w:rsidR="00000000" w:rsidRPr="00000000">
              <w:rPr>
                <w:i w:val="1"/>
                <w:color w:val="0e101a"/>
                <w:sz w:val="20"/>
                <w:szCs w:val="20"/>
                <w:rtl w:val="0"/>
              </w:rPr>
              <w:t xml:space="preserve">”</w:t>
            </w:r>
            <w:r w:rsidDel="00000000" w:rsidR="00000000" w:rsidRPr="00000000">
              <w:rPr>
                <w:rtl w:val="0"/>
              </w:rPr>
            </w:r>
          </w:p>
        </w:tc>
      </w:tr>
    </w:tbl>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rtl w:val="0"/>
        </w:rPr>
        <w:t xml:space="preserve">Decision: </w:t>
      </w:r>
      <w:hyperlink r:id="rId8">
        <w:r w:rsidDel="00000000" w:rsidR="00000000" w:rsidRPr="00000000">
          <w:rPr>
            <w:color w:val="0563c1"/>
            <w:sz w:val="20"/>
            <w:szCs w:val="20"/>
            <w:u w:val="single"/>
            <w:rtl w:val="0"/>
          </w:rPr>
          <w:t xml:space="preserve">LINK</w:t>
        </w:r>
      </w:hyperlink>
      <w:r w:rsidDel="00000000" w:rsidR="00000000" w:rsidRPr="00000000">
        <w:rPr>
          <w:rtl w:val="0"/>
        </w:rPr>
      </w:r>
    </w:p>
    <w:p w:rsidR="00000000" w:rsidDel="00000000" w:rsidP="00000000" w:rsidRDefault="00000000" w:rsidRPr="00000000" w14:paraId="0000001C">
      <w:pPr>
        <w:rPr/>
      </w:pPr>
      <w:r w:rsidDel="00000000" w:rsidR="00000000" w:rsidRPr="00000000">
        <w:rPr>
          <w:sz w:val="20"/>
          <w:szCs w:val="20"/>
          <w:rtl w:val="0"/>
        </w:rPr>
        <w:t xml:space="preserve">Vote of the Minister Herman Benjamin: </w:t>
      </w:r>
      <w:hyperlink r:id="rId9">
        <w:r w:rsidDel="00000000" w:rsidR="00000000" w:rsidRPr="00000000">
          <w:rPr>
            <w:color w:val="0563c1"/>
            <w:sz w:val="20"/>
            <w:szCs w:val="20"/>
            <w:u w:val="single"/>
            <w:rtl w:val="0"/>
          </w:rPr>
          <w:t xml:space="preserve">LINK</w:t>
        </w:r>
      </w:hyperlink>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rFonts w:ascii="Times New Roman" w:cs="Times New Roman" w:eastAsia="Times New Roman" w:hAnsi="Times New Roman"/>
          <w:sz w:val="20"/>
          <w:szCs w:val="20"/>
        </w:rPr>
        <w:drawing>
          <wp:inline distB="0" distT="0" distL="0" distR="0">
            <wp:extent cx="4801568" cy="2352227"/>
            <wp:effectExtent b="0" l="0" r="0" t="0"/>
            <wp:docPr descr="esultado de imagen para shrek gulosos campaign" id="30" name="image1.png"/>
            <a:graphic>
              <a:graphicData uri="http://schemas.openxmlformats.org/drawingml/2006/picture">
                <pic:pic>
                  <pic:nvPicPr>
                    <pic:cNvPr descr="esultado de imagen para shrek gulosos campaign" id="0" name="image1.png"/>
                    <pic:cNvPicPr preferRelativeResize="0"/>
                  </pic:nvPicPr>
                  <pic:blipFill>
                    <a:blip r:embed="rId10"/>
                    <a:srcRect b="0" l="0" r="0" t="0"/>
                    <a:stretch>
                      <a:fillRect/>
                    </a:stretch>
                  </pic:blipFill>
                  <pic:spPr>
                    <a:xfrm>
                      <a:off x="0" y="0"/>
                      <a:ext cx="4801568" cy="2352227"/>
                    </a:xfrm>
                    <a:prstGeom prst="rect"/>
                    <a:ln/>
                  </pic:spPr>
                </pic:pic>
              </a:graphicData>
            </a:graphic>
          </wp:inline>
        </w:drawing>
      </w:r>
      <w:r w:rsidDel="00000000" w:rsidR="00000000" w:rsidRPr="00000000">
        <w:rPr>
          <w:rtl w:val="0"/>
        </w:rPr>
      </w:r>
    </w:p>
    <w:sectPr>
      <w:headerReference r:id="rId11" w:type="default"/>
      <w:headerReference r:id="rId12" w:type="first"/>
      <w:pgSz w:h="16840" w:w="11900" w:orient="portrait"/>
      <w:pgMar w:bottom="1440" w:top="1440" w:left="1080" w:right="108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F">
      <w:pPr>
        <w:jc w:val="both"/>
        <w:rPr>
          <w:color w:val="000000"/>
          <w:sz w:val="16"/>
          <w:szCs w:val="16"/>
        </w:rPr>
      </w:pPr>
      <w:r w:rsidDel="00000000" w:rsidR="00000000" w:rsidRPr="00000000">
        <w:rPr>
          <w:rStyle w:val="FootnoteReference"/>
          <w:vertAlign w:val="superscript"/>
        </w:rPr>
        <w:footnoteRef/>
      </w:r>
      <w:r w:rsidDel="00000000" w:rsidR="00000000" w:rsidRPr="00000000">
        <w:rPr>
          <w:color w:val="000000"/>
          <w:sz w:val="16"/>
          <w:szCs w:val="16"/>
          <w:rtl w:val="0"/>
        </w:rPr>
        <w:t xml:space="preserve"> </w:t>
      </w:r>
      <w:hyperlink r:id="rId1">
        <w:r w:rsidDel="00000000" w:rsidR="00000000" w:rsidRPr="00000000">
          <w:rPr>
            <w:color w:val="000000"/>
            <w:sz w:val="16"/>
            <w:szCs w:val="16"/>
            <w:rtl w:val="0"/>
          </w:rPr>
          <w:t xml:space="preserve">https://www.wipo.int/edocs/lexdocs/laws/es/br/br117es.pdf</w:t>
        </w:r>
      </w:hyperlink>
      <w:r w:rsidDel="00000000" w:rsidR="00000000" w:rsidRPr="00000000">
        <w:rPr>
          <w:rtl w:val="0"/>
        </w:rPr>
      </w:r>
    </w:p>
  </w:footnote>
  <w:footnote w:id="1">
    <w:p w:rsidR="00000000" w:rsidDel="00000000" w:rsidP="00000000" w:rsidRDefault="00000000" w:rsidRPr="00000000" w14:paraId="00000020">
      <w:pPr>
        <w:jc w:val="both"/>
        <w:rPr>
          <w:color w:val="000000"/>
          <w:sz w:val="16"/>
          <w:szCs w:val="16"/>
        </w:rPr>
      </w:pPr>
      <w:r w:rsidDel="00000000" w:rsidR="00000000" w:rsidRPr="00000000">
        <w:rPr>
          <w:rStyle w:val="FootnoteReference"/>
          <w:vertAlign w:val="superscript"/>
        </w:rPr>
        <w:footnoteRef/>
      </w:r>
      <w:r w:rsidDel="00000000" w:rsidR="00000000" w:rsidRPr="00000000">
        <w:rPr>
          <w:color w:val="000000"/>
          <w:sz w:val="16"/>
          <w:szCs w:val="16"/>
          <w:rtl w:val="0"/>
        </w:rPr>
        <w:t xml:space="preserve"> </w:t>
      </w:r>
      <w:hyperlink r:id="rId2">
        <w:r w:rsidDel="00000000" w:rsidR="00000000" w:rsidRPr="00000000">
          <w:rPr>
            <w:color w:val="000000"/>
            <w:sz w:val="16"/>
            <w:szCs w:val="16"/>
            <w:rtl w:val="0"/>
          </w:rPr>
          <w:t xml:space="preserve">http://www.planalto.gov.br/ccivil_03/leis/l8078.htm</w:t>
        </w:r>
      </w:hyperlink>
      <w:r w:rsidDel="00000000" w:rsidR="00000000" w:rsidRPr="00000000">
        <w:rPr>
          <w:rtl w:val="0"/>
        </w:rPr>
      </w:r>
    </w:p>
  </w:footnote>
  <w:footnote w:id="2">
    <w:p w:rsidR="00000000" w:rsidDel="00000000" w:rsidP="00000000" w:rsidRDefault="00000000" w:rsidRPr="00000000" w14:paraId="00000021">
      <w:pPr>
        <w:jc w:val="both"/>
        <w:rPr>
          <w:color w:val="000000"/>
          <w:sz w:val="16"/>
          <w:szCs w:val="16"/>
        </w:rPr>
      </w:pPr>
      <w:r w:rsidDel="00000000" w:rsidR="00000000" w:rsidRPr="00000000">
        <w:rPr>
          <w:rStyle w:val="FootnoteReference"/>
          <w:vertAlign w:val="superscript"/>
        </w:rPr>
        <w:footnoteRef/>
      </w:r>
      <w:r w:rsidDel="00000000" w:rsidR="00000000" w:rsidRPr="00000000">
        <w:rPr>
          <w:color w:val="000000"/>
          <w:sz w:val="16"/>
          <w:szCs w:val="16"/>
          <w:rtl w:val="0"/>
        </w:rPr>
        <w:t xml:space="preserve"> </w:t>
      </w:r>
      <w:hyperlink r:id="rId3">
        <w:r w:rsidDel="00000000" w:rsidR="00000000" w:rsidRPr="00000000">
          <w:rPr>
            <w:color w:val="000000"/>
            <w:sz w:val="16"/>
            <w:szCs w:val="16"/>
            <w:rtl w:val="0"/>
          </w:rPr>
          <w:t xml:space="preserve">http://www.planalto.gov.br/ccivil_03/leis/l8069.htm</w:t>
        </w:r>
      </w:hyperlink>
      <w:r w:rsidDel="00000000" w:rsidR="00000000" w:rsidRPr="00000000">
        <w:rPr>
          <w:rtl w:val="0"/>
        </w:rPr>
      </w:r>
    </w:p>
  </w:footnote>
  <w:footnote w:id="3">
    <w:p w:rsidR="00000000" w:rsidDel="00000000" w:rsidP="00000000" w:rsidRDefault="00000000" w:rsidRPr="00000000" w14:paraId="00000022">
      <w:pPr>
        <w:jc w:val="both"/>
        <w:rPr>
          <w:color w:val="000000"/>
          <w:sz w:val="16"/>
          <w:szCs w:val="16"/>
        </w:rPr>
      </w:pPr>
      <w:r w:rsidDel="00000000" w:rsidR="00000000" w:rsidRPr="00000000">
        <w:rPr>
          <w:rStyle w:val="FootnoteReference"/>
          <w:vertAlign w:val="superscript"/>
        </w:rPr>
        <w:footnoteRef/>
      </w:r>
      <w:r w:rsidDel="00000000" w:rsidR="00000000" w:rsidRPr="00000000">
        <w:rPr>
          <w:color w:val="000000"/>
          <w:sz w:val="16"/>
          <w:szCs w:val="16"/>
          <w:rtl w:val="0"/>
        </w:rPr>
        <w:t xml:space="preserve"> </w:t>
      </w:r>
      <w:hyperlink r:id="rId4">
        <w:r w:rsidDel="00000000" w:rsidR="00000000" w:rsidRPr="00000000">
          <w:rPr>
            <w:color w:val="000000"/>
            <w:sz w:val="16"/>
            <w:szCs w:val="16"/>
            <w:rtl w:val="0"/>
          </w:rPr>
          <w:t xml:space="preserve">http://www.conar.org.br/codigo/codigo.php</w:t>
        </w:r>
      </w:hyperlink>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rPr>
          <w:color w:val="00000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419"/>
        <w:tab w:val="right" w:pos="8838"/>
      </w:tabs>
      <w:rPr>
        <w:color w:val="000000"/>
      </w:rPr>
    </w:pPr>
    <w:r w:rsidDel="00000000" w:rsidR="00000000" w:rsidRPr="00000000">
      <w:rPr>
        <w:color w:val="000000"/>
      </w:rPr>
      <w:drawing>
        <wp:inline distB="0" distT="0" distL="0" distR="0">
          <wp:extent cx="1587500" cy="635000"/>
          <wp:effectExtent b="0" l="0" r="0" t="0"/>
          <wp:docPr id="3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87500" cy="635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419"/>
        <w:tab w:val="right" w:pos="8838"/>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3"/>
        <w:szCs w:val="23"/>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C2DF8"/>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pPr>
      <w:keepNext w:val="1"/>
      <w:keepLines w:val="1"/>
      <w:spacing w:after="120" w:before="480"/>
    </w:pPr>
    <w:rPr>
      <w:b w:val="1"/>
      <w:sz w:val="72"/>
      <w:szCs w:val="72"/>
    </w:rPr>
  </w:style>
  <w:style w:type="paragraph" w:styleId="Encabezado">
    <w:name w:val="header"/>
    <w:basedOn w:val="Normal"/>
    <w:link w:val="EncabezadoCar"/>
    <w:uiPriority w:val="99"/>
    <w:unhideWhenUsed w:val="1"/>
    <w:rsid w:val="00DC2DF8"/>
    <w:pPr>
      <w:tabs>
        <w:tab w:val="center" w:pos="4419"/>
        <w:tab w:val="right" w:pos="8838"/>
      </w:tabs>
    </w:pPr>
  </w:style>
  <w:style w:type="character" w:styleId="EncabezadoCar" w:customStyle="1">
    <w:name w:val="Encabezado Car"/>
    <w:basedOn w:val="Fuentedeprrafopredeter"/>
    <w:link w:val="Encabezado"/>
    <w:uiPriority w:val="99"/>
    <w:rsid w:val="00DC2DF8"/>
  </w:style>
  <w:style w:type="paragraph" w:styleId="Piedepgina">
    <w:name w:val="footer"/>
    <w:basedOn w:val="Normal"/>
    <w:link w:val="PiedepginaCar"/>
    <w:uiPriority w:val="99"/>
    <w:unhideWhenUsed w:val="1"/>
    <w:rsid w:val="00DC2DF8"/>
    <w:pPr>
      <w:tabs>
        <w:tab w:val="center" w:pos="4419"/>
        <w:tab w:val="right" w:pos="8838"/>
      </w:tabs>
    </w:pPr>
  </w:style>
  <w:style w:type="character" w:styleId="PiedepginaCar" w:customStyle="1">
    <w:name w:val="Pie de página Car"/>
    <w:basedOn w:val="Fuentedeprrafopredeter"/>
    <w:link w:val="Piedepgina"/>
    <w:uiPriority w:val="99"/>
    <w:rsid w:val="00DC2DF8"/>
  </w:style>
  <w:style w:type="paragraph" w:styleId="Textoindependiente">
    <w:name w:val="Body Text"/>
    <w:basedOn w:val="Normal"/>
    <w:link w:val="TextoindependienteCar"/>
    <w:uiPriority w:val="1"/>
    <w:qFormat w:val="1"/>
    <w:rsid w:val="00DC2DF8"/>
    <w:pPr>
      <w:widowControl w:val="0"/>
      <w:autoSpaceDE w:val="0"/>
      <w:autoSpaceDN w:val="0"/>
    </w:pPr>
    <w:rPr>
      <w:rFonts w:ascii="Verdana" w:cs="Verdana" w:eastAsia="Verdana" w:hAnsi="Verdana"/>
      <w:sz w:val="11"/>
      <w:szCs w:val="11"/>
    </w:rPr>
  </w:style>
  <w:style w:type="character" w:styleId="TextoindependienteCar" w:customStyle="1">
    <w:name w:val="Texto independiente Car"/>
    <w:basedOn w:val="Fuentedeprrafopredeter"/>
    <w:link w:val="Textoindependiente"/>
    <w:uiPriority w:val="1"/>
    <w:rsid w:val="00DC2DF8"/>
    <w:rPr>
      <w:rFonts w:ascii="Verdana" w:cs="Verdana" w:eastAsia="Verdana" w:hAnsi="Verdana"/>
      <w:sz w:val="11"/>
      <w:szCs w:val="11"/>
      <w:lang w:val="en-US"/>
    </w:rPr>
  </w:style>
  <w:style w:type="paragraph" w:styleId="Prrafodelista">
    <w:name w:val="List Paragraph"/>
    <w:basedOn w:val="Normal"/>
    <w:uiPriority w:val="34"/>
    <w:qFormat w:val="1"/>
    <w:rsid w:val="008D4572"/>
    <w:pPr>
      <w:ind w:left="720"/>
      <w:contextualSpacing w:val="1"/>
    </w:pPr>
  </w:style>
  <w:style w:type="table" w:styleId="Tablanormal5">
    <w:name w:val="Plain Table 5"/>
    <w:basedOn w:val="Tablanormal"/>
    <w:uiPriority w:val="45"/>
    <w:rsid w:val="008D4572"/>
    <w:tblPr>
      <w:tblStyleRowBandSize w:val="1"/>
      <w:tblStyleColBandSize w:val="1"/>
      <w:tblInd w:w="0.0" w:type="dxa"/>
      <w:tblCellMar>
        <w:top w:w="0.0" w:type="dxa"/>
        <w:left w:w="108.0" w:type="dxa"/>
        <w:bottom w:w="0.0" w:type="dxa"/>
        <w:right w:w="108.0" w:type="dxa"/>
      </w:tblCellMar>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Tablaconcuadrcula">
    <w:name w:val="Table Grid"/>
    <w:basedOn w:val="Tablanormal"/>
    <w:uiPriority w:val="39"/>
    <w:rsid w:val="00F72D14"/>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ipervnculo">
    <w:name w:val="Hyperlink"/>
    <w:basedOn w:val="Fuentedeprrafopredeter"/>
    <w:uiPriority w:val="99"/>
    <w:unhideWhenUsed w:val="1"/>
    <w:rsid w:val="001F65F6"/>
    <w:rPr>
      <w:color w:val="0563c1" w:themeColor="hyperlink"/>
      <w:u w:val="single"/>
    </w:rPr>
  </w:style>
  <w:style w:type="character" w:styleId="Refdecomentario">
    <w:name w:val="annotation reference"/>
    <w:basedOn w:val="Fuentedeprrafopredeter"/>
    <w:uiPriority w:val="99"/>
    <w:semiHidden w:val="1"/>
    <w:unhideWhenUsed w:val="1"/>
    <w:rsid w:val="008E3461"/>
    <w:rPr>
      <w:sz w:val="18"/>
      <w:szCs w:val="18"/>
    </w:rPr>
  </w:style>
  <w:style w:type="paragraph" w:styleId="Textocomentario">
    <w:name w:val="annotation text"/>
    <w:basedOn w:val="Normal"/>
    <w:link w:val="TextocomentarioCar"/>
    <w:uiPriority w:val="99"/>
    <w:semiHidden w:val="1"/>
    <w:unhideWhenUsed w:val="1"/>
    <w:rsid w:val="008E3461"/>
  </w:style>
  <w:style w:type="character" w:styleId="TextocomentarioCar" w:customStyle="1">
    <w:name w:val="Texto comentario Car"/>
    <w:basedOn w:val="Fuentedeprrafopredeter"/>
    <w:link w:val="Textocomentario"/>
    <w:uiPriority w:val="99"/>
    <w:semiHidden w:val="1"/>
    <w:rsid w:val="008E3461"/>
  </w:style>
  <w:style w:type="paragraph" w:styleId="Asuntodelcomentario">
    <w:name w:val="annotation subject"/>
    <w:basedOn w:val="Textocomentario"/>
    <w:next w:val="Textocomentario"/>
    <w:link w:val="AsuntodelcomentarioCar"/>
    <w:uiPriority w:val="99"/>
    <w:semiHidden w:val="1"/>
    <w:unhideWhenUsed w:val="1"/>
    <w:rsid w:val="008E3461"/>
    <w:rPr>
      <w:b w:val="1"/>
      <w:bCs w:val="1"/>
      <w:sz w:val="20"/>
      <w:szCs w:val="20"/>
    </w:rPr>
  </w:style>
  <w:style w:type="character" w:styleId="AsuntodelcomentarioCar" w:customStyle="1">
    <w:name w:val="Asunto del comentario Car"/>
    <w:basedOn w:val="TextocomentarioCar"/>
    <w:link w:val="Asuntodelcomentario"/>
    <w:uiPriority w:val="99"/>
    <w:semiHidden w:val="1"/>
    <w:rsid w:val="008E3461"/>
    <w:rPr>
      <w:b w:val="1"/>
      <w:bCs w:val="1"/>
      <w:sz w:val="20"/>
      <w:szCs w:val="20"/>
    </w:rPr>
  </w:style>
  <w:style w:type="paragraph" w:styleId="Textodeglobo">
    <w:name w:val="Balloon Text"/>
    <w:basedOn w:val="Normal"/>
    <w:link w:val="TextodegloboCar"/>
    <w:uiPriority w:val="99"/>
    <w:semiHidden w:val="1"/>
    <w:unhideWhenUsed w:val="1"/>
    <w:rsid w:val="008E3461"/>
    <w:rPr>
      <w:rFonts w:ascii="Times New Roman" w:cs="Times New Roman" w:hAnsi="Times New Roman"/>
      <w:sz w:val="18"/>
      <w:szCs w:val="18"/>
    </w:rPr>
  </w:style>
  <w:style w:type="character" w:styleId="TextodegloboCar" w:customStyle="1">
    <w:name w:val="Texto de globo Car"/>
    <w:basedOn w:val="Fuentedeprrafopredeter"/>
    <w:link w:val="Textodeglobo"/>
    <w:uiPriority w:val="99"/>
    <w:semiHidden w:val="1"/>
    <w:rsid w:val="008E3461"/>
    <w:rPr>
      <w:rFonts w:ascii="Times New Roman" w:cs="Times New Roman" w:hAnsi="Times New Roman"/>
      <w:sz w:val="18"/>
      <w:szCs w:val="18"/>
    </w:rPr>
  </w:style>
  <w:style w:type="paragraph" w:styleId="Textonotapie">
    <w:name w:val="footnote text"/>
    <w:basedOn w:val="Normal"/>
    <w:link w:val="TextonotapieCar"/>
    <w:uiPriority w:val="99"/>
    <w:unhideWhenUsed w:val="1"/>
    <w:rsid w:val="008E3461"/>
  </w:style>
  <w:style w:type="character" w:styleId="TextonotapieCar" w:customStyle="1">
    <w:name w:val="Texto nota pie Car"/>
    <w:basedOn w:val="Fuentedeprrafopredeter"/>
    <w:link w:val="Textonotapie"/>
    <w:uiPriority w:val="99"/>
    <w:rsid w:val="008E3461"/>
  </w:style>
  <w:style w:type="character" w:styleId="Refdenotaalpie">
    <w:name w:val="footnote reference"/>
    <w:basedOn w:val="Fuentedeprrafopredeter"/>
    <w:uiPriority w:val="99"/>
    <w:unhideWhenUsed w:val="1"/>
    <w:rsid w:val="008E3461"/>
    <w:rPr>
      <w:vertAlign w:val="superscript"/>
    </w:rPr>
  </w:style>
  <w:style w:type="character" w:styleId="Hipervnculovisitado">
    <w:name w:val="FollowedHyperlink"/>
    <w:basedOn w:val="Fuentedeprrafopredeter"/>
    <w:uiPriority w:val="99"/>
    <w:semiHidden w:val="1"/>
    <w:unhideWhenUsed w:val="1"/>
    <w:rsid w:val="00B525EB"/>
    <w:rPr>
      <w:color w:val="954f72" w:themeColor="followedHyperlink"/>
      <w:u w:val="single"/>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08.0" w:type="dxa"/>
        <w:bottom w:w="0.0" w:type="dxa"/>
        <w:right w:w="108.0" w:type="dxa"/>
      </w:tblCellMar>
    </w:tblPr>
    <w:tblStylePr w:type="firstRow">
      <w:rPr>
        <w:rFonts w:ascii="Calibri" w:cs="Calibri" w:eastAsia="Calibri" w:hAnsi="Calibri"/>
        <w:i w:val="1"/>
        <w:sz w:val="26"/>
        <w:szCs w:val="26"/>
      </w:rPr>
      <w:tblPr/>
      <w:tcPr>
        <w:tcBorders>
          <w:bottom w:color="7f7f7f" w:space="0" w:sz="4" w:val="single"/>
        </w:tcBorders>
        <w:shd w:color="auto" w:fill="ffffff" w:val="clear"/>
      </w:tcPr>
    </w:tblStylePr>
    <w:tblStylePr w:type="lastRow">
      <w:rPr>
        <w:rFonts w:ascii="Calibri" w:cs="Calibri" w:eastAsia="Calibri" w:hAnsi="Calibri"/>
        <w:i w:val="1"/>
        <w:sz w:val="26"/>
        <w:szCs w:val="26"/>
      </w:rPr>
      <w:tblPr/>
      <w:tcPr>
        <w:tcBorders>
          <w:top w:color="7f7f7f" w:space="0" w:sz="4" w:val="single"/>
        </w:tcBorders>
        <w:shd w:color="auto" w:fill="ffffff" w:val="clear"/>
      </w:tcPr>
    </w:tblStylePr>
    <w:tblStylePr w:type="firstCol">
      <w:pPr>
        <w:jc w:val="right"/>
      </w:pPr>
      <w:rPr>
        <w:rFonts w:ascii="Calibri" w:cs="Calibri" w:eastAsia="Calibri" w:hAnsi="Calibri"/>
        <w:i w:val="1"/>
        <w:sz w:val="26"/>
        <w:szCs w:val="26"/>
      </w:rPr>
      <w:tblPr/>
      <w:tcPr>
        <w:tcBorders>
          <w:right w:color="7f7f7f" w:space="0" w:sz="4" w:val="single"/>
        </w:tcBorders>
        <w:shd w:color="auto" w:fill="ffffff" w:val="clear"/>
      </w:tcPr>
    </w:tblStylePr>
    <w:tblStylePr w:type="lastCol">
      <w:rPr>
        <w:rFonts w:ascii="Calibri" w:cs="Calibri" w:eastAsia="Calibri" w:hAnsi="Calibri"/>
        <w:i w:val="1"/>
        <w:sz w:val="26"/>
        <w:szCs w:val="26"/>
      </w:rPr>
      <w:tblPr/>
      <w:tcPr>
        <w:tcBorders>
          <w:left w:color="7f7f7f" w:space="0" w:sz="4" w:val="single"/>
        </w:tcBorders>
        <w:shd w:color="auto" w:fill="ffffff" w:val="clear"/>
      </w:tcPr>
    </w:tblStylePr>
    <w:tblStylePr w:type="band1Vert">
      <w:tblPr/>
      <w:tcPr>
        <w:shd w:color="auto" w:fill="f2f2f2" w:val="clear"/>
      </w:tcPr>
    </w:tblStylePr>
    <w:tblStylePr w:type="band1Horz">
      <w:tblPr/>
      <w:tcPr>
        <w:shd w:color="auto" w:fill="f2f2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NormalWeb">
    <w:name w:val="Normal (Web)"/>
    <w:basedOn w:val="Normal"/>
    <w:uiPriority w:val="99"/>
    <w:unhideWhenUsed w:val="1"/>
    <w:rsid w:val="003A2522"/>
    <w:pPr>
      <w:spacing w:after="100" w:afterAutospacing="1" w:before="100" w:beforeAutospacing="1"/>
    </w:pPr>
    <w:rPr>
      <w:rFonts w:ascii="Times New Roman" w:cs="Times New Roman" w:hAnsi="Times New Roman"/>
      <w:lang w:val="es-ES_tradnl"/>
    </w:rPr>
  </w:style>
  <w:style w:type="character" w:styleId="Textoennegrita">
    <w:name w:val="Strong"/>
    <w:basedOn w:val="Fuentedeprrafopredeter"/>
    <w:uiPriority w:val="22"/>
    <w:qFormat w:val="1"/>
    <w:rsid w:val="003A2522"/>
    <w:rPr>
      <w:b w:val="1"/>
      <w:bCs w:val="1"/>
    </w:rPr>
  </w:style>
  <w:style w:type="character" w:styleId="nfasis">
    <w:name w:val="Emphasis"/>
    <w:basedOn w:val="Fuentedeprrafopredeter"/>
    <w:uiPriority w:val="20"/>
    <w:qFormat w:val="1"/>
    <w:rsid w:val="003A2522"/>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pPr>
        <w:jc w:val="right"/>
      </w:pPr>
      <w:rPr>
        <w:rFonts w:ascii="Calibri" w:cs="Calibri" w:eastAsia="Calibri" w:hAnsi="Calibri"/>
        <w:i w:val="1"/>
        <w:sz w:val="26"/>
        <w:szCs w:val="26"/>
      </w:rPr>
      <w:tcPr>
        <w:tcBorders>
          <w:right w:color="7f7f7f" w:space="0" w:sz="4" w:val="single"/>
        </w:tcBorders>
        <w:shd w:fill="ffffff" w:val="clear"/>
      </w:tcPr>
    </w:tblStylePr>
    <w:tblStylePr w:type="firstRow">
      <w:rPr>
        <w:rFonts w:ascii="Calibri" w:cs="Calibri" w:eastAsia="Calibri" w:hAnsi="Calibri"/>
        <w:i w:val="1"/>
        <w:sz w:val="26"/>
        <w:szCs w:val="26"/>
      </w:rPr>
      <w:tcPr>
        <w:tcBorders>
          <w:bottom w:color="7f7f7f" w:space="0" w:sz="4" w:val="single"/>
        </w:tcBorders>
        <w:shd w:fill="ffffff" w:val="clear"/>
      </w:tcPr>
    </w:tblStylePr>
    <w:tblStylePr w:type="lastCol">
      <w:rPr>
        <w:rFonts w:ascii="Calibri" w:cs="Calibri" w:eastAsia="Calibri" w:hAnsi="Calibri"/>
        <w:i w:val="1"/>
        <w:sz w:val="26"/>
        <w:szCs w:val="26"/>
      </w:rPr>
      <w:tcPr>
        <w:tcBorders>
          <w:left w:color="7f7f7f" w:space="0" w:sz="4" w:val="single"/>
        </w:tcBorders>
        <w:shd w:fill="ffffff" w:val="clear"/>
      </w:tcPr>
    </w:tblStylePr>
    <w:tblStylePr w:type="lastRow">
      <w:rPr>
        <w:rFonts w:ascii="Calibri" w:cs="Calibri" w:eastAsia="Calibri" w:hAnsi="Calibri"/>
        <w:i w:val="1"/>
        <w:sz w:val="26"/>
        <w:szCs w:val="26"/>
      </w:rPr>
      <w:tcPr>
        <w:tcBorders>
          <w:top w:color="7f7f7f" w:space="0" w:sz="4" w:val="single"/>
        </w:tcBorders>
        <w:shd w:fill="ffffff" w:val="clear"/>
      </w:tcPr>
    </w:tblStylePr>
    <w:tblStylePr w:type="neCell">
      <w:tcPr>
        <w:tcBorders>
          <w:left w:color="000000" w:space="0" w:sz="0" w:val="nil"/>
        </w:tcBorders>
      </w:tcPr>
    </w:tblStylePr>
    <w:tblStylePr w:type="nwCell">
      <w:tcPr>
        <w:tcBorders>
          <w:right w:color="000000" w:space="0" w:sz="0" w:val="nil"/>
        </w:tcBorders>
      </w:tcPr>
    </w:tblStylePr>
    <w:tblStylePr w:type="seCell">
      <w:tcPr>
        <w:tcBorders>
          <w:left w:color="000000" w:space="0" w:sz="0" w:val="nil"/>
        </w:tcBorders>
      </w:tcPr>
    </w:tblStylePr>
    <w:tblStylePr w:type="swCell">
      <w:tcPr>
        <w:tcBorders>
          <w:right w:color="000000" w:space="0" w:sz="0" w:val="nil"/>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2.xml"/><Relationship Id="rId10" Type="http://schemas.openxmlformats.org/officeDocument/2006/relationships/image" Target="media/image1.png"/><Relationship Id="rId12" Type="http://schemas.openxmlformats.org/officeDocument/2006/relationships/header" Target="header1.xml"/><Relationship Id="rId9" Type="http://schemas.openxmlformats.org/officeDocument/2006/relationships/hyperlink" Target="https://drive.google.com/file/d/1f-lSWI9hR_F2GA99k1MKUjWdjOpH4itq/view?usp=sharin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drive.google.com/file/d/12TbP_ME4kGRl226nLu3RqNa8DuCWjTGE/view?usp=shar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docs/lexdocs/laws/es/br/br117es.pdf" TargetMode="External"/><Relationship Id="rId2" Type="http://schemas.openxmlformats.org/officeDocument/2006/relationships/hyperlink" Target="http://www.planalto.gov.br/ccivil_03/leis/l8078.htm" TargetMode="External"/><Relationship Id="rId3" Type="http://schemas.openxmlformats.org/officeDocument/2006/relationships/hyperlink" Target="http://www.planalto.gov.br/ccivil_03/leis/l8069.htm" TargetMode="External"/><Relationship Id="rId4" Type="http://schemas.openxmlformats.org/officeDocument/2006/relationships/hyperlink" Target="http://www.conar.org.br/codigo/codigo.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PHA4zhjPX11FBxtu5e5uCZlq/g==">AMUW2mV9xqf1xW/UKkPPhUuxmSeMLU8YrervMzNetchxTapPLkVCTuap0J9uBEQtc5LvyuA4VnAME0sLjDh19ACNJPrbiom0PbD3mQIoiaEK/EO9sRnSP4hb/ckVX0tl6jV/iFKYeUxS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2020-05-19T21:57:00Z</dcterms:created>
  <dc:creator>Gianella Severini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0x010100A1EA8BE99617AE4BA59FC4DE99FCBFE1</vt:lpwstr>
  </property>
</Properties>
</file>