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r>
    </w:p>
    <w:tbl>
      <w:tblPr>
        <w:tblStyle w:val="Table1"/>
        <w:tblW w:w="9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137"/>
        <w:gridCol w:w="8353"/>
        <w:tblGridChange w:id="0">
          <w:tblGrid>
            <w:gridCol w:w="1137"/>
            <w:gridCol w:w="8353"/>
          </w:tblGrid>
        </w:tblGridChange>
      </w:tblGrid>
      <w:tr>
        <w:trPr>
          <w:trHeight w:val="415" w:hRule="atLeast"/>
        </w:trPr>
        <w:tc>
          <w:tcPr>
            <w:gridSpan w:val="2"/>
          </w:tcPr>
          <w:p w:rsidR="00000000" w:rsidDel="00000000" w:rsidP="00000000" w:rsidRDefault="00000000" w:rsidRPr="00000000" w14:paraId="00000002">
            <w:pPr>
              <w:jc w:val="center"/>
              <w:rPr>
                <w:rFonts w:ascii="Calibri" w:cs="Calibri" w:eastAsia="Calibri" w:hAnsi="Calibri"/>
                <w:b w:val="1"/>
                <w:i w:val="0"/>
                <w:sz w:val="24"/>
                <w:szCs w:val="24"/>
              </w:rPr>
            </w:pPr>
            <w:r w:rsidDel="00000000" w:rsidR="00000000" w:rsidRPr="00000000">
              <w:rPr>
                <w:rFonts w:ascii="Calibri" w:cs="Calibri" w:eastAsia="Calibri" w:hAnsi="Calibri"/>
                <w:b w:val="1"/>
                <w:i w:val="0"/>
                <w:color w:val="c00000"/>
                <w:sz w:val="24"/>
                <w:szCs w:val="24"/>
                <w:rtl w:val="0"/>
              </w:rPr>
              <w:t xml:space="preserve">MEXICO</w:t>
            </w:r>
            <w:r w:rsidDel="00000000" w:rsidR="00000000" w:rsidRPr="00000000">
              <w:rPr>
                <w:rtl w:val="0"/>
              </w:rPr>
            </w:r>
          </w:p>
        </w:tc>
      </w:tr>
      <w:tr>
        <w:trPr>
          <w:trHeight w:val="768" w:hRule="atLeast"/>
        </w:trPr>
        <w:tc>
          <w:tcPr>
            <w:gridSpan w:val="2"/>
            <w:shd w:fill="e7e6e6" w:val="clear"/>
          </w:tcPr>
          <w:p w:rsidR="00000000" w:rsidDel="00000000" w:rsidP="00000000" w:rsidRDefault="00000000" w:rsidRPr="00000000" w14:paraId="00000004">
            <w:pPr>
              <w:jc w:val="both"/>
              <w:rPr>
                <w:rFonts w:ascii="Calibri" w:cs="Calibri" w:eastAsia="Calibri" w:hAnsi="Calibri"/>
                <w:b w:val="1"/>
                <w:i w:val="0"/>
                <w:sz w:val="24"/>
                <w:szCs w:val="24"/>
              </w:rPr>
            </w:pPr>
            <w:r w:rsidDel="00000000" w:rsidR="00000000" w:rsidRPr="00000000">
              <w:rPr>
                <w:rFonts w:ascii="Calibri" w:cs="Calibri" w:eastAsia="Calibri" w:hAnsi="Calibri"/>
                <w:b w:val="1"/>
                <w:i w:val="0"/>
                <w:sz w:val="24"/>
                <w:szCs w:val="24"/>
                <w:rtl w:val="0"/>
              </w:rPr>
              <w:t xml:space="preserve">County Court Decision</w:t>
            </w:r>
          </w:p>
          <w:p w:rsidR="00000000" w:rsidDel="00000000" w:rsidP="00000000" w:rsidRDefault="00000000" w:rsidRPr="00000000" w14:paraId="00000005">
            <w:pPr>
              <w:jc w:val="both"/>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1</w:t>
            </w:r>
            <w:r w:rsidDel="00000000" w:rsidR="00000000" w:rsidRPr="00000000">
              <w:rPr>
                <w:rFonts w:ascii="Calibri" w:cs="Calibri" w:eastAsia="Calibri" w:hAnsi="Calibri"/>
                <w:i w:val="0"/>
                <w:sz w:val="24"/>
                <w:szCs w:val="24"/>
                <w:vertAlign w:val="superscript"/>
                <w:rtl w:val="0"/>
              </w:rPr>
              <w:t xml:space="preserve">st</w:t>
            </w:r>
            <w:r w:rsidDel="00000000" w:rsidR="00000000" w:rsidRPr="00000000">
              <w:rPr>
                <w:rFonts w:ascii="Calibri" w:cs="Calibri" w:eastAsia="Calibri" w:hAnsi="Calibri"/>
                <w:i w:val="0"/>
                <w:sz w:val="24"/>
                <w:szCs w:val="24"/>
                <w:rtl w:val="0"/>
              </w:rPr>
              <w:t xml:space="preserve"> CASE “EL PODER del CONSUMIDOR” (EPC) vs. GDA Labelling</w:t>
            </w:r>
          </w:p>
          <w:p w:rsidR="00000000" w:rsidDel="00000000" w:rsidP="00000000" w:rsidRDefault="00000000" w:rsidRPr="00000000" w14:paraId="00000006">
            <w:pPr>
              <w:jc w:val="both"/>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Labelling</w:t>
            </w:r>
          </w:p>
        </w:tc>
      </w:tr>
      <w:tr>
        <w:trPr>
          <w:trHeight w:val="665" w:hRule="atLeast"/>
        </w:trPr>
        <w:tc>
          <w:tcPr>
            <w:tcBorders>
              <w:bottom w:color="000000" w:space="0" w:sz="4" w:val="single"/>
            </w:tcBorders>
          </w:tcPr>
          <w:p w:rsidR="00000000" w:rsidDel="00000000" w:rsidP="00000000" w:rsidRDefault="00000000" w:rsidRPr="00000000" w14:paraId="00000008">
            <w:pPr>
              <w:jc w:val="both"/>
              <w:rPr>
                <w:rFonts w:ascii="Calibri" w:cs="Calibri" w:eastAsia="Calibri" w:hAnsi="Calibri"/>
                <w:b w:val="1"/>
                <w:i w:val="0"/>
                <w:sz w:val="20"/>
                <w:szCs w:val="20"/>
              </w:rPr>
            </w:pPr>
            <w:r w:rsidDel="00000000" w:rsidR="00000000" w:rsidRPr="00000000">
              <w:rPr>
                <w:rFonts w:ascii="Calibri" w:cs="Calibri" w:eastAsia="Calibri" w:hAnsi="Calibri"/>
                <w:b w:val="1"/>
                <w:i w:val="0"/>
                <w:sz w:val="20"/>
                <w:szCs w:val="20"/>
                <w:rtl w:val="0"/>
              </w:rPr>
              <w:t xml:space="preserve">Issue</w:t>
            </w:r>
          </w:p>
          <w:p w:rsidR="00000000" w:rsidDel="00000000" w:rsidP="00000000" w:rsidRDefault="00000000" w:rsidRPr="00000000" w14:paraId="00000009">
            <w:pPr>
              <w:jc w:val="both"/>
              <w:rPr>
                <w:rFonts w:ascii="Calibri" w:cs="Calibri" w:eastAsia="Calibri" w:hAnsi="Calibri"/>
                <w:b w:val="1"/>
                <w:i w:val="0"/>
                <w:sz w:val="20"/>
                <w:szCs w:val="20"/>
              </w:rPr>
            </w:pPr>
            <w:bookmarkStart w:colFirst="0" w:colLast="0" w:name="_heading=h.gjdgxs" w:id="0"/>
            <w:bookmarkEnd w:id="0"/>
            <w:r w:rsidDel="00000000" w:rsidR="00000000" w:rsidRPr="00000000">
              <w:rPr>
                <w:rtl w:val="0"/>
              </w:rPr>
            </w:r>
          </w:p>
        </w:tc>
        <w:tc>
          <w:tcPr>
            <w:tcBorders>
              <w:bottom w:color="000000" w:space="0" w:sz="4" w:val="single"/>
            </w:tcBorders>
          </w:tcPr>
          <w:p w:rsidR="00000000" w:rsidDel="00000000" w:rsidP="00000000" w:rsidRDefault="00000000" w:rsidRPr="00000000" w14:paraId="0000000A">
            <w:pPr>
              <w:jc w:val="both"/>
              <w:rPr>
                <w:rFonts w:ascii="Calibri" w:cs="Calibri" w:eastAsia="Calibri" w:hAnsi="Calibri"/>
                <w:color w:val="0e101a"/>
                <w:sz w:val="20"/>
                <w:szCs w:val="20"/>
              </w:rPr>
            </w:pPr>
            <w:r w:rsidDel="00000000" w:rsidR="00000000" w:rsidRPr="00000000">
              <w:rPr>
                <w:color w:val="0e101a"/>
                <w:sz w:val="20"/>
                <w:szCs w:val="20"/>
                <w:rtl w:val="0"/>
              </w:rPr>
              <w:t xml:space="preserve">E</w:t>
            </w:r>
            <w:r w:rsidDel="00000000" w:rsidR="00000000" w:rsidRPr="00000000">
              <w:rPr>
                <w:rFonts w:ascii="Calibri" w:cs="Calibri" w:eastAsia="Calibri" w:hAnsi="Calibri"/>
                <w:color w:val="0e101a"/>
                <w:sz w:val="20"/>
                <w:szCs w:val="20"/>
                <w:rtl w:val="0"/>
              </w:rPr>
              <w:t xml:space="preserve">PC filed an</w:t>
            </w:r>
            <w:r w:rsidDel="00000000" w:rsidR="00000000" w:rsidRPr="00000000">
              <w:rPr>
                <w:color w:val="0e101a"/>
                <w:sz w:val="20"/>
                <w:szCs w:val="20"/>
                <w:rtl w:val="0"/>
              </w:rPr>
              <w:t xml:space="preserve"> </w:t>
            </w:r>
            <w:r w:rsidDel="00000000" w:rsidR="00000000" w:rsidRPr="00000000">
              <w:rPr>
                <w:rFonts w:ascii="Calibri" w:cs="Calibri" w:eastAsia="Calibri" w:hAnsi="Calibri"/>
                <w:color w:val="0e101a"/>
                <w:sz w:val="20"/>
                <w:szCs w:val="20"/>
                <w:rtl w:val="0"/>
              </w:rPr>
              <w:t xml:space="preserve">amparo remed</w:t>
            </w:r>
            <w:r w:rsidDel="00000000" w:rsidR="00000000" w:rsidRPr="00000000">
              <w:rPr>
                <w:color w:val="0e101a"/>
                <w:sz w:val="20"/>
                <w:szCs w:val="20"/>
                <w:rtl w:val="0"/>
              </w:rPr>
              <w:t xml:space="preserve">y</w:t>
            </w:r>
            <w:r w:rsidDel="00000000" w:rsidR="00000000" w:rsidRPr="00000000">
              <w:rPr>
                <w:rFonts w:ascii="Calibri" w:cs="Calibri" w:eastAsia="Calibri" w:hAnsi="Calibri"/>
                <w:color w:val="0e101a"/>
                <w:sz w:val="20"/>
                <w:szCs w:val="20"/>
                <w:rtl w:val="0"/>
              </w:rPr>
              <w:t xml:space="preserve"> against all the rules developed during the years 2014 and 2015 by the sanitary authorities. These amended some health regulations and issued a guideline with an official Mexican standard in which they defined the front</w:t>
            </w:r>
            <w:r w:rsidDel="00000000" w:rsidR="00000000" w:rsidRPr="00000000">
              <w:rPr>
                <w:color w:val="0e101a"/>
                <w:sz w:val="20"/>
                <w:szCs w:val="20"/>
                <w:rtl w:val="0"/>
              </w:rPr>
              <w:t xml:space="preserve">-of-pack</w:t>
            </w:r>
            <w:r w:rsidDel="00000000" w:rsidR="00000000" w:rsidRPr="00000000">
              <w:rPr>
                <w:rFonts w:ascii="Calibri" w:cs="Calibri" w:eastAsia="Calibri" w:hAnsi="Calibri"/>
                <w:color w:val="0e101a"/>
                <w:sz w:val="20"/>
                <w:szCs w:val="20"/>
                <w:rtl w:val="0"/>
              </w:rPr>
              <w:t xml:space="preserve"> labeling system according to the GDA model (Guideline Daily Amounts). However, several inconsistencies were found in this model because of the following reasons:</w:t>
            </w:r>
          </w:p>
          <w:p w:rsidR="00000000" w:rsidDel="00000000" w:rsidP="00000000" w:rsidRDefault="00000000" w:rsidRPr="00000000" w14:paraId="0000000B">
            <w:pPr>
              <w:jc w:val="both"/>
              <w:rPr>
                <w:rFonts w:ascii="Calibri" w:cs="Calibri" w:eastAsia="Calibri" w:hAnsi="Calibri"/>
                <w:color w:val="0e101a"/>
                <w:sz w:val="20"/>
                <w:szCs w:val="20"/>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There is no obligation on distinguishing added sugars from natural sugars; the information is presented in calories or kilocalories and percentages, instead of grams, so it is necessary to do a mathematical operation to know the grams of sugars that a product has;</w:t>
            </w:r>
          </w:p>
          <w:p w:rsidR="00000000" w:rsidDel="00000000" w:rsidP="00000000" w:rsidRDefault="00000000" w:rsidRPr="00000000" w14:paraId="0000000D">
            <w:pPr>
              <w:numPr>
                <w:ilvl w:val="0"/>
                <w:numId w:val="1"/>
              </w:numPr>
              <w:ind w:left="720" w:hanging="360"/>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the basis for calculating the percentage of daily nutrients shown on the label is 360 calories and not 200 calories/50 grams, as recommended by the WHO. This modifies the rates exhibited to consumers, so they believe they can consume more sugar than is recommended.</w:t>
            </w:r>
          </w:p>
          <w:p w:rsidR="00000000" w:rsidDel="00000000" w:rsidP="00000000" w:rsidRDefault="00000000" w:rsidRPr="00000000" w14:paraId="0000000E">
            <w:pPr>
              <w:numPr>
                <w:ilvl w:val="0"/>
                <w:numId w:val="1"/>
              </w:numPr>
              <w:ind w:left="720" w:hanging="360"/>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The creation of the labeling was carried out by three public officials and not by a group of experts, with no scientific evidence;</w:t>
            </w:r>
          </w:p>
          <w:p w:rsidR="00000000" w:rsidDel="00000000" w:rsidP="00000000" w:rsidRDefault="00000000" w:rsidRPr="00000000" w14:paraId="0000000F">
            <w:pPr>
              <w:numPr>
                <w:ilvl w:val="0"/>
                <w:numId w:val="1"/>
              </w:numPr>
              <w:ind w:left="720" w:hanging="360"/>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these elements represent violations of human rights, which were claimed by EPC</w:t>
            </w:r>
            <w:r w:rsidDel="00000000" w:rsidR="00000000" w:rsidRPr="00000000">
              <w:rPr>
                <w:rFonts w:ascii="Calibri" w:cs="Calibri" w:eastAsia="Calibri" w:hAnsi="Calibri"/>
                <w:i w:val="1"/>
                <w:color w:val="0e101a"/>
                <w:sz w:val="20"/>
                <w:szCs w:val="20"/>
                <w:rtl w:val="0"/>
              </w:rPr>
              <w:t xml:space="preserve">.</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i w:val="1"/>
                <w:sz w:val="20"/>
                <w:szCs w:val="20"/>
              </w:rPr>
            </w:pPr>
            <w:r w:rsidDel="00000000" w:rsidR="00000000" w:rsidRPr="00000000">
              <w:rPr>
                <w:rtl w:val="0"/>
              </w:rPr>
            </w:r>
          </w:p>
        </w:tc>
      </w:tr>
      <w:tr>
        <w:trPr>
          <w:trHeight w:val="129" w:hRule="atLeast"/>
        </w:trPr>
        <w:tc>
          <w:tcPr>
            <w:tcBorders>
              <w:top w:color="000000" w:space="0" w:sz="4" w:val="single"/>
              <w:bottom w:color="e7e6e6" w:space="0" w:sz="4" w:val="single"/>
            </w:tcBorders>
          </w:tcPr>
          <w:p w:rsidR="00000000" w:rsidDel="00000000" w:rsidP="00000000" w:rsidRDefault="00000000" w:rsidRPr="00000000" w14:paraId="00000011">
            <w:pPr>
              <w:jc w:val="both"/>
              <w:rPr>
                <w:rFonts w:ascii="Calibri" w:cs="Calibri" w:eastAsia="Calibri" w:hAnsi="Calibri"/>
                <w:b w:val="1"/>
                <w:i w:val="0"/>
                <w:sz w:val="20"/>
                <w:szCs w:val="20"/>
              </w:rPr>
            </w:pPr>
            <w:r w:rsidDel="00000000" w:rsidR="00000000" w:rsidRPr="00000000">
              <w:rPr>
                <w:rFonts w:ascii="Calibri" w:cs="Calibri" w:eastAsia="Calibri" w:hAnsi="Calibri"/>
                <w:b w:val="1"/>
                <w:i w:val="0"/>
                <w:sz w:val="20"/>
                <w:szCs w:val="20"/>
                <w:rtl w:val="0"/>
              </w:rPr>
              <w:t xml:space="preserve">Judge decision</w:t>
            </w:r>
          </w:p>
        </w:tc>
        <w:tc>
          <w:tcPr>
            <w:tcBorders>
              <w:top w:color="000000" w:space="0" w:sz="4" w:val="single"/>
            </w:tcBorders>
          </w:tcPr>
          <w:p w:rsidR="00000000" w:rsidDel="00000000" w:rsidP="00000000" w:rsidRDefault="00000000" w:rsidRPr="00000000" w14:paraId="00000012">
            <w:pPr>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 The Judge issued a favorable judgment for EPC in which he acknowledged that:</w:t>
            </w:r>
          </w:p>
          <w:p w:rsidR="00000000" w:rsidDel="00000000" w:rsidP="00000000" w:rsidRDefault="00000000" w:rsidRPr="00000000" w14:paraId="00000013">
            <w:pPr>
              <w:numPr>
                <w:ilvl w:val="0"/>
                <w:numId w:val="2"/>
              </w:numPr>
              <w:ind w:left="720" w:hanging="360"/>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the labeling is against the recommendations of the WHO about added sugars, as well as the studies and recommendations of the National Institute of Public Health (INSP). Thus, the labeling violates the right to health and the consumer’s right to information by </w:t>
            </w:r>
            <w:r w:rsidDel="00000000" w:rsidR="00000000" w:rsidRPr="00000000">
              <w:rPr>
                <w:rFonts w:ascii="Calibri" w:cs="Calibri" w:eastAsia="Calibri" w:hAnsi="Calibri"/>
                <w:b w:val="1"/>
                <w:color w:val="0e101a"/>
                <w:sz w:val="20"/>
                <w:szCs w:val="20"/>
                <w:rtl w:val="0"/>
              </w:rPr>
              <w:t xml:space="preserve">not providing consumers with detailed data</w:t>
            </w:r>
            <w:r w:rsidDel="00000000" w:rsidR="00000000" w:rsidRPr="00000000">
              <w:rPr>
                <w:rFonts w:ascii="Calibri" w:cs="Calibri" w:eastAsia="Calibri" w:hAnsi="Calibri"/>
                <w:color w:val="0e101a"/>
                <w:sz w:val="20"/>
                <w:szCs w:val="20"/>
                <w:rtl w:val="0"/>
              </w:rPr>
              <w:t xml:space="preserve"> about the sugar content of the products, as well as not presenting scientific data and studies of its formulation.</w:t>
            </w:r>
          </w:p>
          <w:p w:rsidR="00000000" w:rsidDel="00000000" w:rsidP="00000000" w:rsidRDefault="00000000" w:rsidRPr="00000000" w14:paraId="00000014">
            <w:pPr>
              <w:jc w:val="both"/>
              <w:rPr>
                <w:rFonts w:ascii="Calibri" w:cs="Calibri" w:eastAsia="Calibri" w:hAnsi="Calibri"/>
                <w:color w:val="0e101a"/>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The ruling ordered responsible authorities to stop applying this model, as well as adapting it to the parameters developed by the WHO and the National Strategy for the Prevention and Control of Overweight, Obesity, and Diabetes 2013. Specifically:</w:t>
            </w:r>
          </w:p>
          <w:p w:rsidR="00000000" w:rsidDel="00000000" w:rsidP="00000000" w:rsidRDefault="00000000" w:rsidRPr="00000000" w14:paraId="00000016">
            <w:pPr>
              <w:numPr>
                <w:ilvl w:val="0"/>
                <w:numId w:val="3"/>
              </w:numPr>
              <w:ind w:left="720" w:hanging="360"/>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To distinguish between natural and added sugars.</w:t>
            </w:r>
          </w:p>
          <w:p w:rsidR="00000000" w:rsidDel="00000000" w:rsidP="00000000" w:rsidRDefault="00000000" w:rsidRPr="00000000" w14:paraId="00000017">
            <w:pPr>
              <w:numPr>
                <w:ilvl w:val="0"/>
                <w:numId w:val="3"/>
              </w:numPr>
              <w:ind w:left="720" w:hanging="360"/>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To establish the grams of added sugar to the product together with the energy contribution of sugar in kilocalories:</w:t>
            </w:r>
          </w:p>
          <w:p w:rsidR="00000000" w:rsidDel="00000000" w:rsidP="00000000" w:rsidRDefault="00000000" w:rsidRPr="00000000" w14:paraId="00000018">
            <w:pPr>
              <w:numPr>
                <w:ilvl w:val="0"/>
                <w:numId w:val="3"/>
              </w:numPr>
              <w:ind w:left="720" w:hanging="360"/>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Take 200 kilocalories or 50 grams for the added sugars of the total caloric intake.</w:t>
            </w:r>
          </w:p>
          <w:p w:rsidR="00000000" w:rsidDel="00000000" w:rsidP="00000000" w:rsidRDefault="00000000" w:rsidRPr="00000000" w14:paraId="00000019">
            <w:pPr>
              <w:numPr>
                <w:ilvl w:val="0"/>
                <w:numId w:val="3"/>
              </w:numPr>
              <w:ind w:left="720" w:hanging="360"/>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If any product exceeds the recommended amount of critical nutrients, it comes up the obligation for the supplier to introduce a warning label in the front of the pack. </w:t>
            </w:r>
          </w:p>
          <w:p w:rsidR="00000000" w:rsidDel="00000000" w:rsidP="00000000" w:rsidRDefault="00000000" w:rsidRPr="00000000" w14:paraId="0000001A">
            <w:pPr>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  </w:t>
            </w:r>
          </w:p>
        </w:tc>
      </w:tr>
      <w:tr>
        <w:trPr>
          <w:trHeight w:val="1081" w:hRule="atLeast"/>
        </w:trPr>
        <w:tc>
          <w:tcPr>
            <w:tcBorders>
              <w:top w:color="e7e6e6" w:space="0" w:sz="4" w:val="single"/>
            </w:tcBorders>
          </w:tcPr>
          <w:p w:rsidR="00000000" w:rsidDel="00000000" w:rsidP="00000000" w:rsidRDefault="00000000" w:rsidRPr="00000000" w14:paraId="0000001B">
            <w:pPr>
              <w:jc w:val="both"/>
              <w:rPr>
                <w:rFonts w:ascii="Calibri" w:cs="Calibri" w:eastAsia="Calibri" w:hAnsi="Calibri"/>
                <w:b w:val="1"/>
                <w:i w:val="0"/>
                <w:sz w:val="20"/>
                <w:szCs w:val="20"/>
              </w:rPr>
            </w:pPr>
            <w:r w:rsidDel="00000000" w:rsidR="00000000" w:rsidRPr="00000000">
              <w:rPr>
                <w:rtl w:val="0"/>
              </w:rPr>
            </w:r>
          </w:p>
        </w:tc>
        <w:tc>
          <w:tcPr/>
          <w:p w:rsidR="00000000" w:rsidDel="00000000" w:rsidP="00000000" w:rsidRDefault="00000000" w:rsidRPr="00000000" w14:paraId="0000001C">
            <w:pPr>
              <w:jc w:val="both"/>
              <w:rPr>
                <w:rFonts w:ascii="Calibri" w:cs="Calibri" w:eastAsia="Calibri" w:hAnsi="Calibri"/>
                <w:color w:val="0e101a"/>
                <w:sz w:val="20"/>
                <w:szCs w:val="20"/>
              </w:rPr>
            </w:pPr>
            <w:r w:rsidDel="00000000" w:rsidR="00000000" w:rsidRPr="00000000">
              <w:rPr>
                <w:rFonts w:ascii="Calibri" w:cs="Calibri" w:eastAsia="Calibri" w:hAnsi="Calibri"/>
                <w:color w:val="0e101a"/>
                <w:sz w:val="20"/>
                <w:szCs w:val="20"/>
                <w:rtl w:val="0"/>
              </w:rPr>
              <w:t xml:space="preserve"> </w:t>
            </w:r>
            <w:r w:rsidDel="00000000" w:rsidR="00000000" w:rsidRPr="00000000">
              <w:rPr>
                <w:rFonts w:ascii="Calibri" w:cs="Calibri" w:eastAsia="Calibri" w:hAnsi="Calibri"/>
                <w:b w:val="1"/>
                <w:i w:val="1"/>
                <w:color w:val="0e101a"/>
                <w:sz w:val="20"/>
                <w:szCs w:val="20"/>
                <w:rtl w:val="0"/>
              </w:rPr>
              <w:t xml:space="preserve">The ruling was appealed. </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0e101a"/>
                <w:sz w:val="20"/>
                <w:szCs w:val="20"/>
              </w:rPr>
            </w:pPr>
            <w:r w:rsidDel="00000000" w:rsidR="00000000" w:rsidRPr="00000000">
              <w:rPr>
                <w:rFonts w:ascii="Calibri" w:cs="Calibri" w:eastAsia="Calibri" w:hAnsi="Calibri"/>
                <w:i w:val="1"/>
                <w:color w:val="0e101a"/>
                <w:sz w:val="20"/>
                <w:szCs w:val="20"/>
                <w:rtl w:val="0"/>
              </w:rPr>
              <w:t xml:space="preserve">The Constitutional Court determined that the GDA is constitutional. EPC is appealing before the CIDH.</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0e101a"/>
                <w:sz w:val="20"/>
                <w:szCs w:val="20"/>
              </w:rPr>
            </w:pPr>
            <w:r w:rsidDel="00000000" w:rsidR="00000000" w:rsidRPr="00000000">
              <w:rPr>
                <w:rFonts w:ascii="Calibri" w:cs="Calibri" w:eastAsia="Calibri" w:hAnsi="Calibri"/>
                <w:i w:val="1"/>
                <w:color w:val="0e101a"/>
                <w:sz w:val="20"/>
                <w:szCs w:val="20"/>
                <w:rtl w:val="0"/>
              </w:rPr>
              <w:t xml:space="preserve">Two other cases related to the GDA are pending to be resolved</w:t>
            </w:r>
            <w:r w:rsidDel="00000000" w:rsidR="00000000" w:rsidRPr="00000000">
              <w:rPr>
                <w:rFonts w:ascii="Calibri" w:cs="Calibri" w:eastAsia="Calibri" w:hAnsi="Calibri"/>
                <w:color w:val="0e101a"/>
                <w:sz w:val="20"/>
                <w:szCs w:val="20"/>
                <w:rtl w:val="0"/>
              </w:rPr>
              <w:t xml:space="preserve">.</w:t>
            </w:r>
          </w:p>
        </w:tc>
      </w:tr>
    </w:tbl>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7" w:type="first"/>
      <w:pgSz w:h="16840" w:w="11900" w:orient="portrait"/>
      <w:pgMar w:bottom="1440" w:top="1440" w:left="1080" w:right="108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87500" cy="635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750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2DF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DC2DF8"/>
    <w:pPr>
      <w:tabs>
        <w:tab w:val="center" w:pos="4419"/>
        <w:tab w:val="right" w:pos="8838"/>
      </w:tabs>
    </w:pPr>
  </w:style>
  <w:style w:type="character" w:styleId="EncabezadoCar" w:customStyle="1">
    <w:name w:val="Encabezado Car"/>
    <w:basedOn w:val="Fuentedeprrafopredeter"/>
    <w:link w:val="Encabezado"/>
    <w:uiPriority w:val="99"/>
    <w:rsid w:val="00DC2DF8"/>
  </w:style>
  <w:style w:type="paragraph" w:styleId="Piedepgina">
    <w:name w:val="footer"/>
    <w:basedOn w:val="Normal"/>
    <w:link w:val="PiedepginaCar"/>
    <w:uiPriority w:val="99"/>
    <w:unhideWhenUsed w:val="1"/>
    <w:rsid w:val="00DC2DF8"/>
    <w:pPr>
      <w:tabs>
        <w:tab w:val="center" w:pos="4419"/>
        <w:tab w:val="right" w:pos="8838"/>
      </w:tabs>
    </w:pPr>
  </w:style>
  <w:style w:type="character" w:styleId="PiedepginaCar" w:customStyle="1">
    <w:name w:val="Pie de página Car"/>
    <w:basedOn w:val="Fuentedeprrafopredeter"/>
    <w:link w:val="Piedepgina"/>
    <w:uiPriority w:val="99"/>
    <w:rsid w:val="00DC2DF8"/>
  </w:style>
  <w:style w:type="paragraph" w:styleId="Textoindependiente">
    <w:name w:val="Body Text"/>
    <w:basedOn w:val="Normal"/>
    <w:link w:val="TextoindependienteCar"/>
    <w:uiPriority w:val="1"/>
    <w:qFormat w:val="1"/>
    <w:rsid w:val="00DC2DF8"/>
    <w:pPr>
      <w:widowControl w:val="0"/>
      <w:autoSpaceDE w:val="0"/>
      <w:autoSpaceDN w:val="0"/>
    </w:pPr>
    <w:rPr>
      <w:rFonts w:ascii="Verdana" w:cs="Verdana" w:eastAsia="Verdana" w:hAnsi="Verdana"/>
      <w:sz w:val="11"/>
      <w:szCs w:val="11"/>
      <w:lang w:val="en-US"/>
    </w:rPr>
  </w:style>
  <w:style w:type="character" w:styleId="TextoindependienteCar" w:customStyle="1">
    <w:name w:val="Texto independiente Car"/>
    <w:basedOn w:val="Fuentedeprrafopredeter"/>
    <w:link w:val="Textoindependiente"/>
    <w:uiPriority w:val="1"/>
    <w:rsid w:val="00DC2DF8"/>
    <w:rPr>
      <w:rFonts w:ascii="Verdana" w:cs="Verdana" w:eastAsia="Verdana" w:hAnsi="Verdana"/>
      <w:sz w:val="11"/>
      <w:szCs w:val="11"/>
      <w:lang w:val="en-US"/>
    </w:rPr>
  </w:style>
  <w:style w:type="paragraph" w:styleId="Prrafodelista">
    <w:name w:val="List Paragraph"/>
    <w:basedOn w:val="Normal"/>
    <w:uiPriority w:val="34"/>
    <w:qFormat w:val="1"/>
    <w:rsid w:val="008D4572"/>
    <w:pPr>
      <w:ind w:left="720"/>
      <w:contextualSpacing w:val="1"/>
    </w:pPr>
  </w:style>
  <w:style w:type="table" w:styleId="Tablanormal5">
    <w:name w:val="Plain Table 5"/>
    <w:basedOn w:val="Tablanormal"/>
    <w:uiPriority w:val="45"/>
    <w:rsid w:val="008D4572"/>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aconcuadrcula">
    <w:name w:val="Table Grid"/>
    <w:basedOn w:val="Tablanormal"/>
    <w:uiPriority w:val="39"/>
    <w:rsid w:val="00F72D1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1F65F6"/>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libri" w:cs="Calibri" w:eastAsia="Calibri" w:hAnsi="Calibri"/>
        <w:i w:val="1"/>
        <w:sz w:val="26"/>
        <w:szCs w:val="26"/>
      </w:rPr>
      <w:tcPr>
        <w:tcBorders>
          <w:right w:color="7f7f7f" w:space="0" w:sz="4" w:val="single"/>
        </w:tcBorders>
        <w:shd w:fill="ffffff" w:val="clear"/>
      </w:tcPr>
    </w:tblStylePr>
    <w:tblStylePr w:type="firstRow">
      <w:rPr>
        <w:rFonts w:ascii="Calibri" w:cs="Calibri" w:eastAsia="Calibri" w:hAnsi="Calibri"/>
        <w:i w:val="1"/>
        <w:sz w:val="26"/>
        <w:szCs w:val="26"/>
      </w:rPr>
      <w:tcPr>
        <w:tcBorders>
          <w:bottom w:color="7f7f7f" w:space="0" w:sz="4" w:val="single"/>
        </w:tcBorders>
        <w:shd w:fill="ffffff" w:val="clear"/>
      </w:tcPr>
    </w:tblStylePr>
    <w:tblStylePr w:type="lastCol">
      <w:rPr>
        <w:rFonts w:ascii="Calibri" w:cs="Calibri" w:eastAsia="Calibri" w:hAnsi="Calibri"/>
        <w:i w:val="1"/>
        <w:sz w:val="26"/>
        <w:szCs w:val="26"/>
      </w:rPr>
      <w:tcPr>
        <w:tcBorders>
          <w:left w:color="7f7f7f" w:space="0" w:sz="4" w:val="single"/>
        </w:tcBorders>
        <w:shd w:fill="ffffff" w:val="clear"/>
      </w:tcPr>
    </w:tblStylePr>
    <w:tblStylePr w:type="lastRow">
      <w:rPr>
        <w:rFonts w:ascii="Calibri" w:cs="Calibri" w:eastAsia="Calibri" w:hAnsi="Calibri"/>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GhJuiXoZbJ0bzFzqyjbxzwerQ==">AMUW2mX7iyQb/X/mBURQmRcykJlicEX53k3Krze3OUKr2y26h68f+HhPXbclTlwCJSqUVT7KVppkbMZOymtkgIDrepBStGx3ufby+m7MNEAyVxNf2V/WG9KLp/5ogzcNAXpb+3s82oDq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2020-05-19T22:36:00Z</dcterms:created>
  <dc:creator>Gianella Severini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0x010100A1EA8BE99617AE4BA59FC4DE99FCBFE1</vt:lpwstr>
  </property>
</Properties>
</file>