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87835" w14:textId="24F482E1" w:rsidR="00A83C95" w:rsidRDefault="00557191" w:rsidP="00FD0363">
      <w:pPr>
        <w:spacing w:before="240" w:after="240" w:line="360" w:lineRule="auto"/>
        <w:ind w:left="1276"/>
        <w:jc w:val="both"/>
        <w:rPr>
          <w:rFonts w:ascii="Arial" w:eastAsia="Arial" w:hAnsi="Arial" w:cs="Arial"/>
          <w:b/>
          <w:color w:val="000000"/>
          <w:sz w:val="28"/>
          <w:szCs w:val="28"/>
        </w:rPr>
      </w:pPr>
      <w:r>
        <w:rPr>
          <w:rFonts w:ascii="Arial" w:eastAsia="Arial" w:hAnsi="Arial" w:cs="Arial"/>
          <w:b/>
          <w:sz w:val="28"/>
          <w:szCs w:val="28"/>
        </w:rPr>
        <w:t xml:space="preserve">VOTO </w:t>
      </w:r>
      <w:r w:rsidR="00D70C77">
        <w:rPr>
          <w:rFonts w:ascii="Arial" w:eastAsia="Arial" w:hAnsi="Arial" w:cs="Arial"/>
          <w:b/>
          <w:sz w:val="28"/>
          <w:szCs w:val="28"/>
        </w:rPr>
        <w:t>CONCURRENTE</w:t>
      </w:r>
      <w:r>
        <w:rPr>
          <w:rFonts w:ascii="Arial" w:eastAsia="Arial" w:hAnsi="Arial" w:cs="Arial"/>
          <w:b/>
          <w:sz w:val="28"/>
          <w:szCs w:val="28"/>
        </w:rPr>
        <w:t xml:space="preserve"> QUE FORMULA LA MINISTRA ANA MARGARITA RÍOS FARJAT EN </w:t>
      </w:r>
      <w:r w:rsidR="00D70C77">
        <w:rPr>
          <w:rFonts w:ascii="Arial" w:eastAsia="Arial" w:hAnsi="Arial" w:cs="Arial"/>
          <w:b/>
          <w:sz w:val="28"/>
          <w:szCs w:val="28"/>
        </w:rPr>
        <w:t>E</w:t>
      </w:r>
      <w:r>
        <w:rPr>
          <w:rFonts w:ascii="Arial" w:eastAsia="Arial" w:hAnsi="Arial" w:cs="Arial"/>
          <w:b/>
          <w:sz w:val="28"/>
          <w:szCs w:val="28"/>
        </w:rPr>
        <w:t xml:space="preserve">L </w:t>
      </w:r>
      <w:r w:rsidR="00D70C77">
        <w:rPr>
          <w:rFonts w:ascii="Arial" w:eastAsia="Arial" w:hAnsi="Arial" w:cs="Arial"/>
          <w:b/>
          <w:sz w:val="28"/>
          <w:szCs w:val="28"/>
        </w:rPr>
        <w:t>AMPARO EN REVISIÓN</w:t>
      </w:r>
      <w:r w:rsidR="00330EC4">
        <w:rPr>
          <w:rFonts w:ascii="Arial" w:eastAsia="Arial" w:hAnsi="Arial" w:cs="Arial"/>
          <w:b/>
          <w:sz w:val="28"/>
          <w:szCs w:val="28"/>
        </w:rPr>
        <w:t xml:space="preserve"> 2</w:t>
      </w:r>
      <w:r w:rsidR="00D70C77">
        <w:rPr>
          <w:rFonts w:ascii="Arial" w:eastAsia="Arial" w:hAnsi="Arial" w:cs="Arial"/>
          <w:b/>
          <w:sz w:val="28"/>
          <w:szCs w:val="28"/>
        </w:rPr>
        <w:t>2</w:t>
      </w:r>
      <w:r w:rsidR="00330EC4">
        <w:rPr>
          <w:rFonts w:ascii="Arial" w:eastAsia="Arial" w:hAnsi="Arial" w:cs="Arial"/>
          <w:b/>
          <w:sz w:val="28"/>
          <w:szCs w:val="28"/>
        </w:rPr>
        <w:t>7/20</w:t>
      </w:r>
      <w:r w:rsidR="00D70C77">
        <w:rPr>
          <w:rFonts w:ascii="Arial" w:eastAsia="Arial" w:hAnsi="Arial" w:cs="Arial"/>
          <w:b/>
          <w:sz w:val="28"/>
          <w:szCs w:val="28"/>
        </w:rPr>
        <w:t>22</w:t>
      </w:r>
      <w:r w:rsidR="00F7464C">
        <w:rPr>
          <w:rFonts w:ascii="Arial" w:eastAsia="Arial" w:hAnsi="Arial" w:cs="Arial"/>
          <w:b/>
          <w:sz w:val="28"/>
          <w:szCs w:val="28"/>
        </w:rPr>
        <w:t>.</w:t>
      </w:r>
    </w:p>
    <w:p w14:paraId="720CC857" w14:textId="77777777" w:rsidR="0094610D" w:rsidRDefault="0094610D" w:rsidP="00FD0363">
      <w:pPr>
        <w:spacing w:before="240" w:after="240" w:line="360" w:lineRule="auto"/>
        <w:jc w:val="both"/>
        <w:rPr>
          <w:rFonts w:ascii="Arial" w:eastAsia="Arial" w:hAnsi="Arial" w:cs="Arial"/>
          <w:sz w:val="26"/>
          <w:szCs w:val="26"/>
        </w:rPr>
      </w:pPr>
    </w:p>
    <w:p w14:paraId="3CA9028D" w14:textId="24F011F9" w:rsidR="00FC59C5" w:rsidRDefault="00557191" w:rsidP="00614340">
      <w:pPr>
        <w:spacing w:before="240" w:after="240" w:line="360" w:lineRule="auto"/>
        <w:jc w:val="both"/>
        <w:rPr>
          <w:rFonts w:ascii="Arial" w:eastAsia="Arial" w:hAnsi="Arial" w:cs="Arial"/>
          <w:sz w:val="26"/>
          <w:szCs w:val="26"/>
        </w:rPr>
      </w:pPr>
      <w:r>
        <w:rPr>
          <w:rFonts w:ascii="Arial" w:eastAsia="Arial" w:hAnsi="Arial" w:cs="Arial"/>
          <w:sz w:val="26"/>
          <w:szCs w:val="26"/>
        </w:rPr>
        <w:t xml:space="preserve">En la sesión celebrada el </w:t>
      </w:r>
      <w:r w:rsidR="00D70C77">
        <w:rPr>
          <w:rFonts w:ascii="Arial" w:eastAsia="Arial" w:hAnsi="Arial" w:cs="Arial"/>
          <w:sz w:val="26"/>
          <w:szCs w:val="26"/>
        </w:rPr>
        <w:t>ocho</w:t>
      </w:r>
      <w:r w:rsidR="00473643">
        <w:rPr>
          <w:rFonts w:ascii="Arial" w:eastAsia="Arial" w:hAnsi="Arial" w:cs="Arial"/>
          <w:sz w:val="26"/>
          <w:szCs w:val="26"/>
        </w:rPr>
        <w:t xml:space="preserve"> de </w:t>
      </w:r>
      <w:r w:rsidR="00D70C77">
        <w:rPr>
          <w:rFonts w:ascii="Arial" w:eastAsia="Arial" w:hAnsi="Arial" w:cs="Arial"/>
          <w:sz w:val="26"/>
          <w:szCs w:val="26"/>
        </w:rPr>
        <w:t>abril</w:t>
      </w:r>
      <w:r w:rsidR="00473643">
        <w:rPr>
          <w:rFonts w:ascii="Arial" w:eastAsia="Arial" w:hAnsi="Arial" w:cs="Arial"/>
          <w:sz w:val="26"/>
          <w:szCs w:val="26"/>
        </w:rPr>
        <w:t xml:space="preserve"> de dos mil veinticuatro</w:t>
      </w:r>
      <w:r>
        <w:rPr>
          <w:rFonts w:ascii="Arial" w:eastAsia="Arial" w:hAnsi="Arial" w:cs="Arial"/>
          <w:sz w:val="26"/>
          <w:szCs w:val="26"/>
        </w:rPr>
        <w:t xml:space="preserve">, el Pleno de la Suprema Corte de Justicia de la Nación resolvió </w:t>
      </w:r>
      <w:r w:rsidR="000C7E8A">
        <w:rPr>
          <w:rFonts w:ascii="Arial" w:eastAsia="Arial" w:hAnsi="Arial" w:cs="Arial"/>
          <w:sz w:val="26"/>
          <w:szCs w:val="26"/>
        </w:rPr>
        <w:t>el presente</w:t>
      </w:r>
      <w:r w:rsidR="00462BAD">
        <w:rPr>
          <w:rFonts w:ascii="Arial" w:eastAsia="Arial" w:hAnsi="Arial" w:cs="Arial"/>
          <w:sz w:val="26"/>
          <w:szCs w:val="26"/>
        </w:rPr>
        <w:t xml:space="preserve"> </w:t>
      </w:r>
      <w:r w:rsidR="00D70C77">
        <w:rPr>
          <w:rFonts w:ascii="Arial" w:eastAsia="Arial" w:hAnsi="Arial" w:cs="Arial"/>
          <w:sz w:val="26"/>
          <w:szCs w:val="26"/>
        </w:rPr>
        <w:t>amparo en revisión</w:t>
      </w:r>
      <w:r w:rsidR="00FC59C5">
        <w:rPr>
          <w:rFonts w:ascii="Arial" w:eastAsia="Arial" w:hAnsi="Arial" w:cs="Arial"/>
          <w:sz w:val="26"/>
          <w:szCs w:val="26"/>
        </w:rPr>
        <w:t xml:space="preserve"> </w:t>
      </w:r>
      <w:r w:rsidR="002C353B" w:rsidRPr="000C7E8A">
        <w:rPr>
          <w:rFonts w:ascii="Arial" w:eastAsia="Arial" w:hAnsi="Arial" w:cs="Arial"/>
          <w:sz w:val="26"/>
          <w:szCs w:val="26"/>
        </w:rPr>
        <w:t>promovido</w:t>
      </w:r>
      <w:r w:rsidR="002C353B">
        <w:rPr>
          <w:rFonts w:ascii="Arial" w:eastAsia="Arial" w:hAnsi="Arial" w:cs="Arial"/>
          <w:sz w:val="26"/>
          <w:szCs w:val="26"/>
        </w:rPr>
        <w:t xml:space="preserve"> </w:t>
      </w:r>
      <w:r w:rsidR="001B4E26">
        <w:rPr>
          <w:rFonts w:ascii="Arial" w:eastAsia="Arial" w:hAnsi="Arial" w:cs="Arial"/>
          <w:sz w:val="26"/>
          <w:szCs w:val="26"/>
        </w:rPr>
        <w:t>por una empresa que se dedica a la elaboración y comercialización de productos preenvasados</w:t>
      </w:r>
      <w:r w:rsidR="002C353B" w:rsidRPr="000C7E8A">
        <w:rPr>
          <w:rFonts w:ascii="Arial" w:eastAsia="Arial" w:hAnsi="Arial" w:cs="Arial"/>
          <w:sz w:val="26"/>
          <w:szCs w:val="26"/>
        </w:rPr>
        <w:t>,</w:t>
      </w:r>
      <w:r w:rsidR="00BB744E">
        <w:rPr>
          <w:rFonts w:ascii="Arial" w:eastAsia="Arial" w:hAnsi="Arial" w:cs="Arial"/>
          <w:sz w:val="26"/>
          <w:szCs w:val="26"/>
        </w:rPr>
        <w:t xml:space="preserve"> en contra</w:t>
      </w:r>
      <w:r w:rsidR="00352DAF">
        <w:rPr>
          <w:rFonts w:ascii="Arial" w:eastAsia="Arial" w:hAnsi="Arial" w:cs="Arial"/>
          <w:sz w:val="26"/>
          <w:szCs w:val="26"/>
        </w:rPr>
        <w:t xml:space="preserve"> de</w:t>
      </w:r>
      <w:r w:rsidR="00FC59C5">
        <w:rPr>
          <w:rFonts w:ascii="Arial" w:eastAsia="Arial" w:hAnsi="Arial" w:cs="Arial"/>
          <w:sz w:val="26"/>
          <w:szCs w:val="26"/>
        </w:rPr>
        <w:t xml:space="preserve"> la sentencia </w:t>
      </w:r>
      <w:r w:rsidR="00BB744E">
        <w:rPr>
          <w:rFonts w:ascii="Arial" w:eastAsia="Arial" w:hAnsi="Arial" w:cs="Arial"/>
          <w:sz w:val="26"/>
          <w:szCs w:val="26"/>
        </w:rPr>
        <w:t>dictada en un juicio de amparo indirecto en la que se le negó</w:t>
      </w:r>
      <w:r w:rsidR="002A60A0">
        <w:rPr>
          <w:rFonts w:ascii="Arial" w:eastAsia="Arial" w:hAnsi="Arial" w:cs="Arial"/>
          <w:sz w:val="26"/>
          <w:szCs w:val="26"/>
        </w:rPr>
        <w:t xml:space="preserve"> la protección constitucional </w:t>
      </w:r>
      <w:r w:rsidR="00A27A91">
        <w:rPr>
          <w:rFonts w:ascii="Arial" w:eastAsia="Arial" w:hAnsi="Arial" w:cs="Arial"/>
          <w:sz w:val="26"/>
          <w:szCs w:val="26"/>
        </w:rPr>
        <w:t>respecto</w:t>
      </w:r>
      <w:r w:rsidR="00BB744E">
        <w:rPr>
          <w:rFonts w:ascii="Arial" w:eastAsia="Arial" w:hAnsi="Arial" w:cs="Arial"/>
          <w:sz w:val="26"/>
          <w:szCs w:val="26"/>
        </w:rPr>
        <w:t xml:space="preserve"> de las normas que regulan el eti</w:t>
      </w:r>
      <w:r w:rsidR="002B3BC4">
        <w:rPr>
          <w:rFonts w:ascii="Arial" w:eastAsia="Arial" w:hAnsi="Arial" w:cs="Arial"/>
          <w:sz w:val="26"/>
          <w:szCs w:val="26"/>
        </w:rPr>
        <w:t xml:space="preserve">quetado frontal de alimentos. </w:t>
      </w:r>
    </w:p>
    <w:p w14:paraId="32371E8E" w14:textId="2D68FAED" w:rsidR="00A62BDA" w:rsidRDefault="00A62BDA" w:rsidP="00614340">
      <w:pPr>
        <w:spacing w:before="240" w:after="240" w:line="360" w:lineRule="auto"/>
        <w:jc w:val="both"/>
        <w:rPr>
          <w:rFonts w:ascii="Arial" w:eastAsia="Arial" w:hAnsi="Arial" w:cs="Arial"/>
          <w:sz w:val="26"/>
          <w:szCs w:val="26"/>
        </w:rPr>
      </w:pPr>
      <w:r>
        <w:rPr>
          <w:rFonts w:ascii="Arial" w:eastAsia="Arial" w:hAnsi="Arial" w:cs="Arial"/>
          <w:sz w:val="26"/>
          <w:szCs w:val="26"/>
        </w:rPr>
        <w:t>En este asunto, la empresa quejosa aduj</w:t>
      </w:r>
      <w:r w:rsidR="00684745">
        <w:rPr>
          <w:rFonts w:ascii="Arial" w:eastAsia="Arial" w:hAnsi="Arial" w:cs="Arial"/>
          <w:sz w:val="26"/>
          <w:szCs w:val="26"/>
        </w:rPr>
        <w:t>o</w:t>
      </w:r>
      <w:r w:rsidR="00490E57">
        <w:rPr>
          <w:rFonts w:ascii="Arial" w:eastAsia="Arial" w:hAnsi="Arial" w:cs="Arial"/>
          <w:sz w:val="26"/>
          <w:szCs w:val="26"/>
        </w:rPr>
        <w:t xml:space="preserve"> </w:t>
      </w:r>
      <w:r>
        <w:rPr>
          <w:rFonts w:ascii="Arial" w:eastAsia="Arial" w:hAnsi="Arial" w:cs="Arial"/>
          <w:sz w:val="26"/>
          <w:szCs w:val="26"/>
        </w:rPr>
        <w:t>que</w:t>
      </w:r>
      <w:r w:rsidR="002B3BC4">
        <w:rPr>
          <w:rFonts w:ascii="Arial" w:eastAsia="Arial" w:hAnsi="Arial" w:cs="Arial"/>
          <w:sz w:val="26"/>
          <w:szCs w:val="26"/>
        </w:rPr>
        <w:t xml:space="preserve"> los artículos 212, párrafos tercero y cuarto, </w:t>
      </w:r>
      <w:r w:rsidR="00046EF4">
        <w:rPr>
          <w:rFonts w:ascii="Arial" w:eastAsia="Arial" w:hAnsi="Arial" w:cs="Arial"/>
          <w:sz w:val="26"/>
          <w:szCs w:val="26"/>
        </w:rPr>
        <w:t>y</w:t>
      </w:r>
      <w:r w:rsidR="008502A0">
        <w:rPr>
          <w:rFonts w:ascii="Arial" w:eastAsia="Arial" w:hAnsi="Arial" w:cs="Arial"/>
          <w:sz w:val="26"/>
          <w:szCs w:val="26"/>
        </w:rPr>
        <w:t xml:space="preserve"> </w:t>
      </w:r>
      <w:r w:rsidR="002B3BC4">
        <w:rPr>
          <w:rFonts w:ascii="Arial" w:eastAsia="Arial" w:hAnsi="Arial" w:cs="Arial"/>
          <w:sz w:val="26"/>
          <w:szCs w:val="26"/>
        </w:rPr>
        <w:t>215, fracciones VI y VII</w:t>
      </w:r>
      <w:r w:rsidR="00181A61">
        <w:rPr>
          <w:rFonts w:ascii="Arial" w:eastAsia="Arial" w:hAnsi="Arial" w:cs="Arial"/>
          <w:sz w:val="26"/>
          <w:szCs w:val="26"/>
        </w:rPr>
        <w:t>,</w:t>
      </w:r>
      <w:r w:rsidR="002B3BC4">
        <w:rPr>
          <w:rFonts w:ascii="Arial" w:eastAsia="Arial" w:hAnsi="Arial" w:cs="Arial"/>
          <w:sz w:val="26"/>
          <w:szCs w:val="26"/>
        </w:rPr>
        <w:t xml:space="preserve"> </w:t>
      </w:r>
      <w:r w:rsidR="004E16E0">
        <w:rPr>
          <w:rFonts w:ascii="Arial" w:eastAsia="Arial" w:hAnsi="Arial" w:cs="Arial"/>
          <w:sz w:val="26"/>
          <w:szCs w:val="26"/>
        </w:rPr>
        <w:t xml:space="preserve">de la </w:t>
      </w:r>
      <w:r w:rsidR="002B3BC4">
        <w:rPr>
          <w:rFonts w:ascii="Arial" w:eastAsia="Arial" w:hAnsi="Arial" w:cs="Arial"/>
          <w:sz w:val="26"/>
          <w:szCs w:val="26"/>
        </w:rPr>
        <w:t>Ley General de Salud</w:t>
      </w:r>
      <w:r w:rsidR="00490E57">
        <w:rPr>
          <w:rFonts w:ascii="Arial" w:eastAsia="Arial" w:hAnsi="Arial" w:cs="Arial"/>
          <w:sz w:val="26"/>
          <w:szCs w:val="26"/>
        </w:rPr>
        <w:t>, así como l</w:t>
      </w:r>
      <w:r w:rsidR="0089028F">
        <w:rPr>
          <w:rFonts w:ascii="Arial" w:eastAsia="Arial" w:hAnsi="Arial" w:cs="Arial"/>
          <w:sz w:val="26"/>
          <w:szCs w:val="26"/>
        </w:rPr>
        <w:t xml:space="preserve">a </w:t>
      </w:r>
      <w:r w:rsidR="0089028F" w:rsidRPr="008A5821">
        <w:rPr>
          <w:rFonts w:ascii="Arial" w:eastAsia="Arial" w:hAnsi="Arial" w:cs="Arial"/>
          <w:sz w:val="26"/>
          <w:szCs w:val="26"/>
        </w:rPr>
        <w:t xml:space="preserve">Norma Oficial Mexicana </w:t>
      </w:r>
      <w:r w:rsidR="0089028F" w:rsidRPr="008A5821">
        <w:rPr>
          <w:rFonts w:ascii="Arial" w:eastAsia="Arial" w:hAnsi="Arial" w:cs="Arial"/>
          <w:i/>
          <w:iCs/>
          <w:sz w:val="26"/>
          <w:szCs w:val="26"/>
        </w:rPr>
        <w:t>NOM-051-SCFI/SSA1-2010,</w:t>
      </w:r>
      <w:r w:rsidR="0089028F" w:rsidRPr="0089028F">
        <w:rPr>
          <w:rFonts w:ascii="Arial" w:eastAsia="Arial" w:hAnsi="Arial" w:cs="Arial"/>
          <w:i/>
          <w:iCs/>
          <w:sz w:val="26"/>
          <w:szCs w:val="26"/>
        </w:rPr>
        <w:t xml:space="preserve"> Especificaci</w:t>
      </w:r>
      <w:r w:rsidR="008A5821">
        <w:rPr>
          <w:rFonts w:ascii="Arial" w:eastAsia="Arial" w:hAnsi="Arial" w:cs="Arial"/>
          <w:i/>
          <w:iCs/>
          <w:sz w:val="26"/>
          <w:szCs w:val="26"/>
        </w:rPr>
        <w:t>ones</w:t>
      </w:r>
      <w:r w:rsidR="0089028F" w:rsidRPr="0089028F">
        <w:rPr>
          <w:rFonts w:ascii="Arial" w:eastAsia="Arial" w:hAnsi="Arial" w:cs="Arial"/>
          <w:i/>
          <w:iCs/>
          <w:sz w:val="26"/>
          <w:szCs w:val="26"/>
        </w:rPr>
        <w:t xml:space="preserve"> generales de etiquetado para alimentos y bebidas no alcohólicas preenvasados-información comercial y sanitaria</w:t>
      </w:r>
      <w:r w:rsidR="0089028F">
        <w:rPr>
          <w:rFonts w:ascii="Arial" w:eastAsia="Arial" w:hAnsi="Arial" w:cs="Arial"/>
          <w:sz w:val="26"/>
          <w:szCs w:val="26"/>
        </w:rPr>
        <w:t xml:space="preserve"> </w:t>
      </w:r>
      <w:r w:rsidR="00DE0DB9">
        <w:rPr>
          <w:rFonts w:ascii="Arial" w:eastAsia="Arial" w:hAnsi="Arial" w:cs="Arial"/>
          <w:sz w:val="26"/>
          <w:szCs w:val="26"/>
        </w:rPr>
        <w:t>so</w:t>
      </w:r>
      <w:r w:rsidR="0082493E">
        <w:rPr>
          <w:rFonts w:ascii="Arial" w:eastAsia="Arial" w:hAnsi="Arial" w:cs="Arial"/>
          <w:sz w:val="26"/>
          <w:szCs w:val="26"/>
        </w:rPr>
        <w:t xml:space="preserve">n </w:t>
      </w:r>
      <w:r>
        <w:rPr>
          <w:rFonts w:ascii="Arial" w:eastAsia="Arial" w:hAnsi="Arial" w:cs="Arial"/>
          <w:sz w:val="26"/>
          <w:szCs w:val="26"/>
        </w:rPr>
        <w:t>inconstitucionales</w:t>
      </w:r>
      <w:r w:rsidR="00490E57">
        <w:rPr>
          <w:rFonts w:ascii="Arial" w:eastAsia="Arial" w:hAnsi="Arial" w:cs="Arial"/>
          <w:sz w:val="26"/>
          <w:szCs w:val="26"/>
        </w:rPr>
        <w:t xml:space="preserve"> —entre otras cuestiones— </w:t>
      </w:r>
      <w:r>
        <w:rPr>
          <w:rFonts w:ascii="Arial" w:eastAsia="Arial" w:hAnsi="Arial" w:cs="Arial"/>
          <w:sz w:val="26"/>
          <w:szCs w:val="26"/>
        </w:rPr>
        <w:t xml:space="preserve">porque no </w:t>
      </w:r>
      <w:r w:rsidR="005D4A43">
        <w:rPr>
          <w:rFonts w:ascii="Arial" w:eastAsia="Arial" w:hAnsi="Arial" w:cs="Arial"/>
          <w:sz w:val="26"/>
          <w:szCs w:val="26"/>
        </w:rPr>
        <w:t>existió</w:t>
      </w:r>
      <w:r>
        <w:rPr>
          <w:rFonts w:ascii="Arial" w:eastAsia="Arial" w:hAnsi="Arial" w:cs="Arial"/>
          <w:sz w:val="26"/>
          <w:szCs w:val="26"/>
        </w:rPr>
        <w:t xml:space="preserve"> una motivación reforzada</w:t>
      </w:r>
      <w:r w:rsidR="004E16E0">
        <w:rPr>
          <w:rFonts w:ascii="Arial" w:eastAsia="Arial" w:hAnsi="Arial" w:cs="Arial"/>
          <w:sz w:val="26"/>
          <w:szCs w:val="26"/>
        </w:rPr>
        <w:t xml:space="preserve"> para su emisión,</w:t>
      </w:r>
      <w:r>
        <w:rPr>
          <w:rFonts w:ascii="Arial" w:eastAsia="Arial" w:hAnsi="Arial" w:cs="Arial"/>
          <w:sz w:val="26"/>
          <w:szCs w:val="26"/>
        </w:rPr>
        <w:t xml:space="preserve"> aun cuando su implementación incide en los derechos fundamentales a la salud y </w:t>
      </w:r>
      <w:r w:rsidR="004E16E0">
        <w:rPr>
          <w:rFonts w:ascii="Arial" w:eastAsia="Arial" w:hAnsi="Arial" w:cs="Arial"/>
          <w:sz w:val="26"/>
          <w:szCs w:val="26"/>
        </w:rPr>
        <w:t xml:space="preserve">a la </w:t>
      </w:r>
      <w:r>
        <w:rPr>
          <w:rFonts w:ascii="Arial" w:eastAsia="Arial" w:hAnsi="Arial" w:cs="Arial"/>
          <w:sz w:val="26"/>
          <w:szCs w:val="26"/>
        </w:rPr>
        <w:t xml:space="preserve">protección al consumidor. </w:t>
      </w:r>
    </w:p>
    <w:p w14:paraId="22025ECA" w14:textId="44556996" w:rsidR="00367A12" w:rsidRDefault="00631176" w:rsidP="00614340">
      <w:pPr>
        <w:spacing w:before="240" w:after="240" w:line="360" w:lineRule="auto"/>
        <w:jc w:val="both"/>
        <w:rPr>
          <w:rFonts w:ascii="Arial" w:eastAsia="Arial" w:hAnsi="Arial" w:cs="Arial"/>
          <w:sz w:val="26"/>
          <w:szCs w:val="26"/>
        </w:rPr>
      </w:pPr>
      <w:r>
        <w:rPr>
          <w:rFonts w:ascii="Arial" w:eastAsia="Arial" w:hAnsi="Arial" w:cs="Arial"/>
          <w:sz w:val="26"/>
          <w:szCs w:val="26"/>
        </w:rPr>
        <w:t xml:space="preserve">Por mayoría de </w:t>
      </w:r>
      <w:r w:rsidR="002C353B" w:rsidRPr="000C7E8A">
        <w:rPr>
          <w:rFonts w:ascii="Arial" w:eastAsia="Arial" w:hAnsi="Arial" w:cs="Arial"/>
          <w:sz w:val="26"/>
          <w:szCs w:val="26"/>
        </w:rPr>
        <w:t xml:space="preserve">diez </w:t>
      </w:r>
      <w:r w:rsidRPr="000C7E8A">
        <w:rPr>
          <w:rFonts w:ascii="Arial" w:eastAsia="Arial" w:hAnsi="Arial" w:cs="Arial"/>
          <w:sz w:val="26"/>
          <w:szCs w:val="26"/>
        </w:rPr>
        <w:t>votos</w:t>
      </w:r>
      <w:r w:rsidR="002C353B" w:rsidRPr="000C7E8A">
        <w:rPr>
          <w:rStyle w:val="Refdenotaalpie"/>
          <w:rFonts w:ascii="Arial" w:eastAsia="Arial" w:hAnsi="Arial" w:cs="Arial"/>
          <w:sz w:val="26"/>
          <w:szCs w:val="26"/>
        </w:rPr>
        <w:footnoteReference w:id="2"/>
      </w:r>
      <w:r w:rsidR="00AD745B" w:rsidRPr="000C7E8A">
        <w:rPr>
          <w:rFonts w:ascii="Arial" w:eastAsia="Arial" w:hAnsi="Arial" w:cs="Arial"/>
          <w:sz w:val="26"/>
          <w:szCs w:val="26"/>
        </w:rPr>
        <w:t xml:space="preserve"> en relación con la reforma legal</w:t>
      </w:r>
      <w:r w:rsidR="008D2A77" w:rsidRPr="000C7E8A">
        <w:rPr>
          <w:rFonts w:ascii="Arial" w:eastAsia="Arial" w:hAnsi="Arial" w:cs="Arial"/>
          <w:sz w:val="26"/>
          <w:szCs w:val="26"/>
        </w:rPr>
        <w:t>,</w:t>
      </w:r>
      <w:r w:rsidR="00A62BDA" w:rsidRPr="000C7E8A">
        <w:rPr>
          <w:rFonts w:ascii="Arial" w:eastAsia="Arial" w:hAnsi="Arial" w:cs="Arial"/>
          <w:sz w:val="26"/>
          <w:szCs w:val="26"/>
        </w:rPr>
        <w:t xml:space="preserve"> y por unanimidad</w:t>
      </w:r>
      <w:r w:rsidR="002C353B" w:rsidRPr="000C7E8A">
        <w:rPr>
          <w:rStyle w:val="Refdenotaalpie"/>
          <w:rFonts w:ascii="Arial" w:eastAsia="Arial" w:hAnsi="Arial" w:cs="Arial"/>
          <w:sz w:val="26"/>
          <w:szCs w:val="26"/>
        </w:rPr>
        <w:footnoteReference w:id="3"/>
      </w:r>
      <w:r w:rsidR="00AD745B">
        <w:rPr>
          <w:rFonts w:ascii="Arial" w:eastAsia="Arial" w:hAnsi="Arial" w:cs="Arial"/>
          <w:sz w:val="26"/>
          <w:szCs w:val="26"/>
        </w:rPr>
        <w:t xml:space="preserve"> en lo que respecta a la modificación a la Norma Oficial Mexicana</w:t>
      </w:r>
      <w:r>
        <w:rPr>
          <w:rFonts w:ascii="Arial" w:eastAsia="Arial" w:hAnsi="Arial" w:cs="Arial"/>
          <w:sz w:val="26"/>
          <w:szCs w:val="26"/>
        </w:rPr>
        <w:t xml:space="preserve">, el Pleno determinó que </w:t>
      </w:r>
      <w:r w:rsidR="00F74200">
        <w:rPr>
          <w:rFonts w:ascii="Arial" w:eastAsia="Arial" w:hAnsi="Arial" w:cs="Arial"/>
          <w:sz w:val="26"/>
          <w:szCs w:val="26"/>
        </w:rPr>
        <w:t>l</w:t>
      </w:r>
      <w:r w:rsidR="00AD745B">
        <w:rPr>
          <w:rFonts w:ascii="Arial" w:eastAsia="Arial" w:hAnsi="Arial" w:cs="Arial"/>
          <w:sz w:val="26"/>
          <w:szCs w:val="26"/>
        </w:rPr>
        <w:t>os conceptos de violación relacionados con la exigencia de una motivación reforzada eran inoperantes</w:t>
      </w:r>
      <w:r w:rsidR="00E83394">
        <w:rPr>
          <w:rFonts w:ascii="Arial" w:eastAsia="Arial" w:hAnsi="Arial" w:cs="Arial"/>
          <w:sz w:val="26"/>
          <w:szCs w:val="26"/>
        </w:rPr>
        <w:t>. Lo anterior</w:t>
      </w:r>
      <w:r w:rsidR="00045ADA">
        <w:rPr>
          <w:rFonts w:ascii="Arial" w:eastAsia="Arial" w:hAnsi="Arial" w:cs="Arial"/>
          <w:sz w:val="26"/>
          <w:szCs w:val="26"/>
        </w:rPr>
        <w:t xml:space="preserve">, </w:t>
      </w:r>
      <w:r w:rsidR="00F74200">
        <w:rPr>
          <w:rFonts w:ascii="Arial" w:eastAsia="Arial" w:hAnsi="Arial" w:cs="Arial"/>
          <w:sz w:val="26"/>
          <w:szCs w:val="26"/>
        </w:rPr>
        <w:t xml:space="preserve">en virtud de que </w:t>
      </w:r>
      <w:r w:rsidR="00AD745B">
        <w:rPr>
          <w:rFonts w:ascii="Arial" w:eastAsia="Arial" w:hAnsi="Arial" w:cs="Arial"/>
          <w:sz w:val="26"/>
          <w:szCs w:val="26"/>
        </w:rPr>
        <w:t xml:space="preserve">la empresa quejosa no podía considerarse titular de los </w:t>
      </w:r>
      <w:r w:rsidR="00AD745B">
        <w:rPr>
          <w:rFonts w:ascii="Arial" w:eastAsia="Arial" w:hAnsi="Arial" w:cs="Arial"/>
          <w:sz w:val="26"/>
          <w:szCs w:val="26"/>
        </w:rPr>
        <w:lastRenderedPageBreak/>
        <w:t xml:space="preserve">derechos a la salud y </w:t>
      </w:r>
      <w:r w:rsidR="00D67A76">
        <w:rPr>
          <w:rFonts w:ascii="Arial" w:eastAsia="Arial" w:hAnsi="Arial" w:cs="Arial"/>
          <w:sz w:val="26"/>
          <w:szCs w:val="26"/>
        </w:rPr>
        <w:t xml:space="preserve">a la </w:t>
      </w:r>
      <w:r w:rsidR="00AD745B">
        <w:rPr>
          <w:rFonts w:ascii="Arial" w:eastAsia="Arial" w:hAnsi="Arial" w:cs="Arial"/>
          <w:sz w:val="26"/>
          <w:szCs w:val="26"/>
        </w:rPr>
        <w:t>protección del consumidor</w:t>
      </w:r>
      <w:r w:rsidR="003B1FEA">
        <w:rPr>
          <w:rFonts w:ascii="Arial" w:eastAsia="Arial" w:hAnsi="Arial" w:cs="Arial"/>
          <w:sz w:val="26"/>
          <w:szCs w:val="26"/>
        </w:rPr>
        <w:t xml:space="preserve"> y, por ende, no estaba en aptitud de reclamar la falta de una motivación reforzada a la luz de tales prerrogativas fundamentales. </w:t>
      </w:r>
    </w:p>
    <w:p w14:paraId="1286C313" w14:textId="5DFB50BA" w:rsidR="00473643" w:rsidRDefault="003B1FEA" w:rsidP="00614340">
      <w:pPr>
        <w:spacing w:before="240" w:after="240" w:line="360" w:lineRule="auto"/>
        <w:jc w:val="both"/>
        <w:rPr>
          <w:rFonts w:ascii="Arial" w:eastAsia="Arial" w:hAnsi="Arial" w:cs="Arial"/>
          <w:sz w:val="26"/>
          <w:szCs w:val="26"/>
        </w:rPr>
      </w:pPr>
      <w:r>
        <w:rPr>
          <w:rFonts w:ascii="Arial" w:eastAsia="Arial" w:hAnsi="Arial" w:cs="Arial"/>
          <w:sz w:val="26"/>
          <w:szCs w:val="26"/>
        </w:rPr>
        <w:t xml:space="preserve">Si bien </w:t>
      </w:r>
      <w:r w:rsidR="00045ADA">
        <w:rPr>
          <w:rFonts w:ascii="Arial" w:eastAsia="Arial" w:hAnsi="Arial" w:cs="Arial"/>
          <w:sz w:val="26"/>
          <w:szCs w:val="26"/>
        </w:rPr>
        <w:t>compartí la decisión alcanzada</w:t>
      </w:r>
      <w:r>
        <w:rPr>
          <w:rFonts w:ascii="Arial" w:eastAsia="Arial" w:hAnsi="Arial" w:cs="Arial"/>
          <w:sz w:val="26"/>
          <w:szCs w:val="26"/>
        </w:rPr>
        <w:t>, discrep</w:t>
      </w:r>
      <w:r w:rsidR="00286242">
        <w:rPr>
          <w:rFonts w:ascii="Arial" w:eastAsia="Arial" w:hAnsi="Arial" w:cs="Arial"/>
          <w:sz w:val="26"/>
          <w:szCs w:val="26"/>
        </w:rPr>
        <w:t>o</w:t>
      </w:r>
      <w:r>
        <w:rPr>
          <w:rFonts w:ascii="Arial" w:eastAsia="Arial" w:hAnsi="Arial" w:cs="Arial"/>
          <w:sz w:val="26"/>
          <w:szCs w:val="26"/>
        </w:rPr>
        <w:t xml:space="preserve"> de las razones en </w:t>
      </w:r>
      <w:r w:rsidR="00286242">
        <w:rPr>
          <w:rFonts w:ascii="Arial" w:eastAsia="Arial" w:hAnsi="Arial" w:cs="Arial"/>
          <w:sz w:val="26"/>
          <w:szCs w:val="26"/>
        </w:rPr>
        <w:t xml:space="preserve">las </w:t>
      </w:r>
      <w:r>
        <w:rPr>
          <w:rFonts w:ascii="Arial" w:eastAsia="Arial" w:hAnsi="Arial" w:cs="Arial"/>
          <w:sz w:val="26"/>
          <w:szCs w:val="26"/>
        </w:rPr>
        <w:t>que se sustent</w:t>
      </w:r>
      <w:r w:rsidRPr="0080293E">
        <w:rPr>
          <w:rFonts w:ascii="Arial" w:eastAsia="Arial" w:hAnsi="Arial" w:cs="Arial"/>
          <w:sz w:val="26"/>
          <w:szCs w:val="26"/>
        </w:rPr>
        <w:t>a</w:t>
      </w:r>
      <w:r w:rsidR="00660704" w:rsidRPr="0080293E">
        <w:rPr>
          <w:rFonts w:ascii="Arial" w:eastAsia="Arial" w:hAnsi="Arial" w:cs="Arial"/>
          <w:sz w:val="26"/>
          <w:szCs w:val="26"/>
        </w:rPr>
        <w:t xml:space="preserve"> </w:t>
      </w:r>
      <w:r w:rsidR="00715B67" w:rsidRPr="0080293E">
        <w:rPr>
          <w:rFonts w:ascii="Arial" w:eastAsia="Arial" w:hAnsi="Arial" w:cs="Arial"/>
          <w:sz w:val="26"/>
          <w:szCs w:val="26"/>
        </w:rPr>
        <w:t xml:space="preserve">que la </w:t>
      </w:r>
      <w:r w:rsidR="0038269B" w:rsidRPr="0080293E">
        <w:rPr>
          <w:rFonts w:ascii="Arial" w:eastAsia="Arial" w:hAnsi="Arial" w:cs="Arial"/>
          <w:sz w:val="26"/>
          <w:szCs w:val="26"/>
        </w:rPr>
        <w:t xml:space="preserve">empresa </w:t>
      </w:r>
      <w:r w:rsidR="00715B67" w:rsidRPr="0080293E">
        <w:rPr>
          <w:rFonts w:ascii="Arial" w:eastAsia="Arial" w:hAnsi="Arial" w:cs="Arial"/>
          <w:sz w:val="26"/>
          <w:szCs w:val="26"/>
        </w:rPr>
        <w:t xml:space="preserve">quejosa </w:t>
      </w:r>
      <w:r w:rsidR="00F646F8" w:rsidRPr="0080293E">
        <w:rPr>
          <w:rFonts w:ascii="Arial" w:eastAsia="Arial" w:hAnsi="Arial" w:cs="Arial"/>
          <w:sz w:val="26"/>
          <w:szCs w:val="26"/>
        </w:rPr>
        <w:t xml:space="preserve">carece de legitimación para reclamar la motivación reforzada </w:t>
      </w:r>
      <w:r w:rsidR="00A56704" w:rsidRPr="0080293E">
        <w:rPr>
          <w:rFonts w:ascii="Arial" w:eastAsia="Arial" w:hAnsi="Arial" w:cs="Arial"/>
          <w:sz w:val="26"/>
          <w:szCs w:val="26"/>
        </w:rPr>
        <w:t xml:space="preserve">porque </w:t>
      </w:r>
      <w:r w:rsidR="00715B67" w:rsidRPr="0080293E">
        <w:rPr>
          <w:rFonts w:ascii="Arial" w:eastAsia="Arial" w:hAnsi="Arial" w:cs="Arial"/>
          <w:sz w:val="26"/>
          <w:szCs w:val="26"/>
        </w:rPr>
        <w:t xml:space="preserve">no puede ser titular del derecho a la salud por el simple hecho de </w:t>
      </w:r>
      <w:r w:rsidR="007D3A86" w:rsidRPr="0080293E">
        <w:rPr>
          <w:rFonts w:ascii="Arial" w:eastAsia="Arial" w:hAnsi="Arial" w:cs="Arial"/>
          <w:sz w:val="26"/>
          <w:szCs w:val="26"/>
        </w:rPr>
        <w:t xml:space="preserve">ser una persona </w:t>
      </w:r>
      <w:r w:rsidR="0038269B" w:rsidRPr="0080293E">
        <w:rPr>
          <w:rFonts w:ascii="Arial" w:eastAsia="Arial" w:hAnsi="Arial" w:cs="Arial"/>
          <w:sz w:val="26"/>
          <w:szCs w:val="26"/>
        </w:rPr>
        <w:t>jurídica</w:t>
      </w:r>
      <w:r w:rsidR="00A56704" w:rsidRPr="0080293E">
        <w:rPr>
          <w:rFonts w:ascii="Arial" w:eastAsia="Arial" w:hAnsi="Arial" w:cs="Arial"/>
          <w:sz w:val="26"/>
          <w:szCs w:val="26"/>
        </w:rPr>
        <w:t xml:space="preserve">, así como aquellas en que </w:t>
      </w:r>
      <w:r w:rsidR="00F368BE">
        <w:rPr>
          <w:rFonts w:ascii="Arial" w:eastAsia="Arial" w:hAnsi="Arial" w:cs="Arial"/>
          <w:sz w:val="26"/>
          <w:szCs w:val="26"/>
        </w:rPr>
        <w:t xml:space="preserve">se </w:t>
      </w:r>
      <w:r w:rsidR="00A56704" w:rsidRPr="0080293E">
        <w:rPr>
          <w:rFonts w:ascii="Arial" w:eastAsia="Arial" w:hAnsi="Arial" w:cs="Arial"/>
          <w:sz w:val="26"/>
          <w:szCs w:val="26"/>
        </w:rPr>
        <w:t xml:space="preserve">sostiene </w:t>
      </w:r>
      <w:r w:rsidR="00660704" w:rsidRPr="0080293E">
        <w:rPr>
          <w:rFonts w:ascii="Arial" w:eastAsia="Arial" w:hAnsi="Arial" w:cs="Arial"/>
          <w:sz w:val="26"/>
          <w:szCs w:val="26"/>
        </w:rPr>
        <w:t>la</w:t>
      </w:r>
      <w:r w:rsidR="00660704">
        <w:rPr>
          <w:rFonts w:ascii="Arial" w:eastAsia="Arial" w:hAnsi="Arial" w:cs="Arial"/>
          <w:sz w:val="26"/>
          <w:szCs w:val="26"/>
        </w:rPr>
        <w:t xml:space="preserve"> declaratoria de inoperancia</w:t>
      </w:r>
      <w:r w:rsidR="00C00E60">
        <w:rPr>
          <w:rFonts w:ascii="Arial" w:eastAsia="Arial" w:hAnsi="Arial" w:cs="Arial"/>
          <w:sz w:val="26"/>
          <w:szCs w:val="26"/>
        </w:rPr>
        <w:t xml:space="preserve"> en relación con</w:t>
      </w:r>
      <w:r>
        <w:rPr>
          <w:rFonts w:ascii="Arial" w:eastAsia="Arial" w:hAnsi="Arial" w:cs="Arial"/>
          <w:sz w:val="26"/>
          <w:szCs w:val="26"/>
        </w:rPr>
        <w:t xml:space="preserve"> la motivación reforzada de la Norma Oficial Mexicana</w:t>
      </w:r>
      <w:r w:rsidR="00045ADA">
        <w:rPr>
          <w:rFonts w:ascii="Arial" w:eastAsia="Arial" w:hAnsi="Arial" w:cs="Arial"/>
          <w:sz w:val="26"/>
          <w:szCs w:val="26"/>
        </w:rPr>
        <w:t xml:space="preserve">. Por lo tanto, emito el presente voto </w:t>
      </w:r>
      <w:r>
        <w:rPr>
          <w:rFonts w:ascii="Arial" w:eastAsia="Arial" w:hAnsi="Arial" w:cs="Arial"/>
          <w:sz w:val="26"/>
          <w:szCs w:val="26"/>
        </w:rPr>
        <w:t>concurrente</w:t>
      </w:r>
      <w:r w:rsidR="00045ADA">
        <w:rPr>
          <w:rFonts w:ascii="Arial" w:eastAsia="Arial" w:hAnsi="Arial" w:cs="Arial"/>
          <w:sz w:val="26"/>
          <w:szCs w:val="26"/>
        </w:rPr>
        <w:t xml:space="preserve"> para ex</w:t>
      </w:r>
      <w:r w:rsidR="00045ADA" w:rsidRPr="00B753B1">
        <w:rPr>
          <w:rFonts w:ascii="Arial" w:eastAsia="Arial" w:hAnsi="Arial" w:cs="Arial"/>
          <w:sz w:val="26"/>
          <w:szCs w:val="26"/>
        </w:rPr>
        <w:t>poner l</w:t>
      </w:r>
      <w:r w:rsidRPr="00B753B1">
        <w:rPr>
          <w:rFonts w:ascii="Arial" w:eastAsia="Arial" w:hAnsi="Arial" w:cs="Arial"/>
          <w:sz w:val="26"/>
          <w:szCs w:val="26"/>
        </w:rPr>
        <w:t>o</w:t>
      </w:r>
      <w:r w:rsidR="00045ADA" w:rsidRPr="00B753B1">
        <w:rPr>
          <w:rFonts w:ascii="Arial" w:eastAsia="Arial" w:hAnsi="Arial" w:cs="Arial"/>
          <w:sz w:val="26"/>
          <w:szCs w:val="26"/>
        </w:rPr>
        <w:t xml:space="preserve">s </w:t>
      </w:r>
      <w:r w:rsidRPr="00B753B1">
        <w:rPr>
          <w:rFonts w:ascii="Arial" w:eastAsia="Arial" w:hAnsi="Arial" w:cs="Arial"/>
          <w:sz w:val="26"/>
          <w:szCs w:val="26"/>
        </w:rPr>
        <w:t xml:space="preserve">diversos </w:t>
      </w:r>
      <w:r w:rsidR="00045ADA" w:rsidRPr="00B753B1">
        <w:rPr>
          <w:rFonts w:ascii="Arial" w:eastAsia="Arial" w:hAnsi="Arial" w:cs="Arial"/>
          <w:sz w:val="26"/>
          <w:szCs w:val="26"/>
        </w:rPr>
        <w:t>razon</w:t>
      </w:r>
      <w:r w:rsidRPr="00B753B1">
        <w:rPr>
          <w:rFonts w:ascii="Arial" w:eastAsia="Arial" w:hAnsi="Arial" w:cs="Arial"/>
          <w:sz w:val="26"/>
          <w:szCs w:val="26"/>
        </w:rPr>
        <w:t xml:space="preserve">amientos </w:t>
      </w:r>
      <w:r w:rsidR="00660704" w:rsidRPr="00B753B1">
        <w:rPr>
          <w:rFonts w:ascii="Arial" w:eastAsia="Arial" w:hAnsi="Arial" w:cs="Arial"/>
          <w:sz w:val="26"/>
          <w:szCs w:val="26"/>
        </w:rPr>
        <w:t>con base en los cuales consider</w:t>
      </w:r>
      <w:r w:rsidR="00022CC3" w:rsidRPr="00B753B1">
        <w:rPr>
          <w:rFonts w:ascii="Arial" w:eastAsia="Arial" w:hAnsi="Arial" w:cs="Arial"/>
          <w:sz w:val="26"/>
          <w:szCs w:val="26"/>
        </w:rPr>
        <w:t>o</w:t>
      </w:r>
      <w:r w:rsidR="00660704" w:rsidRPr="00B753B1">
        <w:rPr>
          <w:rFonts w:ascii="Arial" w:eastAsia="Arial" w:hAnsi="Arial" w:cs="Arial"/>
          <w:sz w:val="26"/>
          <w:szCs w:val="26"/>
        </w:rPr>
        <w:t xml:space="preserve"> que debi</w:t>
      </w:r>
      <w:r w:rsidR="00435B38" w:rsidRPr="00B753B1">
        <w:rPr>
          <w:rFonts w:ascii="Arial" w:eastAsia="Arial" w:hAnsi="Arial" w:cs="Arial"/>
          <w:sz w:val="26"/>
          <w:szCs w:val="26"/>
        </w:rPr>
        <w:t>eron</w:t>
      </w:r>
      <w:r w:rsidR="00660704" w:rsidRPr="00B753B1">
        <w:rPr>
          <w:rFonts w:ascii="Arial" w:eastAsia="Arial" w:hAnsi="Arial" w:cs="Arial"/>
          <w:sz w:val="26"/>
          <w:szCs w:val="26"/>
        </w:rPr>
        <w:t xml:space="preserve"> </w:t>
      </w:r>
      <w:r w:rsidR="00B4545B" w:rsidRPr="00B753B1">
        <w:rPr>
          <w:rFonts w:ascii="Arial" w:eastAsia="Arial" w:hAnsi="Arial" w:cs="Arial"/>
          <w:sz w:val="26"/>
          <w:szCs w:val="26"/>
        </w:rPr>
        <w:t xml:space="preserve">justificarse </w:t>
      </w:r>
      <w:r w:rsidR="00660704" w:rsidRPr="00B753B1">
        <w:rPr>
          <w:rFonts w:ascii="Arial" w:eastAsia="Arial" w:hAnsi="Arial" w:cs="Arial"/>
          <w:sz w:val="26"/>
          <w:szCs w:val="26"/>
        </w:rPr>
        <w:t>tal</w:t>
      </w:r>
      <w:r w:rsidR="00B4545B" w:rsidRPr="00B753B1">
        <w:rPr>
          <w:rFonts w:ascii="Arial" w:eastAsia="Arial" w:hAnsi="Arial" w:cs="Arial"/>
          <w:sz w:val="26"/>
          <w:szCs w:val="26"/>
        </w:rPr>
        <w:t>es</w:t>
      </w:r>
      <w:r w:rsidR="00660704" w:rsidRPr="00B753B1">
        <w:rPr>
          <w:rFonts w:ascii="Arial" w:eastAsia="Arial" w:hAnsi="Arial" w:cs="Arial"/>
          <w:sz w:val="26"/>
          <w:szCs w:val="26"/>
        </w:rPr>
        <w:t xml:space="preserve"> determinaci</w:t>
      </w:r>
      <w:r w:rsidR="00B4545B" w:rsidRPr="00B753B1">
        <w:rPr>
          <w:rFonts w:ascii="Arial" w:eastAsia="Arial" w:hAnsi="Arial" w:cs="Arial"/>
          <w:sz w:val="26"/>
          <w:szCs w:val="26"/>
        </w:rPr>
        <w:t>ones</w:t>
      </w:r>
      <w:r w:rsidR="00660704" w:rsidRPr="00B753B1">
        <w:rPr>
          <w:rFonts w:ascii="Arial" w:eastAsia="Arial" w:hAnsi="Arial" w:cs="Arial"/>
          <w:sz w:val="26"/>
          <w:szCs w:val="26"/>
        </w:rPr>
        <w:t>.</w:t>
      </w:r>
    </w:p>
    <w:p w14:paraId="36F4073D" w14:textId="77777777" w:rsidR="00614340" w:rsidRPr="00B753B1" w:rsidRDefault="00614340" w:rsidP="00614340">
      <w:pPr>
        <w:spacing w:before="240" w:after="240" w:line="360" w:lineRule="auto"/>
        <w:jc w:val="both"/>
        <w:rPr>
          <w:rFonts w:ascii="Arial" w:eastAsia="Arial" w:hAnsi="Arial" w:cs="Arial"/>
          <w:sz w:val="26"/>
          <w:szCs w:val="26"/>
        </w:rPr>
      </w:pPr>
    </w:p>
    <w:p w14:paraId="1DC599F9" w14:textId="2D1C9A8A" w:rsidR="00E76601" w:rsidRPr="00B753B1" w:rsidRDefault="00D6006C" w:rsidP="00614340">
      <w:pPr>
        <w:spacing w:before="240" w:after="240" w:line="360" w:lineRule="auto"/>
        <w:jc w:val="both"/>
        <w:rPr>
          <w:rFonts w:ascii="Arial" w:eastAsia="Arial" w:hAnsi="Arial" w:cs="Arial"/>
          <w:b/>
          <w:bCs/>
          <w:sz w:val="26"/>
          <w:szCs w:val="26"/>
          <w:u w:val="single"/>
        </w:rPr>
      </w:pPr>
      <w:r w:rsidRPr="00B753B1">
        <w:rPr>
          <w:rFonts w:ascii="Arial" w:eastAsia="Arial" w:hAnsi="Arial" w:cs="Arial"/>
          <w:b/>
          <w:bCs/>
          <w:sz w:val="26"/>
          <w:szCs w:val="26"/>
          <w:u w:val="single"/>
        </w:rPr>
        <w:t>Interés legítimo de una persona moral</w:t>
      </w:r>
      <w:r w:rsidR="00B92700" w:rsidRPr="00B753B1">
        <w:rPr>
          <w:rFonts w:ascii="Arial" w:eastAsia="Arial" w:hAnsi="Arial" w:cs="Arial"/>
          <w:b/>
          <w:bCs/>
          <w:sz w:val="26"/>
          <w:szCs w:val="26"/>
          <w:u w:val="single"/>
        </w:rPr>
        <w:t xml:space="preserve"> o asociación civil</w:t>
      </w:r>
      <w:r w:rsidR="00F7464C">
        <w:rPr>
          <w:rFonts w:ascii="Arial" w:eastAsia="Arial" w:hAnsi="Arial" w:cs="Arial"/>
          <w:b/>
          <w:bCs/>
          <w:sz w:val="26"/>
          <w:szCs w:val="26"/>
          <w:u w:val="single"/>
        </w:rPr>
        <w:t>.</w:t>
      </w:r>
    </w:p>
    <w:p w14:paraId="313C2B2C" w14:textId="47E1FCDF" w:rsidR="002F554E" w:rsidRPr="00B753B1" w:rsidRDefault="000014FB" w:rsidP="00614340">
      <w:pPr>
        <w:spacing w:before="240" w:after="240" w:line="360" w:lineRule="auto"/>
        <w:jc w:val="both"/>
        <w:rPr>
          <w:rFonts w:ascii="Arial" w:eastAsia="Arial" w:hAnsi="Arial" w:cs="Arial"/>
          <w:sz w:val="26"/>
          <w:szCs w:val="26"/>
        </w:rPr>
      </w:pPr>
      <w:r w:rsidRPr="00B753B1">
        <w:rPr>
          <w:rFonts w:ascii="Arial" w:eastAsia="Arial" w:hAnsi="Arial" w:cs="Arial"/>
          <w:sz w:val="26"/>
          <w:szCs w:val="26"/>
        </w:rPr>
        <w:t>Desde su incorporación</w:t>
      </w:r>
      <w:r w:rsidR="00DB2BA4">
        <w:rPr>
          <w:rFonts w:ascii="Arial" w:eastAsia="Arial" w:hAnsi="Arial" w:cs="Arial"/>
          <w:sz w:val="26"/>
          <w:szCs w:val="26"/>
        </w:rPr>
        <w:t>,</w:t>
      </w:r>
      <w:r w:rsidRPr="00B753B1">
        <w:rPr>
          <w:rFonts w:ascii="Arial" w:eastAsia="Arial" w:hAnsi="Arial" w:cs="Arial"/>
          <w:sz w:val="26"/>
          <w:szCs w:val="26"/>
        </w:rPr>
        <w:t xml:space="preserve"> </w:t>
      </w:r>
      <w:r w:rsidR="00F361B2" w:rsidRPr="00B753B1">
        <w:rPr>
          <w:rFonts w:ascii="Arial" w:eastAsia="Arial" w:hAnsi="Arial" w:cs="Arial"/>
          <w:sz w:val="26"/>
          <w:szCs w:val="26"/>
        </w:rPr>
        <w:t>tanto a la Constitución Política del país como a la Ley de Amparo</w:t>
      </w:r>
      <w:r w:rsidR="00DB2BA4">
        <w:rPr>
          <w:rFonts w:ascii="Arial" w:eastAsia="Arial" w:hAnsi="Arial" w:cs="Arial"/>
          <w:sz w:val="26"/>
          <w:szCs w:val="26"/>
        </w:rPr>
        <w:t>,</w:t>
      </w:r>
      <w:r w:rsidR="00F361B2" w:rsidRPr="00B753B1">
        <w:rPr>
          <w:rFonts w:ascii="Arial" w:eastAsia="Arial" w:hAnsi="Arial" w:cs="Arial"/>
          <w:sz w:val="26"/>
          <w:szCs w:val="26"/>
        </w:rPr>
        <w:t xml:space="preserve"> este </w:t>
      </w:r>
      <w:r w:rsidR="00F7464C">
        <w:rPr>
          <w:rFonts w:ascii="Arial" w:eastAsia="Arial" w:hAnsi="Arial" w:cs="Arial"/>
          <w:sz w:val="26"/>
          <w:szCs w:val="26"/>
        </w:rPr>
        <w:t>A</w:t>
      </w:r>
      <w:r w:rsidR="00F361B2" w:rsidRPr="00B753B1">
        <w:rPr>
          <w:rFonts w:ascii="Arial" w:eastAsia="Arial" w:hAnsi="Arial" w:cs="Arial"/>
          <w:sz w:val="26"/>
          <w:szCs w:val="26"/>
        </w:rPr>
        <w:t xml:space="preserve">lto </w:t>
      </w:r>
      <w:r w:rsidR="00F7464C">
        <w:rPr>
          <w:rFonts w:ascii="Arial" w:eastAsia="Arial" w:hAnsi="Arial" w:cs="Arial"/>
          <w:sz w:val="26"/>
          <w:szCs w:val="26"/>
        </w:rPr>
        <w:t>T</w:t>
      </w:r>
      <w:r w:rsidR="00F361B2" w:rsidRPr="00B753B1">
        <w:rPr>
          <w:rFonts w:ascii="Arial" w:eastAsia="Arial" w:hAnsi="Arial" w:cs="Arial"/>
          <w:sz w:val="26"/>
          <w:szCs w:val="26"/>
        </w:rPr>
        <w:t xml:space="preserve">ribunal se ha dado a la tarea de establecer los alcances del interés legítimo, el cual </w:t>
      </w:r>
      <w:r w:rsidR="00055848" w:rsidRPr="00B753B1">
        <w:rPr>
          <w:rFonts w:ascii="Arial" w:eastAsia="Arial" w:hAnsi="Arial" w:cs="Arial"/>
          <w:sz w:val="26"/>
          <w:szCs w:val="26"/>
        </w:rPr>
        <w:t xml:space="preserve">se ha definido como </w:t>
      </w:r>
      <w:r w:rsidR="0028308B" w:rsidRPr="00B753B1">
        <w:rPr>
          <w:rFonts w:ascii="Arial" w:eastAsia="Arial" w:hAnsi="Arial" w:cs="Arial"/>
          <w:sz w:val="26"/>
          <w:szCs w:val="26"/>
        </w:rPr>
        <w:t>aquel interés personal, individual o colectivo, cualificado, actual, real y jurídicamente relevante, que puede traducirse</w:t>
      </w:r>
      <w:r w:rsidR="00162879">
        <w:rPr>
          <w:rFonts w:ascii="Arial" w:eastAsia="Arial" w:hAnsi="Arial" w:cs="Arial"/>
          <w:sz w:val="26"/>
          <w:szCs w:val="26"/>
        </w:rPr>
        <w:t xml:space="preserve"> </w:t>
      </w:r>
      <w:r w:rsidR="0028308B" w:rsidRPr="00B753B1">
        <w:rPr>
          <w:rFonts w:ascii="Arial" w:eastAsia="Arial" w:hAnsi="Arial" w:cs="Arial"/>
          <w:sz w:val="26"/>
          <w:szCs w:val="26"/>
        </w:rPr>
        <w:t>en caso de concederse el amparo</w:t>
      </w:r>
      <w:r w:rsidR="00D5378E" w:rsidRPr="00B753B1">
        <w:rPr>
          <w:rFonts w:ascii="Arial" w:eastAsia="Arial" w:hAnsi="Arial" w:cs="Arial"/>
          <w:sz w:val="26"/>
          <w:szCs w:val="26"/>
        </w:rPr>
        <w:t>, en un beneficio jurídico en favor de la persona quejosa derivado de una afectación a su esfera jurídica en sentido amplio, que puede ser de índole económica, profesional, de salud pública, o de cualquier otra</w:t>
      </w:r>
      <w:r w:rsidR="00DA5AEF" w:rsidRPr="00B753B1">
        <w:rPr>
          <w:rStyle w:val="Refdenotaalpie"/>
          <w:rFonts w:ascii="Arial" w:eastAsia="Arial" w:hAnsi="Arial" w:cs="Arial"/>
          <w:sz w:val="26"/>
          <w:szCs w:val="26"/>
        </w:rPr>
        <w:footnoteReference w:id="4"/>
      </w:r>
      <w:r w:rsidR="00D5378E" w:rsidRPr="00B753B1">
        <w:rPr>
          <w:rFonts w:ascii="Arial" w:eastAsia="Arial" w:hAnsi="Arial" w:cs="Arial"/>
          <w:sz w:val="26"/>
          <w:szCs w:val="26"/>
        </w:rPr>
        <w:t xml:space="preserve">. </w:t>
      </w:r>
    </w:p>
    <w:p w14:paraId="63C7BB61" w14:textId="7338CE29" w:rsidR="00D5378E" w:rsidRDefault="003A4CD1" w:rsidP="00614340">
      <w:pPr>
        <w:spacing w:before="240" w:after="240" w:line="360" w:lineRule="auto"/>
        <w:jc w:val="both"/>
        <w:rPr>
          <w:rFonts w:ascii="Arial" w:eastAsia="Arial" w:hAnsi="Arial" w:cs="Arial"/>
          <w:sz w:val="26"/>
          <w:szCs w:val="26"/>
        </w:rPr>
      </w:pPr>
      <w:r w:rsidRPr="000C61E0">
        <w:rPr>
          <w:rFonts w:ascii="Arial" w:eastAsia="Arial" w:hAnsi="Arial" w:cs="Arial"/>
          <w:sz w:val="26"/>
          <w:szCs w:val="26"/>
        </w:rPr>
        <w:t xml:space="preserve">Ahora, </w:t>
      </w:r>
      <w:r w:rsidR="00552CC7" w:rsidRPr="000C61E0">
        <w:rPr>
          <w:rFonts w:ascii="Arial" w:eastAsia="Arial" w:hAnsi="Arial" w:cs="Arial"/>
          <w:sz w:val="26"/>
          <w:szCs w:val="26"/>
        </w:rPr>
        <w:t>en relación con el interés legítimo de las personas morales o asoci</w:t>
      </w:r>
      <w:r w:rsidR="00AD0BC3" w:rsidRPr="000C61E0">
        <w:rPr>
          <w:rFonts w:ascii="Arial" w:eastAsia="Arial" w:hAnsi="Arial" w:cs="Arial"/>
          <w:sz w:val="26"/>
          <w:szCs w:val="26"/>
        </w:rPr>
        <w:t>aci</w:t>
      </w:r>
      <w:r w:rsidR="00552CC7" w:rsidRPr="000C61E0">
        <w:rPr>
          <w:rFonts w:ascii="Arial" w:eastAsia="Arial" w:hAnsi="Arial" w:cs="Arial"/>
          <w:sz w:val="26"/>
          <w:szCs w:val="26"/>
        </w:rPr>
        <w:t xml:space="preserve">ones civiles </w:t>
      </w:r>
      <w:r w:rsidR="00AD0BC3" w:rsidRPr="000C61E0">
        <w:rPr>
          <w:rFonts w:ascii="Arial" w:eastAsia="Arial" w:hAnsi="Arial" w:cs="Arial"/>
          <w:sz w:val="26"/>
          <w:szCs w:val="26"/>
        </w:rPr>
        <w:t xml:space="preserve">se establecieron ciertos matices en el sentido de que, para acreditar dicho interés, tales entes </w:t>
      </w:r>
      <w:r w:rsidR="0086155E" w:rsidRPr="000C61E0">
        <w:rPr>
          <w:rFonts w:ascii="Arial" w:eastAsia="Arial" w:hAnsi="Arial" w:cs="Arial"/>
          <w:sz w:val="26"/>
          <w:szCs w:val="26"/>
        </w:rPr>
        <w:t xml:space="preserve">jurídicos </w:t>
      </w:r>
      <w:r w:rsidR="00AD0BC3" w:rsidRPr="000C61E0">
        <w:rPr>
          <w:rFonts w:ascii="Arial" w:eastAsia="Arial" w:hAnsi="Arial" w:cs="Arial"/>
          <w:sz w:val="26"/>
          <w:szCs w:val="26"/>
        </w:rPr>
        <w:t>deben demostrar que</w:t>
      </w:r>
      <w:r w:rsidR="00D82B04">
        <w:rPr>
          <w:rFonts w:ascii="Arial" w:eastAsia="Arial" w:hAnsi="Arial" w:cs="Arial"/>
          <w:sz w:val="26"/>
          <w:szCs w:val="26"/>
        </w:rPr>
        <w:t>:</w:t>
      </w:r>
      <w:r w:rsidR="00AD0BC3" w:rsidRPr="000C61E0">
        <w:rPr>
          <w:rFonts w:ascii="Arial" w:eastAsia="Arial" w:hAnsi="Arial" w:cs="Arial"/>
          <w:sz w:val="26"/>
          <w:szCs w:val="26"/>
        </w:rPr>
        <w:t xml:space="preserve"> </w:t>
      </w:r>
      <w:r w:rsidR="007F1AF7" w:rsidRPr="000C61E0">
        <w:rPr>
          <w:rFonts w:ascii="Arial" w:eastAsia="Arial" w:hAnsi="Arial" w:cs="Arial"/>
          <w:b/>
          <w:bCs/>
          <w:i/>
          <w:iCs/>
          <w:sz w:val="26"/>
          <w:szCs w:val="26"/>
        </w:rPr>
        <w:t>a)</w:t>
      </w:r>
      <w:r w:rsidR="007F1AF7" w:rsidRPr="000C61E0">
        <w:rPr>
          <w:rFonts w:ascii="Arial" w:eastAsia="Arial" w:hAnsi="Arial" w:cs="Arial"/>
          <w:sz w:val="26"/>
          <w:szCs w:val="26"/>
        </w:rPr>
        <w:t xml:space="preserve"> </w:t>
      </w:r>
      <w:r w:rsidR="00FF7B53" w:rsidRPr="000C61E0">
        <w:rPr>
          <w:rFonts w:ascii="Arial" w:eastAsia="Arial" w:hAnsi="Arial" w:cs="Arial"/>
          <w:sz w:val="26"/>
          <w:szCs w:val="26"/>
        </w:rPr>
        <w:t xml:space="preserve">dentro de su objeto social </w:t>
      </w:r>
      <w:r w:rsidR="00074941" w:rsidRPr="000C61E0">
        <w:rPr>
          <w:rFonts w:ascii="Arial" w:eastAsia="Arial" w:hAnsi="Arial" w:cs="Arial"/>
          <w:sz w:val="26"/>
          <w:szCs w:val="26"/>
        </w:rPr>
        <w:t xml:space="preserve">se contempla con fin específico la protección del </w:t>
      </w:r>
      <w:r w:rsidR="00074941" w:rsidRPr="000C61E0">
        <w:rPr>
          <w:rFonts w:ascii="Arial" w:eastAsia="Arial" w:hAnsi="Arial" w:cs="Arial"/>
          <w:sz w:val="26"/>
          <w:szCs w:val="26"/>
        </w:rPr>
        <w:lastRenderedPageBreak/>
        <w:t>derecho fundamental que acuden a defender en el juicio constitucional</w:t>
      </w:r>
      <w:r w:rsidR="007F1AF7" w:rsidRPr="000C61E0">
        <w:rPr>
          <w:rFonts w:ascii="Arial" w:eastAsia="Arial" w:hAnsi="Arial" w:cs="Arial"/>
          <w:sz w:val="26"/>
          <w:szCs w:val="26"/>
        </w:rPr>
        <w:t xml:space="preserve"> y </w:t>
      </w:r>
      <w:r w:rsidR="007F1AF7" w:rsidRPr="000C61E0">
        <w:rPr>
          <w:rFonts w:ascii="Arial" w:eastAsia="Arial" w:hAnsi="Arial" w:cs="Arial"/>
          <w:b/>
          <w:bCs/>
          <w:i/>
          <w:iCs/>
          <w:sz w:val="26"/>
          <w:szCs w:val="26"/>
        </w:rPr>
        <w:t>b)</w:t>
      </w:r>
      <w:r w:rsidR="006F7C1D" w:rsidRPr="000C61E0">
        <w:rPr>
          <w:rFonts w:ascii="Arial" w:eastAsia="Arial" w:hAnsi="Arial" w:cs="Arial"/>
          <w:sz w:val="26"/>
          <w:szCs w:val="26"/>
        </w:rPr>
        <w:t xml:space="preserve"> </w:t>
      </w:r>
      <w:r w:rsidR="003F4566" w:rsidRPr="000C61E0">
        <w:rPr>
          <w:rFonts w:ascii="Arial" w:eastAsia="Arial" w:hAnsi="Arial" w:cs="Arial"/>
          <w:sz w:val="26"/>
          <w:szCs w:val="26"/>
        </w:rPr>
        <w:t xml:space="preserve">acreditar </w:t>
      </w:r>
      <w:r w:rsidR="002F059C" w:rsidRPr="000C61E0">
        <w:rPr>
          <w:rFonts w:ascii="Arial" w:eastAsia="Arial" w:hAnsi="Arial" w:cs="Arial"/>
          <w:sz w:val="26"/>
          <w:szCs w:val="26"/>
        </w:rPr>
        <w:t xml:space="preserve">—a través de pruebas directas o hechos notorios— </w:t>
      </w:r>
      <w:r w:rsidR="006F7C1D" w:rsidRPr="000C61E0">
        <w:rPr>
          <w:rFonts w:ascii="Arial" w:eastAsia="Arial" w:hAnsi="Arial" w:cs="Arial"/>
          <w:sz w:val="26"/>
          <w:szCs w:val="26"/>
        </w:rPr>
        <w:t xml:space="preserve">que </w:t>
      </w:r>
      <w:r w:rsidR="003F4566" w:rsidRPr="000C61E0">
        <w:rPr>
          <w:rFonts w:ascii="Arial" w:eastAsia="Arial" w:hAnsi="Arial" w:cs="Arial"/>
          <w:sz w:val="26"/>
          <w:szCs w:val="26"/>
        </w:rPr>
        <w:t>realmente han realizado acciones con el fin de lograr ese objetivo</w:t>
      </w:r>
      <w:r w:rsidR="00844B84" w:rsidRPr="000C61E0">
        <w:rPr>
          <w:rStyle w:val="Refdenotaalpie"/>
          <w:rFonts w:ascii="Arial" w:eastAsia="Arial" w:hAnsi="Arial" w:cs="Arial"/>
          <w:sz w:val="26"/>
          <w:szCs w:val="26"/>
        </w:rPr>
        <w:footnoteReference w:id="5"/>
      </w:r>
      <w:r w:rsidR="003F4566" w:rsidRPr="000C61E0">
        <w:rPr>
          <w:rFonts w:ascii="Arial" w:eastAsia="Arial" w:hAnsi="Arial" w:cs="Arial"/>
          <w:sz w:val="26"/>
          <w:szCs w:val="26"/>
        </w:rPr>
        <w:t>.</w:t>
      </w:r>
      <w:r w:rsidR="003F4566">
        <w:rPr>
          <w:rFonts w:ascii="Arial" w:eastAsia="Arial" w:hAnsi="Arial" w:cs="Arial"/>
          <w:sz w:val="26"/>
          <w:szCs w:val="26"/>
        </w:rPr>
        <w:t xml:space="preserve"> </w:t>
      </w:r>
    </w:p>
    <w:p w14:paraId="3B9FAC66" w14:textId="77777777" w:rsidR="00614340" w:rsidRDefault="00614340" w:rsidP="00614340">
      <w:pPr>
        <w:spacing w:before="240" w:after="240" w:line="360" w:lineRule="auto"/>
        <w:jc w:val="both"/>
        <w:rPr>
          <w:rFonts w:ascii="Arial" w:eastAsia="Arial" w:hAnsi="Arial" w:cs="Arial"/>
          <w:sz w:val="26"/>
          <w:szCs w:val="26"/>
        </w:rPr>
      </w:pPr>
    </w:p>
    <w:p w14:paraId="6078783C" w14:textId="6549FDF1" w:rsidR="00A83C95" w:rsidRDefault="002F554E" w:rsidP="00614340">
      <w:pPr>
        <w:shd w:val="clear" w:color="auto" w:fill="FFFFFF"/>
        <w:spacing w:before="240" w:after="240" w:line="360" w:lineRule="auto"/>
        <w:jc w:val="both"/>
        <w:rPr>
          <w:rFonts w:ascii="Arial" w:eastAsia="Arial" w:hAnsi="Arial" w:cs="Arial"/>
          <w:b/>
          <w:sz w:val="26"/>
          <w:szCs w:val="26"/>
          <w:u w:val="single"/>
        </w:rPr>
      </w:pPr>
      <w:r>
        <w:rPr>
          <w:rFonts w:ascii="Arial" w:eastAsia="Arial" w:hAnsi="Arial" w:cs="Arial"/>
          <w:b/>
          <w:sz w:val="26"/>
          <w:szCs w:val="26"/>
          <w:u w:val="single"/>
        </w:rPr>
        <w:t>Motivación reforzada de la N</w:t>
      </w:r>
      <w:r w:rsidR="00A67533">
        <w:rPr>
          <w:rFonts w:ascii="Arial" w:eastAsia="Arial" w:hAnsi="Arial" w:cs="Arial"/>
          <w:b/>
          <w:sz w:val="26"/>
          <w:szCs w:val="26"/>
          <w:u w:val="single"/>
        </w:rPr>
        <w:t>orma Oficial Mexicana</w:t>
      </w:r>
      <w:r w:rsidR="00D82B04">
        <w:rPr>
          <w:rFonts w:ascii="Arial" w:eastAsia="Arial" w:hAnsi="Arial" w:cs="Arial"/>
          <w:b/>
          <w:sz w:val="26"/>
          <w:szCs w:val="26"/>
          <w:u w:val="single"/>
        </w:rPr>
        <w:t>.</w:t>
      </w:r>
    </w:p>
    <w:p w14:paraId="7497AFA7" w14:textId="603163CF" w:rsidR="00AF0809" w:rsidRPr="00AF0809" w:rsidRDefault="00994BCE" w:rsidP="00614340">
      <w:pPr>
        <w:shd w:val="clear" w:color="auto" w:fill="FFFFFF"/>
        <w:spacing w:before="240" w:after="240" w:line="360" w:lineRule="auto"/>
        <w:jc w:val="both"/>
        <w:rPr>
          <w:rFonts w:ascii="Arial" w:eastAsia="Arial" w:hAnsi="Arial" w:cs="Arial"/>
          <w:sz w:val="26"/>
          <w:szCs w:val="26"/>
          <w:lang w:val="es-MX"/>
        </w:rPr>
      </w:pPr>
      <w:r>
        <w:rPr>
          <w:rFonts w:ascii="Arial" w:eastAsia="Arial" w:hAnsi="Arial" w:cs="Arial"/>
          <w:sz w:val="26"/>
          <w:szCs w:val="26"/>
        </w:rPr>
        <w:t>E</w:t>
      </w:r>
      <w:r w:rsidR="009E1E4D">
        <w:rPr>
          <w:rFonts w:ascii="Arial" w:eastAsia="Arial" w:hAnsi="Arial" w:cs="Arial"/>
          <w:sz w:val="26"/>
          <w:szCs w:val="26"/>
        </w:rPr>
        <w:t xml:space="preserve">sta Suprema Corte de Justicia de la Nación </w:t>
      </w:r>
      <w:r>
        <w:rPr>
          <w:rFonts w:ascii="Arial" w:eastAsia="Arial" w:hAnsi="Arial" w:cs="Arial"/>
          <w:sz w:val="26"/>
          <w:szCs w:val="26"/>
        </w:rPr>
        <w:t xml:space="preserve">ha establecido en su doctrina constitucional la forma en </w:t>
      </w:r>
      <w:r w:rsidR="00CE29E2">
        <w:rPr>
          <w:rFonts w:ascii="Arial" w:eastAsia="Arial" w:hAnsi="Arial" w:cs="Arial"/>
          <w:sz w:val="26"/>
          <w:szCs w:val="26"/>
        </w:rPr>
        <w:t xml:space="preserve">la </w:t>
      </w:r>
      <w:r>
        <w:rPr>
          <w:rFonts w:ascii="Arial" w:eastAsia="Arial" w:hAnsi="Arial" w:cs="Arial"/>
          <w:sz w:val="26"/>
          <w:szCs w:val="26"/>
        </w:rPr>
        <w:t>que debe</w:t>
      </w:r>
      <w:r w:rsidR="00CE70F0">
        <w:rPr>
          <w:rFonts w:ascii="Arial" w:eastAsia="Arial" w:hAnsi="Arial" w:cs="Arial"/>
          <w:sz w:val="26"/>
          <w:szCs w:val="26"/>
        </w:rPr>
        <w:t xml:space="preserve"> analizarse la motivación de </w:t>
      </w:r>
      <w:r>
        <w:rPr>
          <w:rFonts w:ascii="Arial" w:eastAsia="Arial" w:hAnsi="Arial" w:cs="Arial"/>
          <w:sz w:val="26"/>
          <w:szCs w:val="26"/>
        </w:rPr>
        <w:t xml:space="preserve">los actos legislativos para </w:t>
      </w:r>
      <w:r w:rsidR="00CE70F0">
        <w:rPr>
          <w:rFonts w:ascii="Arial" w:eastAsia="Arial" w:hAnsi="Arial" w:cs="Arial"/>
          <w:sz w:val="26"/>
          <w:szCs w:val="26"/>
        </w:rPr>
        <w:t xml:space="preserve">reconocer </w:t>
      </w:r>
      <w:r>
        <w:rPr>
          <w:rFonts w:ascii="Arial" w:eastAsia="Arial" w:hAnsi="Arial" w:cs="Arial"/>
          <w:sz w:val="26"/>
          <w:szCs w:val="26"/>
        </w:rPr>
        <w:t>su validez</w:t>
      </w:r>
      <w:r w:rsidR="009108F7">
        <w:rPr>
          <w:rFonts w:ascii="Arial" w:eastAsia="Arial" w:hAnsi="Arial" w:cs="Arial"/>
          <w:sz w:val="26"/>
          <w:szCs w:val="26"/>
        </w:rPr>
        <w:t xml:space="preserve">, la cual </w:t>
      </w:r>
      <w:r w:rsidR="00AF0809" w:rsidRPr="00AF0809">
        <w:rPr>
          <w:rFonts w:ascii="Arial" w:eastAsia="Arial" w:hAnsi="Arial" w:cs="Arial"/>
          <w:sz w:val="26"/>
          <w:szCs w:val="26"/>
          <w:lang w:val="es-MX"/>
        </w:rPr>
        <w:t>puede ser de dos tipos</w:t>
      </w:r>
      <w:r w:rsidR="009108F7">
        <w:rPr>
          <w:rStyle w:val="Refdenotaalpie"/>
          <w:rFonts w:ascii="Arial" w:eastAsia="Arial" w:hAnsi="Arial" w:cs="Arial"/>
          <w:sz w:val="26"/>
          <w:szCs w:val="26"/>
        </w:rPr>
        <w:footnoteReference w:id="6"/>
      </w:r>
      <w:r w:rsidR="00AF0809" w:rsidRPr="00AF0809">
        <w:rPr>
          <w:rFonts w:ascii="Arial" w:eastAsia="Arial" w:hAnsi="Arial" w:cs="Arial"/>
          <w:sz w:val="26"/>
          <w:szCs w:val="26"/>
          <w:lang w:val="es-MX"/>
        </w:rPr>
        <w:t>:</w:t>
      </w:r>
    </w:p>
    <w:p w14:paraId="333F6801" w14:textId="6649CCAC" w:rsidR="00AF0809" w:rsidRPr="006D16D6" w:rsidRDefault="006D16D6" w:rsidP="00D82B04">
      <w:pPr>
        <w:shd w:val="clear" w:color="auto" w:fill="FFFFFF"/>
        <w:spacing w:before="240" w:after="240" w:line="360" w:lineRule="auto"/>
        <w:ind w:left="284" w:hanging="284"/>
        <w:jc w:val="both"/>
        <w:rPr>
          <w:rFonts w:ascii="Arial" w:eastAsia="Arial" w:hAnsi="Arial" w:cs="Arial"/>
          <w:sz w:val="26"/>
          <w:szCs w:val="26"/>
          <w:lang w:val="es-MX"/>
        </w:rPr>
      </w:pPr>
      <w:r>
        <w:rPr>
          <w:rFonts w:ascii="Arial" w:eastAsia="Arial" w:hAnsi="Arial" w:cs="Arial"/>
          <w:b/>
          <w:bCs/>
          <w:sz w:val="26"/>
          <w:szCs w:val="26"/>
          <w:lang w:val="es-MX"/>
        </w:rPr>
        <w:t xml:space="preserve">1) </w:t>
      </w:r>
      <w:r w:rsidR="00AF0809" w:rsidRPr="006D16D6">
        <w:rPr>
          <w:rFonts w:ascii="Arial" w:eastAsia="Arial" w:hAnsi="Arial" w:cs="Arial"/>
          <w:b/>
          <w:bCs/>
          <w:sz w:val="26"/>
          <w:szCs w:val="26"/>
          <w:lang w:val="es-MX"/>
        </w:rPr>
        <w:t>Motivación reforzada:</w:t>
      </w:r>
      <w:r w:rsidR="00AF0809" w:rsidRPr="006D16D6">
        <w:rPr>
          <w:rFonts w:ascii="Arial" w:eastAsia="Arial" w:hAnsi="Arial" w:cs="Arial"/>
          <w:sz w:val="26"/>
          <w:szCs w:val="26"/>
          <w:lang w:val="es-MX"/>
        </w:rPr>
        <w:t xml:space="preserve"> se trata de una exigencia dirigida a la emisión de ciertos actos o normas en l</w:t>
      </w:r>
      <w:r w:rsidR="000E0A59" w:rsidRPr="006D16D6">
        <w:rPr>
          <w:rFonts w:ascii="Arial" w:eastAsia="Arial" w:hAnsi="Arial" w:cs="Arial"/>
          <w:sz w:val="26"/>
          <w:szCs w:val="26"/>
          <w:lang w:val="es-MX"/>
        </w:rPr>
        <w:t>a</w:t>
      </w:r>
      <w:r w:rsidR="00AF0809" w:rsidRPr="006D16D6">
        <w:rPr>
          <w:rFonts w:ascii="Arial" w:eastAsia="Arial" w:hAnsi="Arial" w:cs="Arial"/>
          <w:sz w:val="26"/>
          <w:szCs w:val="26"/>
          <w:lang w:val="es-MX"/>
        </w:rPr>
        <w:t xml:space="preserve">s que </w:t>
      </w:r>
      <w:r w:rsidR="00AF0809" w:rsidRPr="006D16D6">
        <w:rPr>
          <w:rFonts w:ascii="Arial" w:eastAsia="Arial" w:hAnsi="Arial" w:cs="Arial"/>
          <w:sz w:val="26"/>
          <w:szCs w:val="26"/>
          <w:u w:val="single"/>
          <w:lang w:val="es-MX"/>
        </w:rPr>
        <w:t>puede llegar a afectarse algún derecho fundamental u otro bien relevante desde el punto de vista constitucional</w:t>
      </w:r>
      <w:r w:rsidR="00AF0809" w:rsidRPr="006D16D6">
        <w:rPr>
          <w:rFonts w:ascii="Arial" w:eastAsia="Arial" w:hAnsi="Arial" w:cs="Arial"/>
          <w:sz w:val="26"/>
          <w:szCs w:val="26"/>
          <w:lang w:val="es-MX"/>
        </w:rPr>
        <w:t xml:space="preserve">. Precisamente por el tipo de valor que </w:t>
      </w:r>
      <w:r w:rsidR="005B28CA">
        <w:rPr>
          <w:rFonts w:ascii="Arial" w:eastAsia="Arial" w:hAnsi="Arial" w:cs="Arial"/>
          <w:sz w:val="26"/>
          <w:szCs w:val="26"/>
          <w:lang w:val="es-MX"/>
        </w:rPr>
        <w:t>está</w:t>
      </w:r>
      <w:r w:rsidR="00AF0809" w:rsidRPr="006D16D6">
        <w:rPr>
          <w:rFonts w:ascii="Arial" w:eastAsia="Arial" w:hAnsi="Arial" w:cs="Arial"/>
          <w:sz w:val="26"/>
          <w:szCs w:val="26"/>
          <w:lang w:val="es-MX"/>
        </w:rPr>
        <w:t xml:space="preserve"> en juego es preciso que quien emita el acto o la norma haya razonado su necesidad en la consecución de los fines constitucionalmente legítimos, habiendo ponderado específicamente las circunstancias concretas del caso.</w:t>
      </w:r>
    </w:p>
    <w:p w14:paraId="7F58DBD6" w14:textId="5D37146B" w:rsidR="00AF0809" w:rsidRPr="00AF0809" w:rsidRDefault="00AF0809" w:rsidP="00D82B04">
      <w:pPr>
        <w:shd w:val="clear" w:color="auto" w:fill="FFFFFF"/>
        <w:spacing w:before="240" w:after="240" w:line="360" w:lineRule="auto"/>
        <w:ind w:left="284"/>
        <w:jc w:val="both"/>
        <w:rPr>
          <w:rFonts w:ascii="Arial" w:eastAsia="Arial" w:hAnsi="Arial" w:cs="Arial"/>
          <w:sz w:val="26"/>
          <w:szCs w:val="26"/>
          <w:lang w:val="es-MX"/>
        </w:rPr>
      </w:pPr>
      <w:r w:rsidRPr="00AF0809">
        <w:rPr>
          <w:rFonts w:ascii="Arial" w:eastAsia="Arial" w:hAnsi="Arial" w:cs="Arial"/>
          <w:sz w:val="26"/>
          <w:szCs w:val="26"/>
          <w:lang w:val="es-MX"/>
        </w:rPr>
        <w:t xml:space="preserve">Esta exigencia es desplegada por el </w:t>
      </w:r>
      <w:r w:rsidR="00D82B04">
        <w:rPr>
          <w:rFonts w:ascii="Arial" w:eastAsia="Arial" w:hAnsi="Arial" w:cs="Arial"/>
          <w:sz w:val="26"/>
          <w:szCs w:val="26"/>
          <w:lang w:val="es-MX"/>
        </w:rPr>
        <w:t>A</w:t>
      </w:r>
      <w:r w:rsidR="00CE70F0">
        <w:rPr>
          <w:rFonts w:ascii="Arial" w:eastAsia="Arial" w:hAnsi="Arial" w:cs="Arial"/>
          <w:sz w:val="26"/>
          <w:szCs w:val="26"/>
          <w:lang w:val="es-MX"/>
        </w:rPr>
        <w:t xml:space="preserve">lto </w:t>
      </w:r>
      <w:r w:rsidR="00D82B04">
        <w:rPr>
          <w:rFonts w:ascii="Arial" w:eastAsia="Arial" w:hAnsi="Arial" w:cs="Arial"/>
          <w:sz w:val="26"/>
          <w:szCs w:val="26"/>
          <w:lang w:val="es-MX"/>
        </w:rPr>
        <w:t>T</w:t>
      </w:r>
      <w:r w:rsidR="00CE70F0">
        <w:rPr>
          <w:rFonts w:ascii="Arial" w:eastAsia="Arial" w:hAnsi="Arial" w:cs="Arial"/>
          <w:sz w:val="26"/>
          <w:szCs w:val="26"/>
          <w:lang w:val="es-MX"/>
        </w:rPr>
        <w:t>ribunal</w:t>
      </w:r>
      <w:r w:rsidRPr="00AF0809">
        <w:rPr>
          <w:rFonts w:ascii="Arial" w:eastAsia="Arial" w:hAnsi="Arial" w:cs="Arial"/>
          <w:sz w:val="26"/>
          <w:szCs w:val="26"/>
          <w:lang w:val="es-MX"/>
        </w:rPr>
        <w:t xml:space="preserve"> cuando detecta en el acto legislativo alguna "categoría sospechosa", es decir, algún acto legislativo en el que se ven involucrados determinados valores constitucionales que eventualmente pueden ponerse en peligro con la implementación de la reforma o adición de que se trate.</w:t>
      </w:r>
    </w:p>
    <w:p w14:paraId="584EE863" w14:textId="77F33AC8" w:rsidR="00994BCE" w:rsidRDefault="00AF0809" w:rsidP="00D82B04">
      <w:pPr>
        <w:shd w:val="clear" w:color="auto" w:fill="FFFFFF"/>
        <w:spacing w:before="240" w:after="240" w:line="360" w:lineRule="auto"/>
        <w:ind w:left="284"/>
        <w:jc w:val="both"/>
        <w:rPr>
          <w:rFonts w:ascii="Arial" w:eastAsia="Arial" w:hAnsi="Arial" w:cs="Arial"/>
          <w:sz w:val="26"/>
          <w:szCs w:val="26"/>
          <w:lang w:val="es-MX"/>
        </w:rPr>
      </w:pPr>
      <w:r w:rsidRPr="00AF0809">
        <w:rPr>
          <w:rFonts w:ascii="Arial" w:eastAsia="Arial" w:hAnsi="Arial" w:cs="Arial"/>
          <w:sz w:val="26"/>
          <w:szCs w:val="26"/>
          <w:lang w:val="es-MX"/>
        </w:rPr>
        <w:t xml:space="preserve">En estos casos se </w:t>
      </w:r>
      <w:r w:rsidR="00994BCE">
        <w:rPr>
          <w:rFonts w:ascii="Arial" w:eastAsia="Arial" w:hAnsi="Arial" w:cs="Arial"/>
          <w:sz w:val="26"/>
          <w:szCs w:val="26"/>
          <w:lang w:val="es-MX"/>
        </w:rPr>
        <w:t xml:space="preserve">considera </w:t>
      </w:r>
      <w:r w:rsidRPr="00AF0809">
        <w:rPr>
          <w:rFonts w:ascii="Arial" w:eastAsia="Arial" w:hAnsi="Arial" w:cs="Arial"/>
          <w:sz w:val="26"/>
          <w:szCs w:val="26"/>
          <w:lang w:val="es-MX"/>
        </w:rPr>
        <w:t>que el legislador debió lleva</w:t>
      </w:r>
      <w:r w:rsidR="00994BCE">
        <w:rPr>
          <w:rFonts w:ascii="Arial" w:eastAsia="Arial" w:hAnsi="Arial" w:cs="Arial"/>
          <w:sz w:val="26"/>
          <w:szCs w:val="26"/>
          <w:lang w:val="es-MX"/>
        </w:rPr>
        <w:t>r</w:t>
      </w:r>
      <w:r w:rsidRPr="00AF0809">
        <w:rPr>
          <w:rFonts w:ascii="Arial" w:eastAsia="Arial" w:hAnsi="Arial" w:cs="Arial"/>
          <w:sz w:val="26"/>
          <w:szCs w:val="26"/>
          <w:lang w:val="es-MX"/>
        </w:rPr>
        <w:t xml:space="preserve"> un balance cuidadoso entre aquellos elementos que la ley o, en su caso, la Constitución </w:t>
      </w:r>
      <w:r w:rsidR="00CD7C2C">
        <w:rPr>
          <w:rFonts w:ascii="Arial" w:eastAsia="Arial" w:hAnsi="Arial" w:cs="Arial"/>
          <w:sz w:val="26"/>
          <w:szCs w:val="26"/>
          <w:lang w:val="es-MX"/>
        </w:rPr>
        <w:t>l</w:t>
      </w:r>
      <w:r w:rsidRPr="00AF0809">
        <w:rPr>
          <w:rFonts w:ascii="Arial" w:eastAsia="Arial" w:hAnsi="Arial" w:cs="Arial"/>
          <w:sz w:val="26"/>
          <w:szCs w:val="26"/>
          <w:lang w:val="es-MX"/>
        </w:rPr>
        <w:t xml:space="preserve">ocal establecen como requisitos necesarios para la emisión </w:t>
      </w:r>
      <w:r w:rsidRPr="00AF0809">
        <w:rPr>
          <w:rFonts w:ascii="Arial" w:eastAsia="Arial" w:hAnsi="Arial" w:cs="Arial"/>
          <w:sz w:val="26"/>
          <w:szCs w:val="26"/>
          <w:lang w:val="es-MX"/>
        </w:rPr>
        <w:lastRenderedPageBreak/>
        <w:t>de una determinada norma o la realización de un determinado acto.</w:t>
      </w:r>
      <w:r w:rsidR="00994BCE">
        <w:rPr>
          <w:rFonts w:ascii="Arial" w:eastAsia="Arial" w:hAnsi="Arial" w:cs="Arial"/>
          <w:sz w:val="26"/>
          <w:szCs w:val="26"/>
          <w:lang w:val="es-MX"/>
        </w:rPr>
        <w:t xml:space="preserve"> </w:t>
      </w:r>
      <w:r w:rsidRPr="00AF0809">
        <w:rPr>
          <w:rFonts w:ascii="Arial" w:eastAsia="Arial" w:hAnsi="Arial" w:cs="Arial"/>
          <w:sz w:val="26"/>
          <w:szCs w:val="26"/>
          <w:lang w:val="es-MX"/>
        </w:rPr>
        <w:t>Este tipo de motivación implica el cumplimiento de los siguientes requisitos:</w:t>
      </w:r>
    </w:p>
    <w:p w14:paraId="1A335FBA" w14:textId="60707004" w:rsidR="00994BCE" w:rsidRPr="002C353B" w:rsidRDefault="00D82B04" w:rsidP="00D82B04">
      <w:pPr>
        <w:pStyle w:val="Prrafodelista"/>
        <w:numPr>
          <w:ilvl w:val="0"/>
          <w:numId w:val="2"/>
        </w:numPr>
        <w:shd w:val="clear" w:color="auto" w:fill="FFFFFF"/>
        <w:spacing w:before="240" w:after="240" w:line="360" w:lineRule="auto"/>
        <w:ind w:left="851" w:hanging="567"/>
        <w:contextualSpacing w:val="0"/>
        <w:jc w:val="both"/>
        <w:rPr>
          <w:rFonts w:ascii="Arial" w:eastAsia="Arial" w:hAnsi="Arial" w:cs="Arial"/>
          <w:sz w:val="26"/>
          <w:szCs w:val="26"/>
          <w:lang w:val="es-MX"/>
        </w:rPr>
      </w:pPr>
      <w:r>
        <w:rPr>
          <w:rFonts w:ascii="Arial" w:eastAsia="Arial" w:hAnsi="Arial" w:cs="Arial"/>
          <w:sz w:val="26"/>
          <w:szCs w:val="26"/>
          <w:lang w:val="es-MX"/>
        </w:rPr>
        <w:t>L</w:t>
      </w:r>
      <w:r w:rsidR="00AF0809" w:rsidRPr="00994BCE">
        <w:rPr>
          <w:rFonts w:ascii="Arial" w:eastAsia="Arial" w:hAnsi="Arial" w:cs="Arial"/>
          <w:sz w:val="26"/>
          <w:szCs w:val="26"/>
          <w:lang w:val="es-MX"/>
        </w:rPr>
        <w:t>a existencia de los antecedentes fácticos o circunstancias de hecho que permitan colegir que procedía crear y aplicar las normas correspondientes y, consecuentemente, que está justificado que la autoridad haya actuado en el sentido en el que lo hizo; y</w:t>
      </w:r>
      <w:r>
        <w:rPr>
          <w:rFonts w:ascii="Arial" w:eastAsia="Arial" w:hAnsi="Arial" w:cs="Arial"/>
          <w:sz w:val="26"/>
          <w:szCs w:val="26"/>
          <w:lang w:val="es-MX"/>
        </w:rPr>
        <w:t>,</w:t>
      </w:r>
    </w:p>
    <w:p w14:paraId="5FF3DBE0" w14:textId="1A1D8C92" w:rsidR="00AF0809" w:rsidRPr="00994BCE" w:rsidRDefault="00D82B04" w:rsidP="00D82B04">
      <w:pPr>
        <w:pStyle w:val="Prrafodelista"/>
        <w:numPr>
          <w:ilvl w:val="0"/>
          <w:numId w:val="2"/>
        </w:numPr>
        <w:shd w:val="clear" w:color="auto" w:fill="FFFFFF"/>
        <w:spacing w:before="240" w:after="240" w:line="360" w:lineRule="auto"/>
        <w:ind w:left="851" w:hanging="567"/>
        <w:contextualSpacing w:val="0"/>
        <w:jc w:val="both"/>
        <w:rPr>
          <w:rFonts w:ascii="Arial" w:eastAsia="Arial" w:hAnsi="Arial" w:cs="Arial"/>
          <w:sz w:val="26"/>
          <w:szCs w:val="26"/>
          <w:lang w:val="es-MX"/>
        </w:rPr>
      </w:pPr>
      <w:r>
        <w:rPr>
          <w:rFonts w:ascii="Arial" w:eastAsia="Arial" w:hAnsi="Arial" w:cs="Arial"/>
          <w:sz w:val="26"/>
          <w:szCs w:val="26"/>
          <w:lang w:val="es-MX"/>
        </w:rPr>
        <w:t>L</w:t>
      </w:r>
      <w:r w:rsidR="00AF0809" w:rsidRPr="00994BCE">
        <w:rPr>
          <w:rFonts w:ascii="Arial" w:eastAsia="Arial" w:hAnsi="Arial" w:cs="Arial"/>
          <w:sz w:val="26"/>
          <w:szCs w:val="26"/>
          <w:lang w:val="es-MX"/>
        </w:rPr>
        <w:t>a justificación sustantiva, expresa, objetiva y razonable, de los motivos por los que el legislador determinó la emisión del acto legislativo de que se trate.</w:t>
      </w:r>
    </w:p>
    <w:p w14:paraId="254FC6C1" w14:textId="2C2B573B" w:rsidR="00AF0809" w:rsidRPr="00AF0809" w:rsidRDefault="00AF0809" w:rsidP="00D82B04">
      <w:pPr>
        <w:shd w:val="clear" w:color="auto" w:fill="FFFFFF"/>
        <w:tabs>
          <w:tab w:val="left" w:pos="284"/>
        </w:tabs>
        <w:spacing w:before="240" w:after="240" w:line="360" w:lineRule="auto"/>
        <w:ind w:left="284" w:hanging="284"/>
        <w:jc w:val="both"/>
        <w:rPr>
          <w:rFonts w:ascii="Arial" w:eastAsia="Arial" w:hAnsi="Arial" w:cs="Arial"/>
          <w:sz w:val="26"/>
          <w:szCs w:val="26"/>
          <w:lang w:val="es-MX"/>
        </w:rPr>
      </w:pPr>
      <w:r w:rsidRPr="00994BCE">
        <w:rPr>
          <w:rFonts w:ascii="Arial" w:eastAsia="Arial" w:hAnsi="Arial" w:cs="Arial"/>
          <w:b/>
          <w:bCs/>
          <w:sz w:val="26"/>
          <w:szCs w:val="26"/>
          <w:lang w:val="es-MX"/>
        </w:rPr>
        <w:t>2) Motivación ordinaria:</w:t>
      </w:r>
      <w:r w:rsidRPr="00AF0809">
        <w:rPr>
          <w:rFonts w:ascii="Arial" w:eastAsia="Arial" w:hAnsi="Arial" w:cs="Arial"/>
          <w:sz w:val="26"/>
          <w:szCs w:val="26"/>
          <w:lang w:val="es-MX"/>
        </w:rPr>
        <w:t xml:space="preserve"> tiene lugar cuando el legislador lleva a cabo sus funciones </w:t>
      </w:r>
      <w:r w:rsidR="008E76B0">
        <w:rPr>
          <w:rFonts w:ascii="Arial" w:eastAsia="Arial" w:hAnsi="Arial" w:cs="Arial"/>
          <w:sz w:val="26"/>
          <w:szCs w:val="26"/>
          <w:lang w:val="es-MX"/>
        </w:rPr>
        <w:t xml:space="preserve">respecto </w:t>
      </w:r>
      <w:r w:rsidR="008F6685">
        <w:rPr>
          <w:rFonts w:ascii="Arial" w:eastAsia="Arial" w:hAnsi="Arial" w:cs="Arial"/>
          <w:sz w:val="26"/>
          <w:szCs w:val="26"/>
          <w:lang w:val="es-MX"/>
        </w:rPr>
        <w:t>a</w:t>
      </w:r>
      <w:r w:rsidR="008E76B0">
        <w:rPr>
          <w:rFonts w:ascii="Arial" w:eastAsia="Arial" w:hAnsi="Arial" w:cs="Arial"/>
          <w:sz w:val="26"/>
          <w:szCs w:val="26"/>
          <w:lang w:val="es-MX"/>
        </w:rPr>
        <w:t xml:space="preserve"> temas en los que no está de por medio </w:t>
      </w:r>
      <w:r w:rsidRPr="00AF0809">
        <w:rPr>
          <w:rFonts w:ascii="Arial" w:eastAsia="Arial" w:hAnsi="Arial" w:cs="Arial"/>
          <w:sz w:val="26"/>
          <w:szCs w:val="26"/>
          <w:lang w:val="es-MX"/>
        </w:rPr>
        <w:t>alguna "categoría sospechosa", esto es, cuando el acto legislativo no tiene que pasar por una ponderación específica de las circunstancias concretas del caso porque no subyace algún tipo de riesgo en la merma de algún derecho fundamental.</w:t>
      </w:r>
    </w:p>
    <w:p w14:paraId="140D8704" w14:textId="49682EDA" w:rsidR="00614340" w:rsidRDefault="00AF0809" w:rsidP="00D82B04">
      <w:pPr>
        <w:shd w:val="clear" w:color="auto" w:fill="FFFFFF"/>
        <w:spacing w:before="240" w:after="240" w:line="360" w:lineRule="auto"/>
        <w:ind w:left="284"/>
        <w:jc w:val="both"/>
        <w:rPr>
          <w:rFonts w:ascii="Arial" w:eastAsia="Arial" w:hAnsi="Arial" w:cs="Arial"/>
          <w:sz w:val="26"/>
          <w:szCs w:val="26"/>
          <w:lang w:val="es-MX"/>
        </w:rPr>
      </w:pPr>
      <w:r w:rsidRPr="00AF0809">
        <w:rPr>
          <w:rFonts w:ascii="Arial" w:eastAsia="Arial" w:hAnsi="Arial" w:cs="Arial"/>
          <w:sz w:val="26"/>
          <w:szCs w:val="26"/>
          <w:lang w:val="es-MX"/>
        </w:rPr>
        <w:t xml:space="preserve">Este tipo de actos legislativos, por regla general, ameritan </w:t>
      </w:r>
      <w:r w:rsidR="00CE70F0">
        <w:rPr>
          <w:rFonts w:ascii="Arial" w:eastAsia="Arial" w:hAnsi="Arial" w:cs="Arial"/>
          <w:sz w:val="26"/>
          <w:szCs w:val="26"/>
          <w:lang w:val="es-MX"/>
        </w:rPr>
        <w:t xml:space="preserve">un </w:t>
      </w:r>
      <w:r w:rsidRPr="00AF0809">
        <w:rPr>
          <w:rFonts w:ascii="Arial" w:eastAsia="Arial" w:hAnsi="Arial" w:cs="Arial"/>
          <w:sz w:val="26"/>
          <w:szCs w:val="26"/>
          <w:lang w:val="es-MX"/>
        </w:rPr>
        <w:t>análisis poco estricto por parte de la Suprema Corte</w:t>
      </w:r>
      <w:r w:rsidR="00D82B04">
        <w:rPr>
          <w:rFonts w:ascii="Arial" w:eastAsia="Arial" w:hAnsi="Arial" w:cs="Arial"/>
          <w:sz w:val="26"/>
          <w:szCs w:val="26"/>
          <w:lang w:val="es-MX"/>
        </w:rPr>
        <w:t xml:space="preserve"> de Justicia de la Nación</w:t>
      </w:r>
      <w:r w:rsidRPr="00AF0809">
        <w:rPr>
          <w:rFonts w:ascii="Arial" w:eastAsia="Arial" w:hAnsi="Arial" w:cs="Arial"/>
          <w:sz w:val="26"/>
          <w:szCs w:val="26"/>
          <w:lang w:val="es-MX"/>
        </w:rPr>
        <w:t xml:space="preserve">, con el fin de no vulnerar la libertad política del legislador. En efecto, en determinados campos </w:t>
      </w:r>
      <w:r w:rsidR="00CE70F0">
        <w:rPr>
          <w:rFonts w:ascii="Arial" w:eastAsia="Arial" w:hAnsi="Arial" w:cs="Arial"/>
          <w:sz w:val="26"/>
          <w:szCs w:val="26"/>
          <w:lang w:val="es-MX"/>
        </w:rPr>
        <w:t>—</w:t>
      </w:r>
      <w:r w:rsidRPr="00AF0809">
        <w:rPr>
          <w:rFonts w:ascii="Arial" w:eastAsia="Arial" w:hAnsi="Arial" w:cs="Arial"/>
          <w:sz w:val="26"/>
          <w:szCs w:val="26"/>
          <w:lang w:val="es-MX"/>
        </w:rPr>
        <w:t>como el económico, el de la organización administrativa del Estado</w:t>
      </w:r>
      <w:r w:rsidRPr="00483127">
        <w:rPr>
          <w:rFonts w:ascii="Arial" w:eastAsia="Arial" w:hAnsi="Arial" w:cs="Arial"/>
          <w:sz w:val="26"/>
          <w:szCs w:val="26"/>
          <w:lang w:val="es-MX"/>
        </w:rPr>
        <w:t xml:space="preserve"> y, en general, en donde no existe la posibilidad de disminuir o excluir algún derecho fundamental</w:t>
      </w:r>
      <w:r w:rsidR="00CE70F0">
        <w:rPr>
          <w:rFonts w:ascii="Arial" w:eastAsia="Arial" w:hAnsi="Arial" w:cs="Arial"/>
          <w:sz w:val="26"/>
          <w:szCs w:val="26"/>
          <w:lang w:val="es-MX"/>
        </w:rPr>
        <w:t>—</w:t>
      </w:r>
      <w:r w:rsidRPr="00AF0809">
        <w:rPr>
          <w:rFonts w:ascii="Arial" w:eastAsia="Arial" w:hAnsi="Arial" w:cs="Arial"/>
          <w:sz w:val="26"/>
          <w:szCs w:val="26"/>
          <w:lang w:val="es-MX"/>
        </w:rPr>
        <w:t xml:space="preserve"> un control muy estricto llevaría a</w:t>
      </w:r>
      <w:r w:rsidR="00694615">
        <w:rPr>
          <w:rFonts w:ascii="Arial" w:eastAsia="Arial" w:hAnsi="Arial" w:cs="Arial"/>
          <w:sz w:val="26"/>
          <w:szCs w:val="26"/>
          <w:lang w:val="es-MX"/>
        </w:rPr>
        <w:t xml:space="preserve"> </w:t>
      </w:r>
      <w:r w:rsidRPr="00AF0809">
        <w:rPr>
          <w:rFonts w:ascii="Arial" w:eastAsia="Arial" w:hAnsi="Arial" w:cs="Arial"/>
          <w:sz w:val="26"/>
          <w:szCs w:val="26"/>
          <w:lang w:val="es-MX"/>
        </w:rPr>
        <w:t>l</w:t>
      </w:r>
      <w:r w:rsidR="00694615">
        <w:rPr>
          <w:rFonts w:ascii="Arial" w:eastAsia="Arial" w:hAnsi="Arial" w:cs="Arial"/>
          <w:sz w:val="26"/>
          <w:szCs w:val="26"/>
          <w:lang w:val="es-MX"/>
        </w:rPr>
        <w:t>a</w:t>
      </w:r>
      <w:r w:rsidRPr="00AF0809">
        <w:rPr>
          <w:rFonts w:ascii="Arial" w:eastAsia="Arial" w:hAnsi="Arial" w:cs="Arial"/>
          <w:sz w:val="26"/>
          <w:szCs w:val="26"/>
          <w:lang w:val="es-MX"/>
        </w:rPr>
        <w:t xml:space="preserve"> </w:t>
      </w:r>
      <w:r w:rsidR="00694615">
        <w:rPr>
          <w:rFonts w:ascii="Arial" w:eastAsia="Arial" w:hAnsi="Arial" w:cs="Arial"/>
          <w:sz w:val="26"/>
          <w:szCs w:val="26"/>
          <w:lang w:val="es-MX"/>
        </w:rPr>
        <w:t xml:space="preserve">persona juzgadora </w:t>
      </w:r>
      <w:r w:rsidRPr="00AF0809">
        <w:rPr>
          <w:rFonts w:ascii="Arial" w:eastAsia="Arial" w:hAnsi="Arial" w:cs="Arial"/>
          <w:sz w:val="26"/>
          <w:szCs w:val="26"/>
          <w:lang w:val="es-MX"/>
        </w:rPr>
        <w:t>a sustituir la función legislativa del Congreso, pues no es función del Poder Judicial de la Federación, sino de los órganos políticos, entrar a analizar si ese tipo de políticas son las mejores o resultan necesarias.</w:t>
      </w:r>
    </w:p>
    <w:p w14:paraId="6211D1BE" w14:textId="59808938" w:rsidR="00EF7D7C" w:rsidRDefault="00920C4B" w:rsidP="00614340">
      <w:pPr>
        <w:shd w:val="clear" w:color="auto" w:fill="FFFFFF"/>
        <w:spacing w:before="240" w:after="240" w:line="360" w:lineRule="auto"/>
        <w:jc w:val="both"/>
        <w:rPr>
          <w:rFonts w:ascii="Arial" w:eastAsia="Arial" w:hAnsi="Arial" w:cs="Arial"/>
          <w:sz w:val="26"/>
          <w:szCs w:val="26"/>
          <w:lang w:val="es-MX"/>
        </w:rPr>
      </w:pPr>
      <w:r>
        <w:rPr>
          <w:rFonts w:ascii="Arial" w:eastAsia="Arial" w:hAnsi="Arial" w:cs="Arial"/>
          <w:sz w:val="26"/>
          <w:szCs w:val="26"/>
          <w:lang w:val="es-MX"/>
        </w:rPr>
        <w:t xml:space="preserve">Como </w:t>
      </w:r>
      <w:r w:rsidR="007404D2">
        <w:rPr>
          <w:rFonts w:ascii="Arial" w:eastAsia="Arial" w:hAnsi="Arial" w:cs="Arial"/>
          <w:sz w:val="26"/>
          <w:szCs w:val="26"/>
          <w:lang w:val="es-MX"/>
        </w:rPr>
        <w:t xml:space="preserve">ya </w:t>
      </w:r>
      <w:r>
        <w:rPr>
          <w:rFonts w:ascii="Arial" w:eastAsia="Arial" w:hAnsi="Arial" w:cs="Arial"/>
          <w:sz w:val="26"/>
          <w:szCs w:val="26"/>
          <w:lang w:val="es-MX"/>
        </w:rPr>
        <w:t>mencioné, el Tribunal Pleno de</w:t>
      </w:r>
      <w:r w:rsidR="00EF7D7C">
        <w:rPr>
          <w:rFonts w:ascii="Arial" w:eastAsia="Arial" w:hAnsi="Arial" w:cs="Arial"/>
          <w:sz w:val="26"/>
          <w:szCs w:val="26"/>
          <w:lang w:val="es-MX"/>
        </w:rPr>
        <w:t>clar</w:t>
      </w:r>
      <w:r w:rsidR="00735B02">
        <w:rPr>
          <w:rFonts w:ascii="Arial" w:eastAsia="Arial" w:hAnsi="Arial" w:cs="Arial"/>
          <w:sz w:val="26"/>
          <w:szCs w:val="26"/>
          <w:lang w:val="es-MX"/>
        </w:rPr>
        <w:t>ó</w:t>
      </w:r>
      <w:r w:rsidR="00EF7D7C">
        <w:rPr>
          <w:rFonts w:ascii="Arial" w:eastAsia="Arial" w:hAnsi="Arial" w:cs="Arial"/>
          <w:sz w:val="26"/>
          <w:szCs w:val="26"/>
          <w:lang w:val="es-MX"/>
        </w:rPr>
        <w:t xml:space="preserve"> inoperantes los conceptos de violación en los que se cuestionó </w:t>
      </w:r>
      <w:r w:rsidR="00BD0DEF">
        <w:rPr>
          <w:rFonts w:ascii="Arial" w:eastAsia="Arial" w:hAnsi="Arial" w:cs="Arial"/>
          <w:sz w:val="26"/>
          <w:szCs w:val="26"/>
          <w:lang w:val="es-MX"/>
        </w:rPr>
        <w:t>la constitucionalidad</w:t>
      </w:r>
      <w:r w:rsidR="00EF7D7C">
        <w:rPr>
          <w:rFonts w:ascii="Arial" w:eastAsia="Arial" w:hAnsi="Arial" w:cs="Arial"/>
          <w:sz w:val="26"/>
          <w:szCs w:val="26"/>
          <w:lang w:val="es-MX"/>
        </w:rPr>
        <w:t xml:space="preserve"> </w:t>
      </w:r>
      <w:r w:rsidR="007B5F9E">
        <w:rPr>
          <w:rFonts w:ascii="Arial" w:eastAsia="Arial" w:hAnsi="Arial" w:cs="Arial"/>
          <w:sz w:val="26"/>
          <w:szCs w:val="26"/>
          <w:lang w:val="es-MX"/>
        </w:rPr>
        <w:t xml:space="preserve">de </w:t>
      </w:r>
      <w:r w:rsidR="00EF7D7C">
        <w:rPr>
          <w:rFonts w:ascii="Arial" w:eastAsia="Arial" w:hAnsi="Arial" w:cs="Arial"/>
          <w:sz w:val="26"/>
          <w:szCs w:val="26"/>
          <w:lang w:val="es-MX"/>
        </w:rPr>
        <w:t>la reforma</w:t>
      </w:r>
      <w:r w:rsidR="00BD0DEF">
        <w:rPr>
          <w:rFonts w:ascii="Arial" w:eastAsia="Arial" w:hAnsi="Arial" w:cs="Arial"/>
          <w:sz w:val="26"/>
          <w:szCs w:val="26"/>
        </w:rPr>
        <w:t xml:space="preserve"> a Ley General de Salud </w:t>
      </w:r>
      <w:r w:rsidR="00A85D96">
        <w:rPr>
          <w:rFonts w:ascii="Arial" w:eastAsia="Arial" w:hAnsi="Arial" w:cs="Arial"/>
          <w:sz w:val="26"/>
          <w:szCs w:val="26"/>
        </w:rPr>
        <w:t>y de</w:t>
      </w:r>
      <w:r w:rsidR="00BD0DEF">
        <w:rPr>
          <w:rFonts w:ascii="Arial" w:eastAsia="Arial" w:hAnsi="Arial" w:cs="Arial"/>
          <w:sz w:val="26"/>
          <w:szCs w:val="26"/>
        </w:rPr>
        <w:t xml:space="preserve"> la </w:t>
      </w:r>
      <w:r w:rsidR="001B009E">
        <w:rPr>
          <w:rFonts w:ascii="Arial" w:eastAsia="Arial" w:hAnsi="Arial" w:cs="Arial"/>
          <w:sz w:val="26"/>
          <w:szCs w:val="26"/>
        </w:rPr>
        <w:t>m</w:t>
      </w:r>
      <w:r w:rsidR="00BD0DEF">
        <w:rPr>
          <w:rFonts w:ascii="Arial" w:eastAsia="Arial" w:hAnsi="Arial" w:cs="Arial"/>
          <w:sz w:val="26"/>
          <w:szCs w:val="26"/>
        </w:rPr>
        <w:t>odificación a la Norma Oficial Mexicana NOM-051-SCFI/SSA1-2010,</w:t>
      </w:r>
      <w:r w:rsidR="00310CD6">
        <w:rPr>
          <w:rFonts w:ascii="Arial" w:eastAsia="Arial" w:hAnsi="Arial" w:cs="Arial"/>
          <w:sz w:val="26"/>
          <w:szCs w:val="26"/>
        </w:rPr>
        <w:t xml:space="preserve"> en materia de etiquetado frontal de alimentos, </w:t>
      </w:r>
      <w:r w:rsidR="00BD0DEF">
        <w:rPr>
          <w:rFonts w:ascii="Arial" w:eastAsia="Arial" w:hAnsi="Arial" w:cs="Arial"/>
          <w:sz w:val="26"/>
          <w:szCs w:val="26"/>
        </w:rPr>
        <w:t xml:space="preserve">porque no se cumplió con el deber de llevar a cabo una motivación reforzada. </w:t>
      </w:r>
    </w:p>
    <w:p w14:paraId="00812672" w14:textId="69A2EE19" w:rsidR="001B4E26" w:rsidRDefault="008439C5" w:rsidP="00614340">
      <w:pPr>
        <w:shd w:val="clear" w:color="auto" w:fill="FFFFFF"/>
        <w:spacing w:before="240" w:after="240" w:line="360" w:lineRule="auto"/>
        <w:jc w:val="both"/>
        <w:rPr>
          <w:rFonts w:ascii="Arial" w:eastAsia="Arial" w:hAnsi="Arial" w:cs="Arial"/>
          <w:sz w:val="26"/>
          <w:szCs w:val="26"/>
          <w:lang w:val="es-MX"/>
        </w:rPr>
      </w:pPr>
      <w:r>
        <w:rPr>
          <w:rFonts w:ascii="Arial" w:eastAsia="Arial" w:hAnsi="Arial" w:cs="Arial"/>
          <w:sz w:val="26"/>
          <w:szCs w:val="26"/>
          <w:lang w:val="es-MX"/>
        </w:rPr>
        <w:lastRenderedPageBreak/>
        <w:t>Se llegó a esta conclusión bajo el argumento de</w:t>
      </w:r>
      <w:r w:rsidR="00DD04B6">
        <w:rPr>
          <w:rFonts w:ascii="Arial" w:eastAsia="Arial" w:hAnsi="Arial" w:cs="Arial"/>
          <w:sz w:val="26"/>
          <w:szCs w:val="26"/>
          <w:lang w:val="es-MX"/>
        </w:rPr>
        <w:t xml:space="preserve"> que </w:t>
      </w:r>
      <w:r w:rsidR="00BD0DEF">
        <w:rPr>
          <w:rFonts w:ascii="Arial" w:eastAsia="Arial" w:hAnsi="Arial" w:cs="Arial"/>
          <w:sz w:val="26"/>
          <w:szCs w:val="26"/>
          <w:lang w:val="es-MX"/>
        </w:rPr>
        <w:t xml:space="preserve">si bien el etiquetado frontal </w:t>
      </w:r>
      <w:r w:rsidR="001B4E26">
        <w:rPr>
          <w:rFonts w:ascii="Arial" w:eastAsia="Arial" w:hAnsi="Arial" w:cs="Arial"/>
          <w:sz w:val="26"/>
          <w:szCs w:val="26"/>
          <w:lang w:val="es-MX"/>
        </w:rPr>
        <w:t xml:space="preserve">tiene incidencia en los </w:t>
      </w:r>
      <w:r w:rsidR="001B4E26" w:rsidRPr="001B4E26">
        <w:rPr>
          <w:rFonts w:ascii="Arial" w:eastAsia="Arial" w:hAnsi="Arial" w:cs="Arial"/>
          <w:b/>
          <w:bCs/>
          <w:sz w:val="26"/>
          <w:szCs w:val="26"/>
          <w:lang w:val="es-MX"/>
        </w:rPr>
        <w:t>derechos fundamentales a la salud y a la protección de los consumidores</w:t>
      </w:r>
      <w:r w:rsidR="00A21183">
        <w:rPr>
          <w:rFonts w:ascii="Arial" w:eastAsia="Arial" w:hAnsi="Arial" w:cs="Arial"/>
          <w:sz w:val="26"/>
          <w:szCs w:val="26"/>
          <w:lang w:val="es-MX"/>
        </w:rPr>
        <w:t xml:space="preserve"> ‒‒</w:t>
      </w:r>
      <w:r w:rsidR="001B4E26">
        <w:rPr>
          <w:rFonts w:ascii="Arial" w:eastAsia="Arial" w:hAnsi="Arial" w:cs="Arial"/>
          <w:sz w:val="26"/>
          <w:szCs w:val="26"/>
          <w:lang w:val="es-MX"/>
        </w:rPr>
        <w:t>pues consiste en un sistema de información simplificada en el área frontal de exhibición de los envases que debe advertir a la</w:t>
      </w:r>
      <w:r w:rsidR="0084772C">
        <w:rPr>
          <w:rFonts w:ascii="Arial" w:eastAsia="Arial" w:hAnsi="Arial" w:cs="Arial"/>
          <w:sz w:val="26"/>
          <w:szCs w:val="26"/>
          <w:lang w:val="es-MX"/>
        </w:rPr>
        <w:t>s</w:t>
      </w:r>
      <w:r w:rsidR="001B4E26">
        <w:rPr>
          <w:rFonts w:ascii="Arial" w:eastAsia="Arial" w:hAnsi="Arial" w:cs="Arial"/>
          <w:sz w:val="26"/>
          <w:szCs w:val="26"/>
          <w:lang w:val="es-MX"/>
        </w:rPr>
        <w:t xml:space="preserve"> personas que pretendan adquirirlos sobre el contenido que exceda los niveles máximos de contenido energético, azúcares añadidos, grasas saturadas, grasas</w:t>
      </w:r>
      <w:r w:rsidR="00BF7A40">
        <w:rPr>
          <w:rFonts w:ascii="Arial" w:eastAsia="Arial" w:hAnsi="Arial" w:cs="Arial"/>
          <w:sz w:val="26"/>
          <w:szCs w:val="26"/>
          <w:lang w:val="es-MX"/>
        </w:rPr>
        <w:t xml:space="preserve"> y</w:t>
      </w:r>
      <w:r w:rsidR="001B4E26">
        <w:rPr>
          <w:rFonts w:ascii="Arial" w:eastAsia="Arial" w:hAnsi="Arial" w:cs="Arial"/>
          <w:sz w:val="26"/>
          <w:szCs w:val="26"/>
          <w:lang w:val="es-MX"/>
        </w:rPr>
        <w:t xml:space="preserve"> sodio</w:t>
      </w:r>
      <w:r w:rsidR="00A21183">
        <w:rPr>
          <w:rFonts w:ascii="Arial" w:eastAsia="Arial" w:hAnsi="Arial" w:cs="Arial"/>
          <w:sz w:val="26"/>
          <w:szCs w:val="26"/>
          <w:lang w:val="es-MX"/>
        </w:rPr>
        <w:t>‒‒</w:t>
      </w:r>
      <w:r w:rsidR="005023B5">
        <w:rPr>
          <w:rFonts w:ascii="Arial" w:eastAsia="Arial" w:hAnsi="Arial" w:cs="Arial"/>
          <w:sz w:val="26"/>
          <w:szCs w:val="26"/>
          <w:lang w:val="es-MX"/>
        </w:rPr>
        <w:t xml:space="preserve"> l</w:t>
      </w:r>
      <w:r w:rsidR="001B4E26">
        <w:rPr>
          <w:rFonts w:ascii="Arial" w:eastAsia="Arial" w:hAnsi="Arial" w:cs="Arial"/>
          <w:sz w:val="26"/>
          <w:szCs w:val="26"/>
          <w:lang w:val="es-MX"/>
        </w:rPr>
        <w:t xml:space="preserve">o cierto es que la empresa quejosa </w:t>
      </w:r>
      <w:r w:rsidR="001B4E26" w:rsidRPr="001B4E26">
        <w:rPr>
          <w:rFonts w:ascii="Arial" w:eastAsia="Arial" w:hAnsi="Arial" w:cs="Arial"/>
          <w:sz w:val="26"/>
          <w:szCs w:val="26"/>
          <w:lang w:val="es-MX"/>
        </w:rPr>
        <w:t>no estaba en aptitud de reclamar la falta de una motivación reforzada a la luz de tales prerrogativas</w:t>
      </w:r>
      <w:r w:rsidR="001B4E26">
        <w:rPr>
          <w:rFonts w:ascii="Arial" w:eastAsia="Arial" w:hAnsi="Arial" w:cs="Arial"/>
          <w:sz w:val="26"/>
          <w:szCs w:val="26"/>
          <w:lang w:val="es-MX"/>
        </w:rPr>
        <w:t>, porque</w:t>
      </w:r>
      <w:r w:rsidR="0018219B">
        <w:rPr>
          <w:rFonts w:ascii="Arial" w:eastAsia="Arial" w:hAnsi="Arial" w:cs="Arial"/>
          <w:sz w:val="26"/>
          <w:szCs w:val="26"/>
          <w:lang w:val="es-MX"/>
        </w:rPr>
        <w:t xml:space="preserve"> n</w:t>
      </w:r>
      <w:r w:rsidR="001B4E26">
        <w:rPr>
          <w:rFonts w:ascii="Arial" w:eastAsia="Arial" w:hAnsi="Arial" w:cs="Arial"/>
          <w:sz w:val="26"/>
          <w:szCs w:val="26"/>
          <w:lang w:val="es-MX"/>
        </w:rPr>
        <w:t>o es titular del derecho a la salud ni acud</w:t>
      </w:r>
      <w:r w:rsidR="00A70B92">
        <w:rPr>
          <w:rFonts w:ascii="Arial" w:eastAsia="Arial" w:hAnsi="Arial" w:cs="Arial"/>
          <w:sz w:val="26"/>
          <w:szCs w:val="26"/>
          <w:lang w:val="es-MX"/>
        </w:rPr>
        <w:t>ió</w:t>
      </w:r>
      <w:r w:rsidR="001B4E26">
        <w:rPr>
          <w:rFonts w:ascii="Arial" w:eastAsia="Arial" w:hAnsi="Arial" w:cs="Arial"/>
          <w:sz w:val="26"/>
          <w:szCs w:val="26"/>
          <w:lang w:val="es-MX"/>
        </w:rPr>
        <w:t xml:space="preserve"> al juicio </w:t>
      </w:r>
      <w:r w:rsidR="00287809">
        <w:rPr>
          <w:rFonts w:ascii="Arial" w:eastAsia="Arial" w:hAnsi="Arial" w:cs="Arial"/>
          <w:sz w:val="26"/>
          <w:szCs w:val="26"/>
          <w:lang w:val="es-MX"/>
        </w:rPr>
        <w:t xml:space="preserve">de amparo </w:t>
      </w:r>
      <w:r w:rsidR="001B4E26">
        <w:rPr>
          <w:rFonts w:ascii="Arial" w:eastAsia="Arial" w:hAnsi="Arial" w:cs="Arial"/>
          <w:sz w:val="26"/>
          <w:szCs w:val="26"/>
          <w:lang w:val="es-MX"/>
        </w:rPr>
        <w:t>con el carácter de consumidora sino co</w:t>
      </w:r>
      <w:r w:rsidR="0018219B">
        <w:rPr>
          <w:rFonts w:ascii="Arial" w:eastAsia="Arial" w:hAnsi="Arial" w:cs="Arial"/>
          <w:sz w:val="26"/>
          <w:szCs w:val="26"/>
          <w:lang w:val="es-MX"/>
        </w:rPr>
        <w:t>mo</w:t>
      </w:r>
      <w:r w:rsidR="001B4E26">
        <w:rPr>
          <w:rFonts w:ascii="Arial" w:eastAsia="Arial" w:hAnsi="Arial" w:cs="Arial"/>
          <w:sz w:val="26"/>
          <w:szCs w:val="26"/>
          <w:lang w:val="es-MX"/>
        </w:rPr>
        <w:t xml:space="preserve"> productora y comercializadora</w:t>
      </w:r>
      <w:r w:rsidR="0018219B">
        <w:rPr>
          <w:rFonts w:ascii="Arial" w:eastAsia="Arial" w:hAnsi="Arial" w:cs="Arial"/>
          <w:sz w:val="26"/>
          <w:szCs w:val="26"/>
          <w:lang w:val="es-MX"/>
        </w:rPr>
        <w:t xml:space="preserve"> de alimentos y bebidas preenvasa</w:t>
      </w:r>
      <w:r w:rsidR="0018219B" w:rsidRPr="00144562">
        <w:rPr>
          <w:rFonts w:ascii="Arial" w:eastAsia="Arial" w:hAnsi="Arial" w:cs="Arial"/>
          <w:sz w:val="26"/>
          <w:szCs w:val="26"/>
          <w:lang w:val="es-MX"/>
        </w:rPr>
        <w:t>d</w:t>
      </w:r>
      <w:r w:rsidR="00B5622B">
        <w:rPr>
          <w:rFonts w:ascii="Arial" w:eastAsia="Arial" w:hAnsi="Arial" w:cs="Arial"/>
          <w:sz w:val="26"/>
          <w:szCs w:val="26"/>
          <w:lang w:val="es-MX"/>
        </w:rPr>
        <w:t>o</w:t>
      </w:r>
      <w:r w:rsidR="0018219B">
        <w:rPr>
          <w:rFonts w:ascii="Arial" w:eastAsia="Arial" w:hAnsi="Arial" w:cs="Arial"/>
          <w:sz w:val="26"/>
          <w:szCs w:val="26"/>
          <w:lang w:val="es-MX"/>
        </w:rPr>
        <w:t>s</w:t>
      </w:r>
      <w:r w:rsidR="001B4E26">
        <w:rPr>
          <w:rFonts w:ascii="Arial" w:eastAsia="Arial" w:hAnsi="Arial" w:cs="Arial"/>
          <w:sz w:val="26"/>
          <w:szCs w:val="26"/>
          <w:lang w:val="es-MX"/>
        </w:rPr>
        <w:t xml:space="preserve">. </w:t>
      </w:r>
    </w:p>
    <w:p w14:paraId="5C66B23F" w14:textId="77777777" w:rsidR="0099346A" w:rsidRDefault="0099346A" w:rsidP="0099346A">
      <w:pPr>
        <w:shd w:val="clear" w:color="auto" w:fill="FFFFFF"/>
        <w:spacing w:before="240" w:after="240" w:line="360" w:lineRule="auto"/>
        <w:jc w:val="both"/>
        <w:rPr>
          <w:rFonts w:ascii="Arial" w:eastAsia="Arial" w:hAnsi="Arial" w:cs="Arial"/>
          <w:sz w:val="26"/>
          <w:szCs w:val="26"/>
          <w:lang w:val="es-MX"/>
        </w:rPr>
      </w:pPr>
    </w:p>
    <w:p w14:paraId="6AD10CB3" w14:textId="54F32A54" w:rsidR="0099346A" w:rsidRPr="001D7852" w:rsidRDefault="0099346A" w:rsidP="0099346A">
      <w:pPr>
        <w:shd w:val="clear" w:color="auto" w:fill="FFFFFF"/>
        <w:spacing w:before="240" w:after="240" w:line="360" w:lineRule="auto"/>
        <w:jc w:val="both"/>
        <w:rPr>
          <w:rFonts w:ascii="Arial" w:eastAsia="Arial" w:hAnsi="Arial" w:cs="Arial"/>
          <w:b/>
          <w:bCs/>
          <w:sz w:val="26"/>
          <w:szCs w:val="26"/>
          <w:u w:val="single"/>
          <w:lang w:val="es-MX"/>
        </w:rPr>
      </w:pPr>
      <w:r w:rsidRPr="001D7852">
        <w:rPr>
          <w:rFonts w:ascii="Arial" w:eastAsia="Arial" w:hAnsi="Arial" w:cs="Arial"/>
          <w:b/>
          <w:bCs/>
          <w:sz w:val="26"/>
          <w:szCs w:val="26"/>
          <w:u w:val="single"/>
          <w:lang w:val="es-MX"/>
        </w:rPr>
        <w:t>Razones de la concurrencia</w:t>
      </w:r>
      <w:r w:rsidR="00123C02">
        <w:rPr>
          <w:rFonts w:ascii="Arial" w:eastAsia="Arial" w:hAnsi="Arial" w:cs="Arial"/>
          <w:b/>
          <w:bCs/>
          <w:sz w:val="26"/>
          <w:szCs w:val="26"/>
          <w:u w:val="single"/>
          <w:lang w:val="es-MX"/>
        </w:rPr>
        <w:t>.</w:t>
      </w:r>
    </w:p>
    <w:p w14:paraId="6BCF6863" w14:textId="77777777" w:rsidR="00710CA1" w:rsidRPr="00710CA1" w:rsidRDefault="00710CA1" w:rsidP="00614340">
      <w:pPr>
        <w:shd w:val="clear" w:color="auto" w:fill="FFFFFF"/>
        <w:spacing w:before="240" w:after="240" w:line="360" w:lineRule="auto"/>
        <w:jc w:val="both"/>
        <w:rPr>
          <w:rFonts w:ascii="Arial" w:eastAsia="Arial" w:hAnsi="Arial" w:cs="Arial"/>
          <w:i/>
          <w:iCs/>
          <w:sz w:val="26"/>
          <w:szCs w:val="26"/>
          <w:u w:val="single"/>
          <w:lang w:val="es-MX"/>
        </w:rPr>
      </w:pPr>
      <w:r w:rsidRPr="00710CA1">
        <w:rPr>
          <w:rFonts w:ascii="Arial" w:eastAsia="Arial" w:hAnsi="Arial" w:cs="Arial"/>
          <w:i/>
          <w:iCs/>
          <w:sz w:val="26"/>
          <w:szCs w:val="26"/>
          <w:u w:val="single"/>
          <w:lang w:val="es-MX"/>
        </w:rPr>
        <w:t>Primer tema:</w:t>
      </w:r>
    </w:p>
    <w:p w14:paraId="3219415E" w14:textId="2725AFA1" w:rsidR="001321EC" w:rsidRDefault="00581092" w:rsidP="00614340">
      <w:pPr>
        <w:shd w:val="clear" w:color="auto" w:fill="FFFFFF"/>
        <w:spacing w:before="240" w:after="240" w:line="360" w:lineRule="auto"/>
        <w:jc w:val="both"/>
        <w:rPr>
          <w:rFonts w:ascii="Arial" w:eastAsia="Arial" w:hAnsi="Arial" w:cs="Arial"/>
          <w:sz w:val="26"/>
          <w:szCs w:val="26"/>
          <w:lang w:val="es-MX"/>
        </w:rPr>
      </w:pPr>
      <w:r w:rsidRPr="00667550">
        <w:rPr>
          <w:rFonts w:ascii="Arial" w:eastAsia="Arial" w:hAnsi="Arial" w:cs="Arial"/>
          <w:sz w:val="26"/>
          <w:szCs w:val="26"/>
          <w:lang w:val="es-MX"/>
        </w:rPr>
        <w:t>A</w:t>
      </w:r>
      <w:r w:rsidR="0018219B" w:rsidRPr="00667550">
        <w:rPr>
          <w:rFonts w:ascii="Arial" w:eastAsia="Arial" w:hAnsi="Arial" w:cs="Arial"/>
          <w:sz w:val="26"/>
          <w:szCs w:val="26"/>
          <w:lang w:val="es-MX"/>
        </w:rPr>
        <w:t xml:space="preserve">un cuando coincido en que </w:t>
      </w:r>
      <w:r w:rsidR="001321EC" w:rsidRPr="00667550">
        <w:rPr>
          <w:rFonts w:ascii="Arial" w:eastAsia="Arial" w:hAnsi="Arial" w:cs="Arial"/>
          <w:sz w:val="26"/>
          <w:szCs w:val="26"/>
          <w:lang w:val="es-MX"/>
        </w:rPr>
        <w:t xml:space="preserve">son inoperantes </w:t>
      </w:r>
      <w:r w:rsidR="0018219B" w:rsidRPr="00667550">
        <w:rPr>
          <w:rFonts w:ascii="Arial" w:eastAsia="Arial" w:hAnsi="Arial" w:cs="Arial"/>
          <w:sz w:val="26"/>
          <w:szCs w:val="26"/>
          <w:lang w:val="es-MX"/>
        </w:rPr>
        <w:t>los conceptos de violación</w:t>
      </w:r>
      <w:r w:rsidR="001321EC" w:rsidRPr="00667550">
        <w:rPr>
          <w:rFonts w:ascii="Arial" w:eastAsia="Arial" w:hAnsi="Arial" w:cs="Arial"/>
          <w:sz w:val="26"/>
          <w:szCs w:val="26"/>
          <w:lang w:val="es-MX"/>
        </w:rPr>
        <w:t xml:space="preserve"> aducidos en contra de la falta de motivación reforzada a</w:t>
      </w:r>
      <w:r w:rsidR="005B0CE0" w:rsidRPr="00667550">
        <w:rPr>
          <w:rFonts w:ascii="Arial" w:eastAsia="Arial" w:hAnsi="Arial" w:cs="Arial"/>
          <w:sz w:val="26"/>
          <w:szCs w:val="26"/>
          <w:lang w:val="es-MX"/>
        </w:rPr>
        <w:t xml:space="preserve"> la reforma realizada a la Ley General de Salud por la falta de legitimación de la persona moral quejosa para realizar ese planteamiento, </w:t>
      </w:r>
      <w:r w:rsidR="008E411B" w:rsidRPr="00667550">
        <w:rPr>
          <w:rFonts w:ascii="Arial" w:eastAsia="Arial" w:hAnsi="Arial" w:cs="Arial"/>
          <w:sz w:val="26"/>
          <w:szCs w:val="26"/>
          <w:lang w:val="es-MX"/>
        </w:rPr>
        <w:t xml:space="preserve">respetuosamente no comparto las consideraciones en las cuales se establece que </w:t>
      </w:r>
      <w:r w:rsidR="00A119AF" w:rsidRPr="00667550">
        <w:rPr>
          <w:rFonts w:ascii="Arial" w:eastAsia="Arial" w:hAnsi="Arial" w:cs="Arial"/>
          <w:sz w:val="26"/>
          <w:szCs w:val="26"/>
          <w:lang w:val="es-MX"/>
        </w:rPr>
        <w:t>la empresa no cuenta con interés legítimo para hacer ese planteamiento por no ser titular del derecho a la salud por la simple razón de que su naturaleza jurídica no se lo permite.</w:t>
      </w:r>
      <w:r w:rsidR="00A119AF">
        <w:rPr>
          <w:rFonts w:ascii="Arial" w:eastAsia="Arial" w:hAnsi="Arial" w:cs="Arial"/>
          <w:sz w:val="26"/>
          <w:szCs w:val="26"/>
          <w:lang w:val="es-MX"/>
        </w:rPr>
        <w:t xml:space="preserve"> </w:t>
      </w:r>
    </w:p>
    <w:p w14:paraId="574B2BDE" w14:textId="0CB496B8" w:rsidR="001D7852" w:rsidRDefault="00BA1683" w:rsidP="00614340">
      <w:pPr>
        <w:shd w:val="clear" w:color="auto" w:fill="FFFFFF"/>
        <w:spacing w:before="240" w:after="240" w:line="360" w:lineRule="auto"/>
        <w:jc w:val="both"/>
        <w:rPr>
          <w:rFonts w:ascii="Arial" w:eastAsia="Arial" w:hAnsi="Arial" w:cs="Arial"/>
          <w:sz w:val="26"/>
          <w:szCs w:val="26"/>
          <w:lang w:val="es-MX"/>
        </w:rPr>
      </w:pPr>
      <w:r w:rsidRPr="00667550">
        <w:rPr>
          <w:rFonts w:ascii="Arial" w:eastAsia="Arial" w:hAnsi="Arial" w:cs="Arial"/>
          <w:sz w:val="26"/>
          <w:szCs w:val="26"/>
          <w:lang w:val="es-MX"/>
        </w:rPr>
        <w:t xml:space="preserve">Lo anterior, porque tal consideración se aparta de la doctrina que </w:t>
      </w:r>
      <w:r w:rsidR="0026628E" w:rsidRPr="00667550">
        <w:rPr>
          <w:rFonts w:ascii="Arial" w:eastAsia="Arial" w:hAnsi="Arial" w:cs="Arial"/>
          <w:sz w:val="26"/>
          <w:szCs w:val="26"/>
          <w:lang w:val="es-MX"/>
        </w:rPr>
        <w:t xml:space="preserve">este </w:t>
      </w:r>
      <w:r w:rsidR="00123C02">
        <w:rPr>
          <w:rFonts w:ascii="Arial" w:eastAsia="Arial" w:hAnsi="Arial" w:cs="Arial"/>
          <w:sz w:val="26"/>
          <w:szCs w:val="26"/>
          <w:lang w:val="es-MX"/>
        </w:rPr>
        <w:t>A</w:t>
      </w:r>
      <w:r w:rsidR="0026628E" w:rsidRPr="00667550">
        <w:rPr>
          <w:rFonts w:ascii="Arial" w:eastAsia="Arial" w:hAnsi="Arial" w:cs="Arial"/>
          <w:sz w:val="26"/>
          <w:szCs w:val="26"/>
          <w:lang w:val="es-MX"/>
        </w:rPr>
        <w:t xml:space="preserve">lto </w:t>
      </w:r>
      <w:r w:rsidR="00123C02">
        <w:rPr>
          <w:rFonts w:ascii="Arial" w:eastAsia="Arial" w:hAnsi="Arial" w:cs="Arial"/>
          <w:sz w:val="26"/>
          <w:szCs w:val="26"/>
          <w:lang w:val="es-MX"/>
        </w:rPr>
        <w:t>T</w:t>
      </w:r>
      <w:r w:rsidR="0026628E" w:rsidRPr="00667550">
        <w:rPr>
          <w:rFonts w:ascii="Arial" w:eastAsia="Arial" w:hAnsi="Arial" w:cs="Arial"/>
          <w:sz w:val="26"/>
          <w:szCs w:val="26"/>
          <w:lang w:val="es-MX"/>
        </w:rPr>
        <w:t>ribunal ha desarrollado en relación con el in</w:t>
      </w:r>
      <w:r w:rsidR="00134C0C" w:rsidRPr="00667550">
        <w:rPr>
          <w:rFonts w:ascii="Arial" w:eastAsia="Arial" w:hAnsi="Arial" w:cs="Arial"/>
          <w:sz w:val="26"/>
          <w:szCs w:val="26"/>
          <w:lang w:val="es-MX"/>
        </w:rPr>
        <w:t xml:space="preserve">terés legítimo de las personas morales o asociaciones civiles para acudir al juicio </w:t>
      </w:r>
      <w:r w:rsidR="00667550" w:rsidRPr="00667550">
        <w:rPr>
          <w:rFonts w:ascii="Arial" w:eastAsia="Arial" w:hAnsi="Arial" w:cs="Arial"/>
          <w:sz w:val="26"/>
          <w:szCs w:val="26"/>
          <w:lang w:val="es-MX"/>
        </w:rPr>
        <w:t>de amparo</w:t>
      </w:r>
      <w:r w:rsidR="00134C0C" w:rsidRPr="00667550">
        <w:rPr>
          <w:rFonts w:ascii="Arial" w:eastAsia="Arial" w:hAnsi="Arial" w:cs="Arial"/>
          <w:sz w:val="26"/>
          <w:szCs w:val="26"/>
          <w:lang w:val="es-MX"/>
        </w:rPr>
        <w:t xml:space="preserve">, </w:t>
      </w:r>
      <w:r w:rsidR="00C05F26" w:rsidRPr="00667550">
        <w:rPr>
          <w:rFonts w:ascii="Arial" w:eastAsia="Arial" w:hAnsi="Arial" w:cs="Arial"/>
          <w:sz w:val="26"/>
          <w:szCs w:val="26"/>
          <w:lang w:val="es-MX"/>
        </w:rPr>
        <w:t>conforme a la cual sí puede reconocérseles legitimación para reclamar afectaciones al derecho a la salud siempre y cuando acrediten que se constituyeron con el fin de proteger ese dere</w:t>
      </w:r>
      <w:r w:rsidR="007D7E86" w:rsidRPr="00667550">
        <w:rPr>
          <w:rFonts w:ascii="Arial" w:eastAsia="Arial" w:hAnsi="Arial" w:cs="Arial"/>
          <w:sz w:val="26"/>
          <w:szCs w:val="26"/>
          <w:lang w:val="es-MX"/>
        </w:rPr>
        <w:t>cho, así co</w:t>
      </w:r>
      <w:r w:rsidR="00667550">
        <w:rPr>
          <w:rFonts w:ascii="Arial" w:eastAsia="Arial" w:hAnsi="Arial" w:cs="Arial"/>
          <w:sz w:val="26"/>
          <w:szCs w:val="26"/>
          <w:lang w:val="es-MX"/>
        </w:rPr>
        <w:t>mo</w:t>
      </w:r>
      <w:r w:rsidR="007D7E86" w:rsidRPr="00667550">
        <w:rPr>
          <w:rFonts w:ascii="Arial" w:eastAsia="Arial" w:hAnsi="Arial" w:cs="Arial"/>
          <w:sz w:val="26"/>
          <w:szCs w:val="26"/>
          <w:lang w:val="es-MX"/>
        </w:rPr>
        <w:t xml:space="preserve"> que han asumido un rol activo en su defensa.</w:t>
      </w:r>
    </w:p>
    <w:p w14:paraId="441BB08F" w14:textId="4F58BF70" w:rsidR="007D7E86" w:rsidRDefault="007D7E86" w:rsidP="00614340">
      <w:pPr>
        <w:shd w:val="clear" w:color="auto" w:fill="FFFFFF"/>
        <w:spacing w:before="240" w:after="240" w:line="360" w:lineRule="auto"/>
        <w:jc w:val="both"/>
        <w:rPr>
          <w:rFonts w:ascii="Arial" w:eastAsia="Arial" w:hAnsi="Arial" w:cs="Arial"/>
          <w:sz w:val="26"/>
          <w:szCs w:val="26"/>
          <w:lang w:val="es-MX"/>
        </w:rPr>
      </w:pPr>
      <w:r w:rsidRPr="00667550">
        <w:rPr>
          <w:rFonts w:ascii="Arial" w:eastAsia="Arial" w:hAnsi="Arial" w:cs="Arial"/>
          <w:sz w:val="26"/>
          <w:szCs w:val="26"/>
          <w:lang w:val="es-MX"/>
        </w:rPr>
        <w:lastRenderedPageBreak/>
        <w:t xml:space="preserve">Ante ello, </w:t>
      </w:r>
      <w:r w:rsidR="00B30649" w:rsidRPr="00667550">
        <w:rPr>
          <w:rFonts w:ascii="Arial" w:eastAsia="Arial" w:hAnsi="Arial" w:cs="Arial"/>
          <w:sz w:val="26"/>
          <w:szCs w:val="26"/>
          <w:lang w:val="es-MX"/>
        </w:rPr>
        <w:t xml:space="preserve">considero que la razón toral por la cual debió establecerse que la empresa quejosa carecía de interés para reclamar la falta de una motivación reforzada a la luz del derecho a la salud, debió </w:t>
      </w:r>
      <w:r w:rsidR="00436446" w:rsidRPr="00667550">
        <w:rPr>
          <w:rFonts w:ascii="Arial" w:eastAsia="Arial" w:hAnsi="Arial" w:cs="Arial"/>
          <w:sz w:val="26"/>
          <w:szCs w:val="26"/>
          <w:lang w:val="es-MX"/>
        </w:rPr>
        <w:t>justificarse únicamente sobre la base de que no demostró haberse constituido con ese fin</w:t>
      </w:r>
      <w:r w:rsidR="00B73EE4" w:rsidRPr="00667550">
        <w:rPr>
          <w:rFonts w:ascii="Arial" w:eastAsia="Arial" w:hAnsi="Arial" w:cs="Arial"/>
          <w:sz w:val="26"/>
          <w:szCs w:val="26"/>
          <w:lang w:val="es-MX"/>
        </w:rPr>
        <w:t>,</w:t>
      </w:r>
      <w:r w:rsidR="00667550" w:rsidRPr="00667550">
        <w:rPr>
          <w:rFonts w:ascii="Arial" w:eastAsia="Arial" w:hAnsi="Arial" w:cs="Arial"/>
          <w:sz w:val="26"/>
          <w:szCs w:val="26"/>
          <w:lang w:val="es-MX"/>
        </w:rPr>
        <w:t xml:space="preserve"> y</w:t>
      </w:r>
      <w:r w:rsidR="00B73EE4" w:rsidRPr="00667550">
        <w:rPr>
          <w:rFonts w:ascii="Arial" w:eastAsia="Arial" w:hAnsi="Arial" w:cs="Arial"/>
          <w:sz w:val="26"/>
          <w:szCs w:val="26"/>
          <w:lang w:val="es-MX"/>
        </w:rPr>
        <w:t xml:space="preserve"> menos demostró emprender alguna acción para proteger el derecho a la salud</w:t>
      </w:r>
      <w:r w:rsidR="0064671B" w:rsidRPr="00667550">
        <w:rPr>
          <w:rFonts w:ascii="Arial" w:eastAsia="Arial" w:hAnsi="Arial" w:cs="Arial"/>
          <w:sz w:val="26"/>
          <w:szCs w:val="26"/>
          <w:lang w:val="es-MX"/>
        </w:rPr>
        <w:t xml:space="preserve"> de las personas, pues acudió al juicio de amparo en su carácter de </w:t>
      </w:r>
      <w:r w:rsidR="00665C33" w:rsidRPr="00667550">
        <w:rPr>
          <w:rFonts w:ascii="Arial" w:eastAsia="Arial" w:hAnsi="Arial" w:cs="Arial"/>
          <w:sz w:val="26"/>
          <w:szCs w:val="26"/>
          <w:lang w:val="es-MX"/>
        </w:rPr>
        <w:t>productora y comercializadora de alimentos y bebidas preenvasad</w:t>
      </w:r>
      <w:r w:rsidR="00B5622B">
        <w:rPr>
          <w:rFonts w:ascii="Arial" w:eastAsia="Arial" w:hAnsi="Arial" w:cs="Arial"/>
          <w:sz w:val="26"/>
          <w:szCs w:val="26"/>
          <w:lang w:val="es-MX"/>
        </w:rPr>
        <w:t>o</w:t>
      </w:r>
      <w:r w:rsidR="00665C33" w:rsidRPr="00667550">
        <w:rPr>
          <w:rFonts w:ascii="Arial" w:eastAsia="Arial" w:hAnsi="Arial" w:cs="Arial"/>
          <w:sz w:val="26"/>
          <w:szCs w:val="26"/>
          <w:lang w:val="es-MX"/>
        </w:rPr>
        <w:t>s.</w:t>
      </w:r>
      <w:r w:rsidR="00665C33">
        <w:rPr>
          <w:rFonts w:ascii="Arial" w:eastAsia="Arial" w:hAnsi="Arial" w:cs="Arial"/>
          <w:sz w:val="26"/>
          <w:szCs w:val="26"/>
          <w:lang w:val="es-MX"/>
        </w:rPr>
        <w:t xml:space="preserve"> </w:t>
      </w:r>
    </w:p>
    <w:p w14:paraId="2D03E6F1" w14:textId="77777777" w:rsidR="00710CA1" w:rsidRDefault="00710CA1" w:rsidP="00614340">
      <w:pPr>
        <w:shd w:val="clear" w:color="auto" w:fill="FFFFFF"/>
        <w:spacing w:before="240" w:after="240" w:line="360" w:lineRule="auto"/>
        <w:jc w:val="both"/>
        <w:rPr>
          <w:rFonts w:ascii="Arial" w:eastAsia="Arial" w:hAnsi="Arial" w:cs="Arial"/>
          <w:sz w:val="26"/>
          <w:szCs w:val="26"/>
          <w:lang w:val="es-MX"/>
        </w:rPr>
      </w:pPr>
    </w:p>
    <w:p w14:paraId="29ED0A26" w14:textId="75B19CF0" w:rsidR="00710CA1" w:rsidRPr="00710CA1" w:rsidRDefault="00710CA1" w:rsidP="00710CA1">
      <w:pPr>
        <w:shd w:val="clear" w:color="auto" w:fill="FFFFFF"/>
        <w:spacing w:before="240" w:after="240" w:line="360" w:lineRule="auto"/>
        <w:jc w:val="both"/>
        <w:rPr>
          <w:rFonts w:ascii="Arial" w:eastAsia="Arial" w:hAnsi="Arial" w:cs="Arial"/>
          <w:i/>
          <w:iCs/>
          <w:sz w:val="26"/>
          <w:szCs w:val="26"/>
          <w:u w:val="single"/>
          <w:lang w:val="es-MX"/>
        </w:rPr>
      </w:pPr>
      <w:r>
        <w:rPr>
          <w:rFonts w:ascii="Arial" w:eastAsia="Arial" w:hAnsi="Arial" w:cs="Arial"/>
          <w:i/>
          <w:iCs/>
          <w:sz w:val="26"/>
          <w:szCs w:val="26"/>
          <w:u w:val="single"/>
          <w:lang w:val="es-MX"/>
        </w:rPr>
        <w:t>Segundo tema:</w:t>
      </w:r>
    </w:p>
    <w:p w14:paraId="00654494" w14:textId="42D535BA" w:rsidR="004851A8" w:rsidRDefault="00166C57" w:rsidP="00614340">
      <w:pPr>
        <w:shd w:val="clear" w:color="auto" w:fill="FFFFFF"/>
        <w:spacing w:before="240" w:after="240" w:line="360" w:lineRule="auto"/>
        <w:jc w:val="both"/>
        <w:rPr>
          <w:rFonts w:ascii="Arial" w:eastAsia="Arial" w:hAnsi="Arial" w:cs="Arial"/>
          <w:sz w:val="26"/>
          <w:szCs w:val="26"/>
          <w:lang w:val="es-MX"/>
        </w:rPr>
      </w:pPr>
      <w:r w:rsidRPr="00667550">
        <w:rPr>
          <w:rFonts w:ascii="Arial" w:eastAsia="Arial" w:hAnsi="Arial" w:cs="Arial"/>
          <w:sz w:val="26"/>
          <w:szCs w:val="26"/>
          <w:lang w:val="es-MX"/>
        </w:rPr>
        <w:t xml:space="preserve">Por otro lado, </w:t>
      </w:r>
      <w:r w:rsidR="00920C4B" w:rsidRPr="00667550">
        <w:rPr>
          <w:rFonts w:ascii="Arial" w:eastAsia="Arial" w:hAnsi="Arial" w:cs="Arial"/>
          <w:sz w:val="26"/>
          <w:szCs w:val="26"/>
          <w:lang w:val="es-MX"/>
        </w:rPr>
        <w:t>respetuosament</w:t>
      </w:r>
      <w:r w:rsidR="00DD04B6" w:rsidRPr="00667550">
        <w:rPr>
          <w:rFonts w:ascii="Arial" w:eastAsia="Arial" w:hAnsi="Arial" w:cs="Arial"/>
          <w:sz w:val="26"/>
          <w:szCs w:val="26"/>
          <w:lang w:val="es-MX"/>
        </w:rPr>
        <w:t xml:space="preserve">e no comparto </w:t>
      </w:r>
      <w:r w:rsidR="0018219B" w:rsidRPr="00667550">
        <w:rPr>
          <w:rFonts w:ascii="Arial" w:eastAsia="Arial" w:hAnsi="Arial" w:cs="Arial"/>
          <w:sz w:val="26"/>
          <w:szCs w:val="26"/>
          <w:lang w:val="es-MX"/>
        </w:rPr>
        <w:t xml:space="preserve">las razones con las que se justifica </w:t>
      </w:r>
      <w:r w:rsidRPr="00667550">
        <w:rPr>
          <w:rFonts w:ascii="Arial" w:eastAsia="Arial" w:hAnsi="Arial" w:cs="Arial"/>
          <w:sz w:val="26"/>
          <w:szCs w:val="26"/>
          <w:lang w:val="es-MX"/>
        </w:rPr>
        <w:t>l</w:t>
      </w:r>
      <w:r w:rsidR="0018219B" w:rsidRPr="00667550">
        <w:rPr>
          <w:rFonts w:ascii="Arial" w:eastAsia="Arial" w:hAnsi="Arial" w:cs="Arial"/>
          <w:sz w:val="26"/>
          <w:szCs w:val="26"/>
          <w:lang w:val="es-MX"/>
        </w:rPr>
        <w:t>a calificativa</w:t>
      </w:r>
      <w:r w:rsidRPr="00667550">
        <w:rPr>
          <w:rFonts w:ascii="Arial" w:eastAsia="Arial" w:hAnsi="Arial" w:cs="Arial"/>
          <w:sz w:val="26"/>
          <w:szCs w:val="26"/>
          <w:lang w:val="es-MX"/>
        </w:rPr>
        <w:t xml:space="preserve"> de inoperancia </w:t>
      </w:r>
      <w:r w:rsidR="00A27D32" w:rsidRPr="00667550">
        <w:rPr>
          <w:rFonts w:ascii="Arial" w:eastAsia="Arial" w:hAnsi="Arial" w:cs="Arial"/>
          <w:sz w:val="26"/>
          <w:szCs w:val="26"/>
          <w:lang w:val="es-MX"/>
        </w:rPr>
        <w:t xml:space="preserve">de los conceptos de violación </w:t>
      </w:r>
      <w:r w:rsidR="00436446" w:rsidRPr="00667550">
        <w:rPr>
          <w:rFonts w:ascii="Arial" w:eastAsia="Arial" w:hAnsi="Arial" w:cs="Arial"/>
          <w:sz w:val="26"/>
          <w:szCs w:val="26"/>
          <w:lang w:val="es-MX"/>
        </w:rPr>
        <w:t xml:space="preserve">relacionados con la motivación reforzada de la Norma Oficial Mexicana, </w:t>
      </w:r>
      <w:r w:rsidR="0018219B" w:rsidRPr="00667550">
        <w:rPr>
          <w:rFonts w:ascii="Arial" w:eastAsia="Arial" w:hAnsi="Arial" w:cs="Arial"/>
          <w:sz w:val="26"/>
          <w:szCs w:val="26"/>
          <w:lang w:val="es-MX"/>
        </w:rPr>
        <w:t>en específico, me parece in</w:t>
      </w:r>
      <w:r w:rsidR="004851A8" w:rsidRPr="00667550">
        <w:rPr>
          <w:rFonts w:ascii="Arial" w:eastAsia="Arial" w:hAnsi="Arial" w:cs="Arial"/>
          <w:sz w:val="26"/>
          <w:szCs w:val="26"/>
          <w:lang w:val="es-MX"/>
        </w:rPr>
        <w:t>exact</w:t>
      </w:r>
      <w:r w:rsidR="0018219B" w:rsidRPr="00667550">
        <w:rPr>
          <w:rFonts w:ascii="Arial" w:eastAsia="Arial" w:hAnsi="Arial" w:cs="Arial"/>
          <w:sz w:val="26"/>
          <w:szCs w:val="26"/>
          <w:lang w:val="es-MX"/>
        </w:rPr>
        <w:t xml:space="preserve">o que se dé el mismo tratamiento </w:t>
      </w:r>
      <w:r w:rsidR="004851A8" w:rsidRPr="00667550">
        <w:rPr>
          <w:rFonts w:ascii="Arial" w:eastAsia="Arial" w:hAnsi="Arial" w:cs="Arial"/>
          <w:sz w:val="26"/>
          <w:szCs w:val="26"/>
          <w:lang w:val="es-MX"/>
        </w:rPr>
        <w:t xml:space="preserve">tanto </w:t>
      </w:r>
      <w:r w:rsidR="0018219B" w:rsidRPr="00667550">
        <w:rPr>
          <w:rFonts w:ascii="Arial" w:eastAsia="Arial" w:hAnsi="Arial" w:cs="Arial"/>
          <w:sz w:val="26"/>
          <w:szCs w:val="26"/>
          <w:lang w:val="es-MX"/>
        </w:rPr>
        <w:t>a l</w:t>
      </w:r>
      <w:r w:rsidR="00BB77D0" w:rsidRPr="00667550">
        <w:rPr>
          <w:rFonts w:ascii="Arial" w:eastAsia="Arial" w:hAnsi="Arial" w:cs="Arial"/>
          <w:sz w:val="26"/>
          <w:szCs w:val="26"/>
          <w:lang w:val="es-MX"/>
        </w:rPr>
        <w:t>os</w:t>
      </w:r>
      <w:r w:rsidR="00BB77D0">
        <w:rPr>
          <w:rFonts w:ascii="Arial" w:eastAsia="Arial" w:hAnsi="Arial" w:cs="Arial"/>
          <w:sz w:val="26"/>
          <w:szCs w:val="26"/>
          <w:lang w:val="es-MX"/>
        </w:rPr>
        <w:t xml:space="preserve"> argumentos aducidos en contra de l</w:t>
      </w:r>
      <w:r w:rsidR="0018219B">
        <w:rPr>
          <w:rFonts w:ascii="Arial" w:eastAsia="Arial" w:hAnsi="Arial" w:cs="Arial"/>
          <w:sz w:val="26"/>
          <w:szCs w:val="26"/>
          <w:lang w:val="es-MX"/>
        </w:rPr>
        <w:t xml:space="preserve">a modificación </w:t>
      </w:r>
      <w:r w:rsidR="00436446">
        <w:rPr>
          <w:rFonts w:ascii="Arial" w:eastAsia="Arial" w:hAnsi="Arial" w:cs="Arial"/>
          <w:sz w:val="26"/>
          <w:szCs w:val="26"/>
          <w:lang w:val="es-MX"/>
        </w:rPr>
        <w:t>a dicha</w:t>
      </w:r>
      <w:r w:rsidR="0018219B">
        <w:rPr>
          <w:rFonts w:ascii="Arial" w:eastAsia="Arial" w:hAnsi="Arial" w:cs="Arial"/>
          <w:sz w:val="26"/>
          <w:szCs w:val="26"/>
          <w:lang w:val="es-MX"/>
        </w:rPr>
        <w:t xml:space="preserve"> Norma </w:t>
      </w:r>
      <w:r w:rsidR="004851A8">
        <w:rPr>
          <w:rFonts w:ascii="Arial" w:eastAsia="Arial" w:hAnsi="Arial" w:cs="Arial"/>
          <w:sz w:val="26"/>
          <w:szCs w:val="26"/>
          <w:lang w:val="es-MX"/>
        </w:rPr>
        <w:t xml:space="preserve">como a la </w:t>
      </w:r>
      <w:r w:rsidR="00436446">
        <w:rPr>
          <w:rFonts w:ascii="Arial" w:eastAsia="Arial" w:hAnsi="Arial" w:cs="Arial"/>
          <w:sz w:val="26"/>
          <w:szCs w:val="26"/>
          <w:lang w:val="es-MX"/>
        </w:rPr>
        <w:t xml:space="preserve">reforma a la </w:t>
      </w:r>
      <w:r w:rsidR="004851A8">
        <w:rPr>
          <w:rFonts w:ascii="Arial" w:eastAsia="Arial" w:hAnsi="Arial" w:cs="Arial"/>
          <w:sz w:val="26"/>
          <w:szCs w:val="26"/>
          <w:lang w:val="es-MX"/>
        </w:rPr>
        <w:t>Ley General de Salud.</w:t>
      </w:r>
    </w:p>
    <w:p w14:paraId="231BA9A1" w14:textId="3C0BF88E" w:rsidR="0018219B" w:rsidRDefault="004851A8" w:rsidP="00614340">
      <w:pPr>
        <w:shd w:val="clear" w:color="auto" w:fill="FFFFFF"/>
        <w:spacing w:before="240" w:after="240" w:line="360" w:lineRule="auto"/>
        <w:jc w:val="both"/>
        <w:rPr>
          <w:rFonts w:ascii="Arial" w:eastAsia="Arial" w:hAnsi="Arial" w:cs="Arial"/>
          <w:sz w:val="26"/>
          <w:szCs w:val="26"/>
          <w:lang w:val="es-MX"/>
        </w:rPr>
      </w:pPr>
      <w:r w:rsidRPr="00710CA1">
        <w:rPr>
          <w:rFonts w:ascii="Arial" w:eastAsia="Arial" w:hAnsi="Arial" w:cs="Arial"/>
          <w:sz w:val="26"/>
          <w:szCs w:val="26"/>
          <w:lang w:val="es-MX"/>
        </w:rPr>
        <w:t>A mi parecer</w:t>
      </w:r>
      <w:r w:rsidR="0018219B" w:rsidRPr="00710CA1">
        <w:rPr>
          <w:rFonts w:ascii="Arial" w:eastAsia="Arial" w:hAnsi="Arial" w:cs="Arial"/>
          <w:sz w:val="26"/>
          <w:szCs w:val="26"/>
          <w:lang w:val="es-MX"/>
        </w:rPr>
        <w:t xml:space="preserve">, </w:t>
      </w:r>
      <w:r w:rsidR="00BB77D0" w:rsidRPr="00710CA1">
        <w:rPr>
          <w:rFonts w:ascii="Arial" w:eastAsia="Arial" w:hAnsi="Arial" w:cs="Arial"/>
          <w:sz w:val="26"/>
          <w:szCs w:val="26"/>
          <w:lang w:val="es-MX"/>
        </w:rPr>
        <w:t xml:space="preserve">la inoperancia </w:t>
      </w:r>
      <w:r w:rsidRPr="00710CA1">
        <w:rPr>
          <w:rFonts w:ascii="Arial" w:eastAsia="Arial" w:hAnsi="Arial" w:cs="Arial"/>
          <w:sz w:val="26"/>
          <w:szCs w:val="26"/>
          <w:lang w:val="es-MX"/>
        </w:rPr>
        <w:t xml:space="preserve">de los </w:t>
      </w:r>
      <w:r w:rsidR="00E61C1C" w:rsidRPr="00710CA1">
        <w:rPr>
          <w:rFonts w:ascii="Arial" w:eastAsia="Arial" w:hAnsi="Arial" w:cs="Arial"/>
          <w:sz w:val="26"/>
          <w:szCs w:val="26"/>
          <w:lang w:val="es-MX"/>
        </w:rPr>
        <w:t>argumentos relacionados con</w:t>
      </w:r>
      <w:r w:rsidRPr="00710CA1">
        <w:rPr>
          <w:rFonts w:ascii="Arial" w:eastAsia="Arial" w:hAnsi="Arial" w:cs="Arial"/>
          <w:sz w:val="26"/>
          <w:szCs w:val="26"/>
          <w:lang w:val="es-MX"/>
        </w:rPr>
        <w:t xml:space="preserve"> la modificación a la Norma Oficial Mexicana </w:t>
      </w:r>
      <w:r w:rsidR="00BB77D0" w:rsidRPr="00710CA1">
        <w:rPr>
          <w:rFonts w:ascii="Arial" w:eastAsia="Arial" w:hAnsi="Arial" w:cs="Arial"/>
          <w:sz w:val="26"/>
          <w:szCs w:val="26"/>
          <w:lang w:val="es-MX"/>
        </w:rPr>
        <w:t>debió sustentarse en que no podía exigirse una motivación reforzada para justificar su modificación, toda vez</w:t>
      </w:r>
      <w:r w:rsidR="00BB77D0">
        <w:rPr>
          <w:rFonts w:ascii="Arial" w:eastAsia="Arial" w:hAnsi="Arial" w:cs="Arial"/>
          <w:sz w:val="26"/>
          <w:szCs w:val="26"/>
          <w:lang w:val="es-MX"/>
        </w:rPr>
        <w:t xml:space="preserve"> que las autoridades administrativas ya estaban </w:t>
      </w:r>
      <w:r w:rsidR="00EF2BB7">
        <w:rPr>
          <w:rFonts w:ascii="Arial" w:eastAsia="Arial" w:hAnsi="Arial" w:cs="Arial"/>
          <w:sz w:val="26"/>
          <w:szCs w:val="26"/>
          <w:lang w:val="es-MX"/>
        </w:rPr>
        <w:t>vinculadas</w:t>
      </w:r>
      <w:r w:rsidR="00BB77D0">
        <w:rPr>
          <w:rFonts w:ascii="Arial" w:eastAsia="Arial" w:hAnsi="Arial" w:cs="Arial"/>
          <w:sz w:val="26"/>
          <w:szCs w:val="26"/>
          <w:lang w:val="es-MX"/>
        </w:rPr>
        <w:t xml:space="preserve"> a realizar </w:t>
      </w:r>
      <w:r>
        <w:rPr>
          <w:rFonts w:ascii="Arial" w:eastAsia="Arial" w:hAnsi="Arial" w:cs="Arial"/>
          <w:sz w:val="26"/>
          <w:szCs w:val="26"/>
          <w:lang w:val="es-MX"/>
        </w:rPr>
        <w:t xml:space="preserve">esa modificación </w:t>
      </w:r>
      <w:r w:rsidR="00BB77D0">
        <w:rPr>
          <w:rFonts w:ascii="Arial" w:eastAsia="Arial" w:hAnsi="Arial" w:cs="Arial"/>
          <w:sz w:val="26"/>
          <w:szCs w:val="26"/>
          <w:lang w:val="es-MX"/>
        </w:rPr>
        <w:t>como consecuencia de la reforma practicada la Ley General de Salud.</w:t>
      </w:r>
    </w:p>
    <w:p w14:paraId="07ADF05D" w14:textId="428CE766" w:rsidR="0018219B" w:rsidRDefault="00CA6E8A" w:rsidP="00614340">
      <w:pPr>
        <w:shd w:val="clear" w:color="auto" w:fill="FFFFFF"/>
        <w:spacing w:before="240" w:after="240" w:line="360" w:lineRule="auto"/>
        <w:jc w:val="both"/>
        <w:rPr>
          <w:rFonts w:ascii="Arial" w:eastAsia="Arial" w:hAnsi="Arial" w:cs="Arial"/>
          <w:sz w:val="26"/>
          <w:szCs w:val="26"/>
          <w:lang w:val="es-MX"/>
        </w:rPr>
      </w:pPr>
      <w:r>
        <w:rPr>
          <w:rFonts w:ascii="Arial" w:eastAsia="Arial" w:hAnsi="Arial" w:cs="Arial"/>
          <w:sz w:val="26"/>
          <w:szCs w:val="26"/>
          <w:lang w:val="es-MX"/>
        </w:rPr>
        <w:t xml:space="preserve">Lo anterior, porque la implementación del etiquetado frontal de advertencia tuvo su origen en </w:t>
      </w:r>
      <w:r w:rsidR="003846D4">
        <w:rPr>
          <w:rFonts w:ascii="Arial" w:eastAsia="Arial" w:hAnsi="Arial" w:cs="Arial"/>
          <w:sz w:val="26"/>
          <w:szCs w:val="26"/>
          <w:lang w:val="es-MX"/>
        </w:rPr>
        <w:t xml:space="preserve">el </w:t>
      </w:r>
      <w:r w:rsidRPr="009B44D9">
        <w:rPr>
          <w:rFonts w:ascii="Arial" w:hAnsi="Arial" w:cs="Arial"/>
          <w:sz w:val="26"/>
          <w:szCs w:val="26"/>
          <w:lang w:val="es-MX" w:eastAsia="en-US"/>
        </w:rPr>
        <w:t>Decreto por el que se reforma</w:t>
      </w:r>
      <w:r w:rsidR="00D942E2">
        <w:rPr>
          <w:rFonts w:ascii="Arial" w:hAnsi="Arial" w:cs="Arial"/>
          <w:sz w:val="26"/>
          <w:szCs w:val="26"/>
          <w:lang w:val="es-MX" w:eastAsia="en-US"/>
        </w:rPr>
        <w:t>ro</w:t>
      </w:r>
      <w:r w:rsidRPr="009B44D9">
        <w:rPr>
          <w:rFonts w:ascii="Arial" w:hAnsi="Arial" w:cs="Arial"/>
          <w:sz w:val="26"/>
          <w:szCs w:val="26"/>
          <w:lang w:val="es-MX" w:eastAsia="en-US"/>
        </w:rPr>
        <w:t>n y adiciona</w:t>
      </w:r>
      <w:r w:rsidR="00D942E2">
        <w:rPr>
          <w:rFonts w:ascii="Arial" w:hAnsi="Arial" w:cs="Arial"/>
          <w:sz w:val="26"/>
          <w:szCs w:val="26"/>
          <w:lang w:val="es-MX" w:eastAsia="en-US"/>
        </w:rPr>
        <w:t>ro</w:t>
      </w:r>
      <w:r w:rsidRPr="009B44D9">
        <w:rPr>
          <w:rFonts w:ascii="Arial" w:hAnsi="Arial" w:cs="Arial"/>
          <w:sz w:val="26"/>
          <w:szCs w:val="26"/>
          <w:lang w:val="es-MX" w:eastAsia="en-US"/>
        </w:rPr>
        <w:t>n diversas disposiciones de la Ley General de Salud, en materia de sobrepeso, obesidad y de etiquetado de alimentos y bebidas alcohólicas</w:t>
      </w:r>
      <w:r w:rsidR="003846D4">
        <w:rPr>
          <w:rFonts w:ascii="Arial" w:hAnsi="Arial" w:cs="Arial"/>
          <w:sz w:val="26"/>
          <w:szCs w:val="26"/>
          <w:lang w:val="es-MX" w:eastAsia="en-US"/>
        </w:rPr>
        <w:t xml:space="preserve">, publicado en el Diario Oficial de la Federación el ocho de </w:t>
      </w:r>
      <w:r w:rsidR="003846D4" w:rsidRPr="009B44D9">
        <w:rPr>
          <w:rFonts w:ascii="Arial" w:hAnsi="Arial" w:cs="Arial"/>
          <w:sz w:val="26"/>
          <w:szCs w:val="26"/>
          <w:lang w:val="es-MX" w:eastAsia="en-US"/>
        </w:rPr>
        <w:t>noviembre</w:t>
      </w:r>
      <w:r w:rsidR="003846D4">
        <w:rPr>
          <w:rFonts w:ascii="Arial" w:hAnsi="Arial" w:cs="Arial"/>
          <w:sz w:val="26"/>
          <w:szCs w:val="26"/>
          <w:lang w:val="es-MX" w:eastAsia="en-US"/>
        </w:rPr>
        <w:t xml:space="preserve"> de dos mil diecinueve. Con base en dicha reforma </w:t>
      </w:r>
      <w:r w:rsidRPr="009B44D9">
        <w:rPr>
          <w:rFonts w:ascii="Arial" w:hAnsi="Arial" w:cs="Arial"/>
          <w:sz w:val="26"/>
          <w:szCs w:val="26"/>
          <w:lang w:val="es-MX" w:eastAsia="en-US"/>
        </w:rPr>
        <w:t xml:space="preserve">se modificaron —entre otros— los artículos 212, párrafos tercero y cuarto, </w:t>
      </w:r>
      <w:r w:rsidR="00733896">
        <w:rPr>
          <w:rFonts w:ascii="Arial" w:hAnsi="Arial" w:cs="Arial"/>
          <w:sz w:val="26"/>
          <w:szCs w:val="26"/>
          <w:lang w:val="es-MX" w:eastAsia="en-US"/>
        </w:rPr>
        <w:t>y</w:t>
      </w:r>
      <w:r w:rsidRPr="009B44D9">
        <w:rPr>
          <w:rFonts w:ascii="Arial" w:hAnsi="Arial" w:cs="Arial"/>
          <w:sz w:val="26"/>
          <w:szCs w:val="26"/>
          <w:lang w:val="es-MX" w:eastAsia="en-US"/>
        </w:rPr>
        <w:t xml:space="preserve"> 215, fracciones VI y VII</w:t>
      </w:r>
      <w:r w:rsidR="003846D4">
        <w:rPr>
          <w:rFonts w:ascii="Arial" w:hAnsi="Arial" w:cs="Arial"/>
          <w:sz w:val="26"/>
          <w:szCs w:val="26"/>
          <w:lang w:val="es-MX" w:eastAsia="en-US"/>
        </w:rPr>
        <w:t xml:space="preserve">, de la citada </w:t>
      </w:r>
      <w:r w:rsidR="003846D4">
        <w:rPr>
          <w:rFonts w:ascii="Arial" w:hAnsi="Arial" w:cs="Arial"/>
          <w:sz w:val="26"/>
          <w:szCs w:val="26"/>
          <w:lang w:val="es-MX" w:eastAsia="en-US"/>
        </w:rPr>
        <w:lastRenderedPageBreak/>
        <w:t>legislación</w:t>
      </w:r>
      <w:r w:rsidR="003846D4">
        <w:rPr>
          <w:rStyle w:val="Refdenotaalpie"/>
          <w:rFonts w:ascii="Arial" w:hAnsi="Arial" w:cs="Arial"/>
          <w:sz w:val="26"/>
          <w:szCs w:val="26"/>
          <w:lang w:val="es-MX" w:eastAsia="en-US"/>
        </w:rPr>
        <w:footnoteReference w:id="7"/>
      </w:r>
      <w:r w:rsidR="009B1A49">
        <w:rPr>
          <w:rFonts w:ascii="Arial" w:hAnsi="Arial" w:cs="Arial"/>
          <w:sz w:val="26"/>
          <w:szCs w:val="26"/>
          <w:lang w:val="es-MX" w:eastAsia="en-US"/>
        </w:rPr>
        <w:t>, en los que expresamente se reguló el mencionado sistema de etiquetado.</w:t>
      </w:r>
    </w:p>
    <w:p w14:paraId="746409BA" w14:textId="40BCEABE" w:rsidR="00EF2BB7" w:rsidRDefault="009B1A49" w:rsidP="00614340">
      <w:pPr>
        <w:shd w:val="clear" w:color="auto" w:fill="FFFFFF"/>
        <w:spacing w:before="240" w:after="240" w:line="360" w:lineRule="auto"/>
        <w:jc w:val="both"/>
        <w:rPr>
          <w:rFonts w:ascii="Arial" w:eastAsia="Arial" w:hAnsi="Arial" w:cs="Arial"/>
          <w:sz w:val="26"/>
          <w:szCs w:val="26"/>
          <w:lang w:val="es-MX"/>
        </w:rPr>
      </w:pPr>
      <w:r>
        <w:rPr>
          <w:rFonts w:ascii="Arial" w:eastAsia="Arial" w:hAnsi="Arial" w:cs="Arial"/>
          <w:sz w:val="26"/>
          <w:szCs w:val="26"/>
          <w:lang w:val="es-MX"/>
        </w:rPr>
        <w:t>Luego, en el Segundo Transitorio de dicho Decreto de reforma s</w:t>
      </w:r>
      <w:r w:rsidR="00441C3A">
        <w:rPr>
          <w:rFonts w:ascii="Arial" w:eastAsia="Arial" w:hAnsi="Arial" w:cs="Arial"/>
          <w:sz w:val="26"/>
          <w:szCs w:val="26"/>
          <w:lang w:val="es-MX"/>
        </w:rPr>
        <w:t>e</w:t>
      </w:r>
      <w:r>
        <w:rPr>
          <w:rFonts w:ascii="Arial" w:eastAsia="Arial" w:hAnsi="Arial" w:cs="Arial"/>
          <w:sz w:val="26"/>
          <w:szCs w:val="26"/>
          <w:lang w:val="es-MX"/>
        </w:rPr>
        <w:t xml:space="preserve"> estableció que: </w:t>
      </w:r>
      <w:r w:rsidRPr="00441C3A">
        <w:rPr>
          <w:rFonts w:eastAsia="Arial"/>
          <w:i/>
          <w:iCs/>
          <w:sz w:val="26"/>
          <w:szCs w:val="26"/>
          <w:lang w:val="es-MX"/>
        </w:rPr>
        <w:t>“El Ejecutivo Federal realizará las adecuaciones reglamentarias correspondientes, dentro de los 180 días posteriores a la publicación del presente Decreto en el Diario Oficial de la Federación”</w:t>
      </w:r>
      <w:r w:rsidRPr="00441C3A">
        <w:rPr>
          <w:rFonts w:ascii="Arial" w:eastAsia="Arial" w:hAnsi="Arial" w:cs="Arial"/>
          <w:i/>
          <w:iCs/>
          <w:sz w:val="26"/>
          <w:szCs w:val="26"/>
          <w:lang w:val="es-MX"/>
        </w:rPr>
        <w:t>.</w:t>
      </w:r>
      <w:r>
        <w:rPr>
          <w:rFonts w:ascii="Arial" w:eastAsia="Arial" w:hAnsi="Arial" w:cs="Arial"/>
          <w:sz w:val="26"/>
          <w:szCs w:val="26"/>
          <w:lang w:val="es-MX"/>
        </w:rPr>
        <w:t xml:space="preserve"> </w:t>
      </w:r>
    </w:p>
    <w:p w14:paraId="5EDD4572" w14:textId="7ABDD5DE" w:rsidR="003846D4" w:rsidRDefault="009B1A49" w:rsidP="00614340">
      <w:pPr>
        <w:shd w:val="clear" w:color="auto" w:fill="FFFFFF"/>
        <w:spacing w:before="240" w:after="240" w:line="360" w:lineRule="auto"/>
        <w:jc w:val="both"/>
        <w:rPr>
          <w:rFonts w:ascii="Arial" w:eastAsia="Arial" w:hAnsi="Arial" w:cs="Arial"/>
          <w:sz w:val="26"/>
          <w:szCs w:val="26"/>
          <w:lang w:val="es-MX"/>
        </w:rPr>
      </w:pPr>
      <w:r>
        <w:rPr>
          <w:rFonts w:ascii="Arial" w:eastAsia="Arial" w:hAnsi="Arial" w:cs="Arial"/>
          <w:sz w:val="26"/>
          <w:szCs w:val="26"/>
          <w:lang w:val="es-MX"/>
        </w:rPr>
        <w:t xml:space="preserve">En términos de lo antes expuesto, me parece que la empresa quejosa no estaba en aptitud de exigir que la modificación a la Norma Oficial Mexicana encargada de regular el etiquetado frontal de advertencia se justificara a través de una motivación reforzada, </w:t>
      </w:r>
      <w:r w:rsidR="00DA1B7A">
        <w:rPr>
          <w:rFonts w:ascii="Arial" w:eastAsia="Arial" w:hAnsi="Arial" w:cs="Arial"/>
          <w:sz w:val="26"/>
          <w:szCs w:val="26"/>
          <w:lang w:val="es-MX"/>
        </w:rPr>
        <w:t>pues el proceso de modificación atendió al cumplimiento del mandato establecido en la Ley General de Salud.</w:t>
      </w:r>
    </w:p>
    <w:p w14:paraId="24182213" w14:textId="709D5130" w:rsidR="00B22A69" w:rsidRDefault="00DA1B7A" w:rsidP="00614340">
      <w:pPr>
        <w:shd w:val="clear" w:color="auto" w:fill="FFFFFF"/>
        <w:spacing w:before="240" w:after="240" w:line="360" w:lineRule="auto"/>
        <w:jc w:val="both"/>
        <w:rPr>
          <w:rFonts w:ascii="Arial" w:eastAsia="Arial" w:hAnsi="Arial" w:cs="Arial"/>
          <w:sz w:val="26"/>
          <w:szCs w:val="26"/>
          <w:lang w:val="es-MX"/>
        </w:rPr>
      </w:pPr>
      <w:r>
        <w:rPr>
          <w:rFonts w:ascii="Arial" w:eastAsia="Arial" w:hAnsi="Arial" w:cs="Arial"/>
          <w:sz w:val="26"/>
          <w:szCs w:val="26"/>
          <w:lang w:val="es-MX"/>
        </w:rPr>
        <w:t xml:space="preserve">Por lo anterior, me parece que la razón toral para declarar inoperantes los conceptos de violación aducidos en torno a la falta de motivación reforzada de la </w:t>
      </w:r>
      <w:r w:rsidR="00B22A69">
        <w:rPr>
          <w:rFonts w:ascii="Arial" w:eastAsia="Arial" w:hAnsi="Arial" w:cs="Arial"/>
          <w:sz w:val="26"/>
          <w:szCs w:val="26"/>
        </w:rPr>
        <w:t xml:space="preserve">NOM-051-SCFI/SSA1-2010, </w:t>
      </w:r>
      <w:r w:rsidR="00B22A69" w:rsidRPr="00E31C6E">
        <w:rPr>
          <w:rFonts w:ascii="Arial" w:eastAsia="Arial" w:hAnsi="Arial" w:cs="Arial"/>
          <w:i/>
          <w:iCs/>
          <w:sz w:val="26"/>
          <w:szCs w:val="26"/>
        </w:rPr>
        <w:t xml:space="preserve">Especificación generales de etiquetado para alimentos y bebidas no alcohólicas preenvasados-información </w:t>
      </w:r>
      <w:r w:rsidR="00B22A69" w:rsidRPr="00E31C6E">
        <w:rPr>
          <w:rFonts w:ascii="Arial" w:eastAsia="Arial" w:hAnsi="Arial" w:cs="Arial"/>
          <w:i/>
          <w:iCs/>
          <w:sz w:val="26"/>
          <w:szCs w:val="26"/>
        </w:rPr>
        <w:lastRenderedPageBreak/>
        <w:t>comercial y sanitaria</w:t>
      </w:r>
      <w:r w:rsidR="00B22A69">
        <w:rPr>
          <w:rFonts w:ascii="Arial" w:eastAsia="Arial" w:hAnsi="Arial" w:cs="Arial"/>
          <w:sz w:val="26"/>
          <w:szCs w:val="26"/>
        </w:rPr>
        <w:t xml:space="preserve">, no debió consistir en que la empresa quejosa carecía de legitimación para exigirla por no ser titular de los derechos a la salud y a la protección al consumidor, sino que debió establecerse que el proceso de normalización no estaba sujeto a cumplir ese requisito porque </w:t>
      </w:r>
      <w:r w:rsidR="00B22A69">
        <w:rPr>
          <w:rFonts w:ascii="Arial" w:eastAsia="Arial" w:hAnsi="Arial" w:cs="Arial"/>
          <w:sz w:val="26"/>
          <w:szCs w:val="26"/>
          <w:lang w:val="es-MX"/>
        </w:rPr>
        <w:t xml:space="preserve">la modificación de la Norma Oficial Mexicana atendió únicamente al cumplimiento de una obligación legalmente establecida. </w:t>
      </w:r>
    </w:p>
    <w:p w14:paraId="0A9D55E2" w14:textId="77777777" w:rsidR="00B22A69" w:rsidRDefault="00B22A69" w:rsidP="00614340">
      <w:pPr>
        <w:shd w:val="clear" w:color="auto" w:fill="FFFFFF"/>
        <w:spacing w:before="240" w:after="240" w:line="360" w:lineRule="auto"/>
        <w:jc w:val="both"/>
        <w:rPr>
          <w:rFonts w:ascii="Arial" w:eastAsia="Arial" w:hAnsi="Arial" w:cs="Arial"/>
          <w:b/>
          <w:sz w:val="26"/>
          <w:szCs w:val="26"/>
        </w:rPr>
      </w:pPr>
    </w:p>
    <w:p w14:paraId="38FC0D84" w14:textId="77777777" w:rsidR="006C788E" w:rsidRDefault="006C788E" w:rsidP="00614340">
      <w:pPr>
        <w:shd w:val="clear" w:color="auto" w:fill="FFFFFF"/>
        <w:spacing w:before="240" w:after="240" w:line="360" w:lineRule="auto"/>
        <w:jc w:val="both"/>
        <w:rPr>
          <w:rFonts w:ascii="Arial" w:eastAsia="Arial" w:hAnsi="Arial" w:cs="Arial"/>
          <w:b/>
          <w:sz w:val="26"/>
          <w:szCs w:val="26"/>
        </w:rPr>
      </w:pPr>
    </w:p>
    <w:p w14:paraId="60787873" w14:textId="282F6AD3" w:rsidR="00A83C95" w:rsidRPr="00BC4A46" w:rsidRDefault="00557191" w:rsidP="00614340">
      <w:pPr>
        <w:shd w:val="clear" w:color="auto" w:fill="FFFFFF"/>
        <w:spacing w:before="240" w:after="240" w:line="360" w:lineRule="auto"/>
        <w:jc w:val="center"/>
        <w:rPr>
          <w:rFonts w:ascii="Arial" w:eastAsia="Arial" w:hAnsi="Arial" w:cs="Arial"/>
          <w:b/>
          <w:sz w:val="26"/>
          <w:szCs w:val="26"/>
          <w:u w:val="single"/>
        </w:rPr>
      </w:pPr>
      <w:r>
        <w:rPr>
          <w:rFonts w:ascii="Arial" w:eastAsia="Arial" w:hAnsi="Arial" w:cs="Arial"/>
          <w:b/>
          <w:sz w:val="26"/>
          <w:szCs w:val="26"/>
        </w:rPr>
        <w:t>MINISTRA ANA MARGARITA RÍOS FARJAT</w:t>
      </w:r>
    </w:p>
    <w:sectPr w:rsidR="00A83C95" w:rsidRPr="00BC4A46" w:rsidSect="00D319D4">
      <w:headerReference w:type="even" r:id="rId9"/>
      <w:headerReference w:type="default" r:id="rId10"/>
      <w:footerReference w:type="even" r:id="rId11"/>
      <w:footerReference w:type="default" r:id="rId12"/>
      <w:headerReference w:type="first" r:id="rId13"/>
      <w:pgSz w:w="12240" w:h="19293"/>
      <w:pgMar w:top="2694" w:right="1758" w:bottom="1701" w:left="1758" w:header="1191"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2CC64" w14:textId="77777777" w:rsidR="004F072A" w:rsidRDefault="004F072A">
      <w:r>
        <w:separator/>
      </w:r>
    </w:p>
  </w:endnote>
  <w:endnote w:type="continuationSeparator" w:id="0">
    <w:p w14:paraId="4595CBC2" w14:textId="77777777" w:rsidR="004F072A" w:rsidRDefault="004F072A">
      <w:r>
        <w:continuationSeparator/>
      </w:r>
    </w:p>
  </w:endnote>
  <w:endnote w:type="continuationNotice" w:id="1">
    <w:p w14:paraId="601C3C81" w14:textId="77777777" w:rsidR="004F072A" w:rsidRDefault="004F0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87881" w14:textId="6BC10FBA" w:rsidR="00A83C95" w:rsidRPr="002C353B" w:rsidRDefault="00557191">
    <w:pPr>
      <w:pBdr>
        <w:top w:val="nil"/>
        <w:left w:val="nil"/>
        <w:bottom w:val="nil"/>
        <w:right w:val="nil"/>
        <w:between w:val="nil"/>
      </w:pBdr>
      <w:tabs>
        <w:tab w:val="center" w:pos="4252"/>
        <w:tab w:val="right" w:pos="8504"/>
      </w:tabs>
      <w:rPr>
        <w:rFonts w:ascii="Arial" w:eastAsia="Arial" w:hAnsi="Arial" w:cs="Arial"/>
        <w:b/>
        <w:color w:val="0070C0"/>
        <w:sz w:val="26"/>
        <w:szCs w:val="26"/>
      </w:rPr>
    </w:pPr>
    <w:r w:rsidRPr="002C353B">
      <w:rPr>
        <w:rFonts w:ascii="Arial" w:eastAsia="Arial" w:hAnsi="Arial" w:cs="Arial"/>
        <w:b/>
        <w:color w:val="0070C0"/>
        <w:sz w:val="26"/>
        <w:szCs w:val="26"/>
      </w:rPr>
      <w:fldChar w:fldCharType="begin"/>
    </w:r>
    <w:r w:rsidRPr="002C353B">
      <w:rPr>
        <w:rFonts w:ascii="Arial" w:eastAsia="Arial" w:hAnsi="Arial" w:cs="Arial"/>
        <w:b/>
        <w:color w:val="0070C0"/>
        <w:sz w:val="26"/>
        <w:szCs w:val="26"/>
      </w:rPr>
      <w:instrText>PAGE</w:instrText>
    </w:r>
    <w:r w:rsidRPr="002C353B">
      <w:rPr>
        <w:rFonts w:ascii="Arial" w:eastAsia="Arial" w:hAnsi="Arial" w:cs="Arial"/>
        <w:b/>
        <w:color w:val="0070C0"/>
        <w:sz w:val="26"/>
        <w:szCs w:val="26"/>
      </w:rPr>
      <w:fldChar w:fldCharType="separate"/>
    </w:r>
    <w:r w:rsidR="009A688E" w:rsidRPr="002C353B">
      <w:rPr>
        <w:rFonts w:ascii="Arial" w:eastAsia="Arial" w:hAnsi="Arial" w:cs="Arial"/>
        <w:b/>
        <w:noProof/>
        <w:color w:val="0070C0"/>
        <w:sz w:val="26"/>
        <w:szCs w:val="26"/>
      </w:rPr>
      <w:t>2</w:t>
    </w:r>
    <w:r w:rsidRPr="002C353B">
      <w:rPr>
        <w:rFonts w:ascii="Arial" w:eastAsia="Arial" w:hAnsi="Arial" w:cs="Arial"/>
        <w:b/>
        <w:color w:val="0070C0"/>
        <w:sz w:val="26"/>
        <w:szCs w:val="26"/>
      </w:rPr>
      <w:fldChar w:fldCharType="end"/>
    </w:r>
  </w:p>
  <w:p w14:paraId="60787882" w14:textId="77777777" w:rsidR="00A83C95" w:rsidRDefault="00A83C95">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87883" w14:textId="74E6F47B" w:rsidR="00A83C95" w:rsidRDefault="00557191">
    <w:pPr>
      <w:pBdr>
        <w:top w:val="nil"/>
        <w:left w:val="nil"/>
        <w:bottom w:val="nil"/>
        <w:right w:val="nil"/>
        <w:between w:val="nil"/>
      </w:pBdr>
      <w:tabs>
        <w:tab w:val="center" w:pos="4252"/>
        <w:tab w:val="right" w:pos="8504"/>
      </w:tabs>
      <w:jc w:val="right"/>
      <w:rPr>
        <w:rFonts w:ascii="Arial" w:eastAsia="Arial" w:hAnsi="Arial" w:cs="Arial"/>
        <w:b/>
        <w:color w:val="0070C0"/>
        <w:sz w:val="22"/>
        <w:szCs w:val="22"/>
      </w:rPr>
    </w:pPr>
    <w:r>
      <w:rPr>
        <w:rFonts w:ascii="Arial" w:eastAsia="Arial" w:hAnsi="Arial" w:cs="Arial"/>
        <w:b/>
        <w:color w:val="0070C0"/>
        <w:sz w:val="22"/>
        <w:szCs w:val="22"/>
      </w:rPr>
      <w:fldChar w:fldCharType="begin"/>
    </w:r>
    <w:r>
      <w:rPr>
        <w:rFonts w:ascii="Arial" w:eastAsia="Arial" w:hAnsi="Arial" w:cs="Arial"/>
        <w:b/>
        <w:color w:val="0070C0"/>
        <w:sz w:val="22"/>
        <w:szCs w:val="22"/>
      </w:rPr>
      <w:instrText>PAGE</w:instrText>
    </w:r>
    <w:r>
      <w:rPr>
        <w:rFonts w:ascii="Arial" w:eastAsia="Arial" w:hAnsi="Arial" w:cs="Arial"/>
        <w:b/>
        <w:color w:val="0070C0"/>
        <w:sz w:val="22"/>
        <w:szCs w:val="22"/>
      </w:rPr>
      <w:fldChar w:fldCharType="separate"/>
    </w:r>
    <w:r w:rsidR="009A688E">
      <w:rPr>
        <w:rFonts w:ascii="Arial" w:eastAsia="Arial" w:hAnsi="Arial" w:cs="Arial"/>
        <w:b/>
        <w:noProof/>
        <w:color w:val="0070C0"/>
        <w:sz w:val="22"/>
        <w:szCs w:val="22"/>
      </w:rPr>
      <w:t>3</w:t>
    </w:r>
    <w:r>
      <w:rPr>
        <w:rFonts w:ascii="Arial" w:eastAsia="Arial" w:hAnsi="Arial" w:cs="Arial"/>
        <w:b/>
        <w:color w:val="0070C0"/>
        <w:sz w:val="22"/>
        <w:szCs w:val="22"/>
      </w:rPr>
      <w:fldChar w:fldCharType="end"/>
    </w:r>
  </w:p>
  <w:p w14:paraId="60787884" w14:textId="77777777" w:rsidR="00A83C95" w:rsidRDefault="00A83C9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1CC34" w14:textId="77777777" w:rsidR="004F072A" w:rsidRDefault="004F072A">
      <w:r>
        <w:separator/>
      </w:r>
    </w:p>
  </w:footnote>
  <w:footnote w:type="continuationSeparator" w:id="0">
    <w:p w14:paraId="0AE721A0" w14:textId="77777777" w:rsidR="004F072A" w:rsidRDefault="004F072A">
      <w:r>
        <w:continuationSeparator/>
      </w:r>
    </w:p>
  </w:footnote>
  <w:footnote w:type="continuationNotice" w:id="1">
    <w:p w14:paraId="3C8475E6" w14:textId="77777777" w:rsidR="004F072A" w:rsidRDefault="004F072A"/>
  </w:footnote>
  <w:footnote w:id="2">
    <w:p w14:paraId="64F45FFF" w14:textId="14F599DE" w:rsidR="002C353B" w:rsidRPr="00EF7D7C" w:rsidRDefault="002C353B" w:rsidP="00F7464C">
      <w:pPr>
        <w:pStyle w:val="Textonotapie"/>
        <w:spacing w:before="120" w:after="120"/>
        <w:ind w:left="142" w:hanging="142"/>
        <w:jc w:val="both"/>
        <w:rPr>
          <w:sz w:val="24"/>
          <w:szCs w:val="24"/>
          <w:lang w:val="es-MX"/>
        </w:rPr>
      </w:pPr>
      <w:r w:rsidRPr="00614340">
        <w:rPr>
          <w:rStyle w:val="Refdenotaalpie"/>
          <w:sz w:val="22"/>
          <w:szCs w:val="22"/>
        </w:rPr>
        <w:footnoteRef/>
      </w:r>
      <w:r w:rsidRPr="00614340">
        <w:rPr>
          <w:sz w:val="22"/>
          <w:szCs w:val="22"/>
        </w:rPr>
        <w:t xml:space="preserve"> De las </w:t>
      </w:r>
      <w:proofErr w:type="gramStart"/>
      <w:r w:rsidRPr="00614340">
        <w:rPr>
          <w:sz w:val="22"/>
          <w:szCs w:val="22"/>
        </w:rPr>
        <w:t>Ministras</w:t>
      </w:r>
      <w:proofErr w:type="gramEnd"/>
      <w:r w:rsidRPr="00614340">
        <w:rPr>
          <w:sz w:val="22"/>
          <w:szCs w:val="22"/>
        </w:rPr>
        <w:t xml:space="preserve"> Esquivel Mossa, Ortiz </w:t>
      </w:r>
      <w:r w:rsidRPr="000C7E8A">
        <w:rPr>
          <w:sz w:val="22"/>
          <w:szCs w:val="22"/>
        </w:rPr>
        <w:t xml:space="preserve">Ahlf, Batres Guadarrama, </w:t>
      </w:r>
      <w:r w:rsidR="000C7E8A" w:rsidRPr="000C7E8A">
        <w:rPr>
          <w:sz w:val="22"/>
          <w:szCs w:val="22"/>
        </w:rPr>
        <w:t xml:space="preserve">Presidenta </w:t>
      </w:r>
      <w:r w:rsidRPr="000C7E8A">
        <w:rPr>
          <w:sz w:val="22"/>
          <w:szCs w:val="22"/>
        </w:rPr>
        <w:t>Piña Hernández y la suscrita Ministra Ríos Farjat, y de los Ministros Gutiérrez Ortiz Mena, González Alcántara</w:t>
      </w:r>
      <w:r w:rsidR="00F7464C">
        <w:rPr>
          <w:sz w:val="22"/>
          <w:szCs w:val="22"/>
        </w:rPr>
        <w:t xml:space="preserve"> Carrancá</w:t>
      </w:r>
      <w:r w:rsidRPr="000C7E8A">
        <w:rPr>
          <w:sz w:val="22"/>
          <w:szCs w:val="22"/>
        </w:rPr>
        <w:t xml:space="preserve">, Pardo Rebolledo, Laynez Potisek y Pérez Dayán. El </w:t>
      </w:r>
      <w:proofErr w:type="gramStart"/>
      <w:r w:rsidRPr="000C7E8A">
        <w:rPr>
          <w:sz w:val="22"/>
          <w:szCs w:val="22"/>
        </w:rPr>
        <w:t>Ministro</w:t>
      </w:r>
      <w:proofErr w:type="gramEnd"/>
      <w:r w:rsidRPr="000C7E8A">
        <w:rPr>
          <w:sz w:val="22"/>
          <w:szCs w:val="22"/>
        </w:rPr>
        <w:t xml:space="preserve"> Aguilar Morales votó en contra.</w:t>
      </w:r>
    </w:p>
  </w:footnote>
  <w:footnote w:id="3">
    <w:p w14:paraId="1A5DCD18" w14:textId="5FDF0338" w:rsidR="002C353B" w:rsidRPr="00EF7D7C" w:rsidRDefault="002C353B" w:rsidP="00F7464C">
      <w:pPr>
        <w:pStyle w:val="Textonotapie"/>
        <w:spacing w:before="120" w:after="120"/>
        <w:ind w:left="142" w:hanging="142"/>
        <w:jc w:val="both"/>
        <w:rPr>
          <w:sz w:val="24"/>
          <w:szCs w:val="24"/>
          <w:lang w:val="es-MX"/>
        </w:rPr>
      </w:pPr>
      <w:r w:rsidRPr="000C7E8A">
        <w:rPr>
          <w:rStyle w:val="Refdenotaalpie"/>
        </w:rPr>
        <w:footnoteRef/>
      </w:r>
      <w:r w:rsidRPr="000C7E8A">
        <w:t xml:space="preserve"> </w:t>
      </w:r>
      <w:r w:rsidRPr="000C7E8A">
        <w:rPr>
          <w:sz w:val="22"/>
          <w:szCs w:val="22"/>
        </w:rPr>
        <w:t xml:space="preserve">De las </w:t>
      </w:r>
      <w:proofErr w:type="gramStart"/>
      <w:r w:rsidRPr="000C7E8A">
        <w:rPr>
          <w:sz w:val="22"/>
          <w:szCs w:val="22"/>
        </w:rPr>
        <w:t>Ministras</w:t>
      </w:r>
      <w:proofErr w:type="gramEnd"/>
      <w:r w:rsidRPr="000C7E8A">
        <w:rPr>
          <w:sz w:val="22"/>
          <w:szCs w:val="22"/>
        </w:rPr>
        <w:t xml:space="preserve"> Esquivel Mossa, Ortiz Ahlf, Batres Guadarrama, </w:t>
      </w:r>
      <w:r w:rsidR="000C7E8A">
        <w:rPr>
          <w:sz w:val="22"/>
          <w:szCs w:val="22"/>
        </w:rPr>
        <w:t xml:space="preserve">Presidenta </w:t>
      </w:r>
      <w:r w:rsidRPr="000C7E8A">
        <w:rPr>
          <w:sz w:val="22"/>
          <w:szCs w:val="22"/>
        </w:rPr>
        <w:t>Piña Hernández y la suscrita Ministra Ríos Farjat, y de los Ministros Gutiérrez Ortiz Mena, González Alcántara</w:t>
      </w:r>
      <w:r w:rsidR="00F7464C">
        <w:rPr>
          <w:sz w:val="22"/>
          <w:szCs w:val="22"/>
        </w:rPr>
        <w:t xml:space="preserve"> Carrancá</w:t>
      </w:r>
      <w:r w:rsidRPr="000C7E8A">
        <w:rPr>
          <w:sz w:val="22"/>
          <w:szCs w:val="22"/>
        </w:rPr>
        <w:t xml:space="preserve">, </w:t>
      </w:r>
      <w:r w:rsidR="00F7464C">
        <w:rPr>
          <w:sz w:val="22"/>
          <w:szCs w:val="22"/>
        </w:rPr>
        <w:t xml:space="preserve">Aguilar Morales, </w:t>
      </w:r>
      <w:r w:rsidRPr="000C7E8A">
        <w:rPr>
          <w:sz w:val="22"/>
          <w:szCs w:val="22"/>
        </w:rPr>
        <w:t>Pardo Rebolledo, Laynez Potisek</w:t>
      </w:r>
      <w:r w:rsidR="00F7464C">
        <w:rPr>
          <w:sz w:val="22"/>
          <w:szCs w:val="22"/>
        </w:rPr>
        <w:t xml:space="preserve"> y</w:t>
      </w:r>
      <w:r w:rsidRPr="000C7E8A">
        <w:rPr>
          <w:sz w:val="22"/>
          <w:szCs w:val="22"/>
        </w:rPr>
        <w:t xml:space="preserve"> Pérez Dayán</w:t>
      </w:r>
      <w:r w:rsidR="00F7464C">
        <w:rPr>
          <w:sz w:val="22"/>
          <w:szCs w:val="22"/>
        </w:rPr>
        <w:t>.</w:t>
      </w:r>
    </w:p>
    <w:p w14:paraId="248B4D44" w14:textId="1B91DD66" w:rsidR="002C353B" w:rsidRPr="002C353B" w:rsidRDefault="002C353B" w:rsidP="00F7464C">
      <w:pPr>
        <w:pStyle w:val="Textonotapie"/>
        <w:ind w:left="142" w:hanging="142"/>
      </w:pPr>
    </w:p>
  </w:footnote>
  <w:footnote w:id="4">
    <w:p w14:paraId="0B92A885" w14:textId="461C989C" w:rsidR="00DA5AEF" w:rsidRPr="00DA5AEF" w:rsidRDefault="00DA5AEF" w:rsidP="00F7464C">
      <w:pPr>
        <w:spacing w:before="120" w:after="120"/>
        <w:ind w:left="142" w:hanging="142"/>
        <w:jc w:val="both"/>
        <w:rPr>
          <w:lang w:val="es-MX"/>
        </w:rPr>
      </w:pPr>
      <w:r w:rsidRPr="00614340">
        <w:rPr>
          <w:rStyle w:val="Refdenotaalpie"/>
          <w:sz w:val="22"/>
          <w:szCs w:val="22"/>
        </w:rPr>
        <w:footnoteRef/>
      </w:r>
      <w:r w:rsidRPr="00614340">
        <w:rPr>
          <w:sz w:val="22"/>
          <w:szCs w:val="22"/>
        </w:rPr>
        <w:t xml:space="preserve"> </w:t>
      </w:r>
      <w:r w:rsidR="00085CAF" w:rsidRPr="00614340">
        <w:rPr>
          <w:rFonts w:eastAsia="Arial"/>
          <w:sz w:val="22"/>
          <w:szCs w:val="22"/>
        </w:rPr>
        <w:t xml:space="preserve">Tal definición se contempla en la tesis de jurisprudencia </w:t>
      </w:r>
      <w:r w:rsidR="00085CAF" w:rsidRPr="00614340">
        <w:rPr>
          <w:rFonts w:eastAsia="Arial"/>
          <w:b/>
          <w:bCs/>
          <w:sz w:val="22"/>
          <w:szCs w:val="22"/>
        </w:rPr>
        <w:t>P./J. 50/2014 (10a.)</w:t>
      </w:r>
      <w:r w:rsidR="00085CAF" w:rsidRPr="00614340">
        <w:rPr>
          <w:rFonts w:eastAsia="Arial"/>
          <w:sz w:val="22"/>
          <w:szCs w:val="22"/>
        </w:rPr>
        <w:t>, de rubro:</w:t>
      </w:r>
      <w:r w:rsidR="00614340">
        <w:rPr>
          <w:rFonts w:eastAsia="Arial"/>
          <w:sz w:val="22"/>
          <w:szCs w:val="22"/>
        </w:rPr>
        <w:t xml:space="preserve"> </w:t>
      </w:r>
      <w:r w:rsidR="00085CAF" w:rsidRPr="00614340">
        <w:rPr>
          <w:rFonts w:eastAsia="Arial"/>
          <w:b/>
          <w:bCs/>
          <w:i/>
          <w:iCs/>
          <w:sz w:val="22"/>
          <w:szCs w:val="22"/>
        </w:rPr>
        <w:t>“INTERÉS LEGÍTIMO. CONTENIDO Y ALCANCE PARA EFECTOS DE LA PROCEDENCIA DEL JUICIO DE AMPARO (INTERPRETACIÓN DEL ARTÍCULO 107, FRACCIÓN I, DE LA CONSTITUCIÓN POLÍTICA DE LOS ESTADOS UNIDOS MEXICANOS).”</w:t>
      </w:r>
      <w:r w:rsidR="00085CAF" w:rsidRPr="00614340">
        <w:rPr>
          <w:rFonts w:eastAsia="Arial"/>
          <w:sz w:val="22"/>
          <w:szCs w:val="22"/>
        </w:rPr>
        <w:t>, visible en la Gaceta del Semanario Judicial de la Federación, Décima Época, Libro 12, Noviembre de 2014, Tomo I, Materia Común, página 60, Registro digital: 2007921.</w:t>
      </w:r>
    </w:p>
  </w:footnote>
  <w:footnote w:id="5">
    <w:p w14:paraId="2DC4E49C" w14:textId="3C917F55" w:rsidR="00844B84" w:rsidRPr="00614340" w:rsidRDefault="00844B84" w:rsidP="00F7464C">
      <w:pPr>
        <w:pStyle w:val="Textonotapie"/>
        <w:spacing w:before="120" w:after="120"/>
        <w:ind w:left="142" w:hanging="142"/>
        <w:jc w:val="both"/>
        <w:rPr>
          <w:sz w:val="22"/>
          <w:szCs w:val="22"/>
          <w:lang w:val="es-MX"/>
        </w:rPr>
      </w:pPr>
      <w:r w:rsidRPr="00614340">
        <w:rPr>
          <w:rStyle w:val="Refdenotaalpie"/>
          <w:sz w:val="22"/>
          <w:szCs w:val="22"/>
        </w:rPr>
        <w:footnoteRef/>
      </w:r>
      <w:r w:rsidRPr="00614340">
        <w:rPr>
          <w:sz w:val="22"/>
          <w:szCs w:val="22"/>
        </w:rPr>
        <w:t xml:space="preserve"> Dicha doctrina fue concentrada por la Primera Sala en el </w:t>
      </w:r>
      <w:r w:rsidRPr="00614340">
        <w:rPr>
          <w:b/>
          <w:bCs/>
          <w:sz w:val="22"/>
          <w:szCs w:val="22"/>
        </w:rPr>
        <w:t>amparo en revisión 265/2020</w:t>
      </w:r>
      <w:r w:rsidRPr="00614340">
        <w:rPr>
          <w:sz w:val="22"/>
          <w:szCs w:val="22"/>
        </w:rPr>
        <w:t xml:space="preserve">, </w:t>
      </w:r>
      <w:r w:rsidR="005F6C63" w:rsidRPr="00614340">
        <w:rPr>
          <w:sz w:val="22"/>
          <w:szCs w:val="22"/>
        </w:rPr>
        <w:t xml:space="preserve">fallado el doce de mayo de dos mil veintiuno, por </w:t>
      </w:r>
      <w:r w:rsidR="00526AC4" w:rsidRPr="00614340">
        <w:rPr>
          <w:sz w:val="22"/>
          <w:szCs w:val="22"/>
        </w:rPr>
        <w:t xml:space="preserve">unanimidad de votos de la </w:t>
      </w:r>
      <w:proofErr w:type="gramStart"/>
      <w:r w:rsidR="00526AC4" w:rsidRPr="00614340">
        <w:rPr>
          <w:sz w:val="22"/>
          <w:szCs w:val="22"/>
        </w:rPr>
        <w:t>Ministra</w:t>
      </w:r>
      <w:proofErr w:type="gramEnd"/>
      <w:r w:rsidR="00526AC4" w:rsidRPr="00614340">
        <w:rPr>
          <w:sz w:val="22"/>
          <w:szCs w:val="22"/>
        </w:rPr>
        <w:t xml:space="preserve"> Piña Hernández</w:t>
      </w:r>
      <w:r w:rsidR="00B50108" w:rsidRPr="00614340">
        <w:rPr>
          <w:sz w:val="22"/>
          <w:szCs w:val="22"/>
        </w:rPr>
        <w:t xml:space="preserve"> y la suscrita</w:t>
      </w:r>
      <w:r w:rsidR="00144562" w:rsidRPr="00144562">
        <w:rPr>
          <w:sz w:val="22"/>
          <w:szCs w:val="22"/>
        </w:rPr>
        <w:t xml:space="preserve"> </w:t>
      </w:r>
      <w:r w:rsidR="00B50108" w:rsidRPr="00614340">
        <w:rPr>
          <w:sz w:val="22"/>
          <w:szCs w:val="22"/>
        </w:rPr>
        <w:t xml:space="preserve">Ministra Ríos Farjat, así como de los Ministros </w:t>
      </w:r>
      <w:r w:rsidR="006C788E">
        <w:rPr>
          <w:sz w:val="22"/>
          <w:szCs w:val="22"/>
        </w:rPr>
        <w:t xml:space="preserve">Gutiérrez Ortiz Mena (ponente), </w:t>
      </w:r>
      <w:r w:rsidR="00B50108" w:rsidRPr="00614340">
        <w:rPr>
          <w:sz w:val="22"/>
          <w:szCs w:val="22"/>
        </w:rPr>
        <w:t>González Alcántara Carrancá</w:t>
      </w:r>
      <w:r w:rsidR="006C788E">
        <w:rPr>
          <w:sz w:val="22"/>
          <w:szCs w:val="22"/>
        </w:rPr>
        <w:t xml:space="preserve"> y</w:t>
      </w:r>
      <w:r w:rsidR="00B50108" w:rsidRPr="00614340">
        <w:rPr>
          <w:sz w:val="22"/>
          <w:szCs w:val="22"/>
        </w:rPr>
        <w:t xml:space="preserve"> Pardo Rebolledo. </w:t>
      </w:r>
    </w:p>
  </w:footnote>
  <w:footnote w:id="6">
    <w:p w14:paraId="30C769C9" w14:textId="345A1734" w:rsidR="009108F7" w:rsidRPr="00694615" w:rsidRDefault="009108F7" w:rsidP="00F7464C">
      <w:pPr>
        <w:pStyle w:val="Textonotapie"/>
        <w:spacing w:before="120" w:after="120"/>
        <w:ind w:left="142" w:hanging="142"/>
        <w:jc w:val="both"/>
        <w:rPr>
          <w:lang w:val="es-MX"/>
        </w:rPr>
      </w:pPr>
      <w:r w:rsidRPr="00614340">
        <w:rPr>
          <w:rStyle w:val="Refdenotaalpie"/>
          <w:sz w:val="22"/>
          <w:szCs w:val="22"/>
        </w:rPr>
        <w:footnoteRef/>
      </w:r>
      <w:r w:rsidRPr="00614340">
        <w:rPr>
          <w:sz w:val="22"/>
          <w:szCs w:val="22"/>
        </w:rPr>
        <w:t xml:space="preserve"> Tal doctrina se concentró en la tesis de jurisprudencia </w:t>
      </w:r>
      <w:r w:rsidRPr="00614340">
        <w:rPr>
          <w:b/>
          <w:bCs/>
          <w:sz w:val="22"/>
          <w:szCs w:val="22"/>
        </w:rPr>
        <w:t>P./J. 120/2009</w:t>
      </w:r>
      <w:r w:rsidRPr="00614340">
        <w:rPr>
          <w:sz w:val="22"/>
          <w:szCs w:val="22"/>
        </w:rPr>
        <w:t xml:space="preserve">, de rubro: </w:t>
      </w:r>
      <w:r w:rsidRPr="00614340">
        <w:rPr>
          <w:b/>
          <w:bCs/>
          <w:sz w:val="22"/>
          <w:szCs w:val="22"/>
        </w:rPr>
        <w:t>“MOTIVACIÓN LEGISLATIVA. CLASES, CONCEPTO Y CARACTERÍSTICAS.”</w:t>
      </w:r>
      <w:r w:rsidRPr="00614340">
        <w:rPr>
          <w:sz w:val="22"/>
          <w:szCs w:val="22"/>
        </w:rPr>
        <w:t>, visible en el Semanario Judicial de la Federación y su Gaceta, Novena Época, Tomo XXX, Diciembre de 2009, Materia: Constitucional, página 1255, registro digital 165745.</w:t>
      </w:r>
    </w:p>
  </w:footnote>
  <w:footnote w:id="7">
    <w:p w14:paraId="2C957AC9" w14:textId="78B2E992" w:rsidR="003846D4" w:rsidRPr="00614340" w:rsidRDefault="003846D4" w:rsidP="00F7464C">
      <w:pPr>
        <w:pStyle w:val="Textonotapie"/>
        <w:spacing w:before="120" w:after="120"/>
        <w:ind w:left="142" w:hanging="142"/>
        <w:jc w:val="both"/>
        <w:rPr>
          <w:sz w:val="22"/>
          <w:szCs w:val="22"/>
        </w:rPr>
      </w:pPr>
      <w:r w:rsidRPr="00614340">
        <w:rPr>
          <w:rStyle w:val="Refdenotaalpie"/>
          <w:sz w:val="22"/>
          <w:szCs w:val="22"/>
        </w:rPr>
        <w:footnoteRef/>
      </w:r>
      <w:r w:rsidRPr="00614340">
        <w:rPr>
          <w:sz w:val="22"/>
          <w:szCs w:val="22"/>
        </w:rPr>
        <w:t xml:space="preserve"> </w:t>
      </w:r>
      <w:r w:rsidRPr="00614340">
        <w:rPr>
          <w:b/>
          <w:bCs/>
          <w:sz w:val="22"/>
          <w:szCs w:val="22"/>
        </w:rPr>
        <w:t>Artículo 212.</w:t>
      </w:r>
      <w:r w:rsidRPr="00614340">
        <w:rPr>
          <w:sz w:val="22"/>
          <w:szCs w:val="22"/>
        </w:rPr>
        <w:t xml:space="preserve"> La naturaleza del producto, la fórmula, la composición, calidad, denominación distintiva o marca, denominación genérica y específica, información de las etiquetas y contra etiquetas, deberán corresponder a las especificaciones establecidas por la Secretaría de Salud, de conformidad con las disposiciones aplicables, y responderán exactamente a la naturaleza del producto que se consume, sin modificarse; para tal efecto se observará lo señalado en la fracción VI del artículo 115.</w:t>
      </w:r>
    </w:p>
    <w:p w14:paraId="7D944336" w14:textId="6B266E35" w:rsidR="003846D4" w:rsidRPr="00614340" w:rsidRDefault="006C788E" w:rsidP="00F7464C">
      <w:pPr>
        <w:pStyle w:val="Textonotapie"/>
        <w:spacing w:before="120" w:after="120"/>
        <w:ind w:left="142" w:hanging="142"/>
        <w:jc w:val="both"/>
        <w:rPr>
          <w:sz w:val="22"/>
          <w:szCs w:val="22"/>
        </w:rPr>
      </w:pPr>
      <w:r>
        <w:rPr>
          <w:sz w:val="22"/>
          <w:szCs w:val="22"/>
        </w:rPr>
        <w:t xml:space="preserve">  </w:t>
      </w:r>
      <w:r w:rsidR="003846D4" w:rsidRPr="00614340">
        <w:rPr>
          <w:sz w:val="22"/>
          <w:szCs w:val="22"/>
        </w:rPr>
        <w:t>Las etiquetas o contra etiquetas para los alimentos y bebidas no alcohólicas, deberán incluir información nutrimental de fácil comprensión, veraz, directa, sencilla y visible.</w:t>
      </w:r>
    </w:p>
    <w:p w14:paraId="3BE378C9" w14:textId="1E97B40D" w:rsidR="003846D4" w:rsidRPr="00614340" w:rsidRDefault="006C788E" w:rsidP="00F7464C">
      <w:pPr>
        <w:pStyle w:val="Textonotapie"/>
        <w:spacing w:before="120" w:after="120"/>
        <w:ind w:left="142" w:hanging="142"/>
        <w:jc w:val="both"/>
        <w:rPr>
          <w:sz w:val="22"/>
          <w:szCs w:val="22"/>
        </w:rPr>
      </w:pPr>
      <w:r>
        <w:rPr>
          <w:sz w:val="22"/>
          <w:szCs w:val="22"/>
        </w:rPr>
        <w:t xml:space="preserve">  </w:t>
      </w:r>
      <w:r w:rsidR="003846D4" w:rsidRPr="00614340">
        <w:rPr>
          <w:sz w:val="22"/>
          <w:szCs w:val="22"/>
        </w:rPr>
        <w:t>Además de lo dispuesto en el párrafo anterior, el etiquetado frontal de advertencia deberá hacerse en forma separada e independiente a la declaración de ingredientes e información nutrimental, para indicar los productos que excedan los límites máximos de contenido energético, azúcares añadidos, grasas saturadas, sodio y los demás nutrimentos críticos e ingredientes que establezcan las disposiciones normativas competentes.</w:t>
      </w:r>
    </w:p>
    <w:p w14:paraId="36303D5F" w14:textId="6F022191" w:rsidR="003846D4" w:rsidRPr="00614340" w:rsidRDefault="006C788E" w:rsidP="00F7464C">
      <w:pPr>
        <w:pStyle w:val="Textonotapie"/>
        <w:spacing w:before="120" w:after="120"/>
        <w:ind w:left="142" w:hanging="142"/>
        <w:jc w:val="both"/>
        <w:rPr>
          <w:sz w:val="22"/>
          <w:szCs w:val="22"/>
        </w:rPr>
      </w:pPr>
      <w:r>
        <w:rPr>
          <w:sz w:val="22"/>
          <w:szCs w:val="22"/>
        </w:rPr>
        <w:t xml:space="preserve">  </w:t>
      </w:r>
      <w:r w:rsidR="003846D4" w:rsidRPr="00614340">
        <w:rPr>
          <w:sz w:val="22"/>
          <w:szCs w:val="22"/>
        </w:rPr>
        <w:t>La Secretaría de Salud podrá ordenar la inclusión de leyendas o pictogramas cuando lo considere necesario.</w:t>
      </w:r>
    </w:p>
    <w:p w14:paraId="1BDF5659" w14:textId="73C81A14" w:rsidR="003846D4" w:rsidRPr="00614340" w:rsidRDefault="006C788E" w:rsidP="00F7464C">
      <w:pPr>
        <w:pStyle w:val="Textonotapie"/>
        <w:spacing w:before="120" w:after="120"/>
        <w:ind w:left="142" w:hanging="142"/>
        <w:jc w:val="both"/>
        <w:rPr>
          <w:sz w:val="22"/>
          <w:szCs w:val="22"/>
          <w:lang w:val="es-MX"/>
        </w:rPr>
      </w:pPr>
      <w:r>
        <w:rPr>
          <w:b/>
          <w:bCs/>
          <w:sz w:val="22"/>
          <w:szCs w:val="22"/>
          <w:lang w:val="es-MX"/>
        </w:rPr>
        <w:t xml:space="preserve">  </w:t>
      </w:r>
      <w:r w:rsidR="003846D4" w:rsidRPr="00614340">
        <w:rPr>
          <w:b/>
          <w:bCs/>
          <w:sz w:val="22"/>
          <w:szCs w:val="22"/>
          <w:lang w:val="es-MX"/>
        </w:rPr>
        <w:t>Artículo 215.</w:t>
      </w:r>
      <w:r w:rsidR="003846D4" w:rsidRPr="00614340">
        <w:rPr>
          <w:sz w:val="22"/>
          <w:szCs w:val="22"/>
          <w:lang w:val="es-MX"/>
        </w:rPr>
        <w:t xml:space="preserve"> [...]</w:t>
      </w:r>
    </w:p>
    <w:p w14:paraId="3F11EA68" w14:textId="569B96FF" w:rsidR="003846D4" w:rsidRPr="00614340" w:rsidRDefault="006C788E" w:rsidP="00F7464C">
      <w:pPr>
        <w:pStyle w:val="Textonotapie"/>
        <w:spacing w:before="120" w:after="120"/>
        <w:ind w:left="142" w:hanging="142"/>
        <w:jc w:val="both"/>
        <w:rPr>
          <w:sz w:val="22"/>
          <w:szCs w:val="22"/>
          <w:lang w:val="es-MX"/>
        </w:rPr>
      </w:pPr>
      <w:r>
        <w:rPr>
          <w:b/>
          <w:bCs/>
          <w:sz w:val="22"/>
          <w:szCs w:val="22"/>
          <w:lang w:val="es-MX"/>
        </w:rPr>
        <w:t xml:space="preserve">  </w:t>
      </w:r>
      <w:r w:rsidR="003846D4" w:rsidRPr="00614340">
        <w:rPr>
          <w:b/>
          <w:bCs/>
          <w:sz w:val="22"/>
          <w:szCs w:val="22"/>
          <w:lang w:val="es-MX"/>
        </w:rPr>
        <w:t>VI. Etiquetado frontal de advertencia de alimentos y bebidas no alcohólicas:</w:t>
      </w:r>
      <w:r w:rsidR="003846D4" w:rsidRPr="00614340">
        <w:rPr>
          <w:sz w:val="22"/>
          <w:szCs w:val="22"/>
          <w:lang w:val="es-MX"/>
        </w:rPr>
        <w:t xml:space="preserve"> Sistema de información simplificada en el área frontal de exhibición del envase, el cual debe advertir de manera veraz, clara, rápida y simple sobre el contenido que exceda los niveles máximos de contenido energético, azúcares añadidos, grasas saturadas, grasas, sodio y los nutrimentos críticos, ingredientes y las demás que determine la Secretaría.</w:t>
      </w:r>
    </w:p>
    <w:p w14:paraId="15EE20AC" w14:textId="5979C9EA" w:rsidR="003846D4" w:rsidRPr="003846D4" w:rsidRDefault="006C788E" w:rsidP="00F7464C">
      <w:pPr>
        <w:pStyle w:val="Textonotapie"/>
        <w:spacing w:before="120" w:after="120"/>
        <w:ind w:left="142" w:hanging="142"/>
        <w:jc w:val="both"/>
        <w:rPr>
          <w:lang w:val="es-MX"/>
        </w:rPr>
      </w:pPr>
      <w:r>
        <w:rPr>
          <w:b/>
          <w:bCs/>
          <w:sz w:val="22"/>
          <w:szCs w:val="22"/>
          <w:lang w:val="es-MX"/>
        </w:rPr>
        <w:t xml:space="preserve">  </w:t>
      </w:r>
      <w:r w:rsidR="003846D4" w:rsidRPr="00614340">
        <w:rPr>
          <w:b/>
          <w:bCs/>
          <w:sz w:val="22"/>
          <w:szCs w:val="22"/>
          <w:lang w:val="es-MX"/>
        </w:rPr>
        <w:t>VII.</w:t>
      </w:r>
      <w:r w:rsidR="003846D4" w:rsidRPr="00614340">
        <w:rPr>
          <w:sz w:val="22"/>
          <w:szCs w:val="22"/>
          <w:lang w:val="es-MX"/>
        </w:rPr>
        <w:t xml:space="preserve"> </w:t>
      </w:r>
      <w:r w:rsidR="003846D4" w:rsidRPr="00614340">
        <w:rPr>
          <w:b/>
          <w:bCs/>
          <w:sz w:val="22"/>
          <w:szCs w:val="22"/>
          <w:lang w:val="es-MX"/>
        </w:rPr>
        <w:t xml:space="preserve">Nutrimentos críticos: </w:t>
      </w:r>
      <w:r w:rsidR="003846D4" w:rsidRPr="00614340">
        <w:rPr>
          <w:sz w:val="22"/>
          <w:szCs w:val="22"/>
          <w:lang w:val="es-MX"/>
        </w:rPr>
        <w:t>Aquellos componentes de la alimentación que pueden ser un factor de riesgo de las enfermedades crónicas no transmisibles, serán determinados por la Secretaría de Salud.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87876" w14:textId="51D5E610" w:rsidR="00A83C95" w:rsidRDefault="00557191">
    <w:pPr>
      <w:pBdr>
        <w:bottom w:val="single" w:sz="4" w:space="1" w:color="000000"/>
      </w:pBdr>
      <w:tabs>
        <w:tab w:val="left" w:pos="5670"/>
        <w:tab w:val="left" w:pos="5812"/>
        <w:tab w:val="left" w:pos="6663"/>
        <w:tab w:val="left" w:pos="7230"/>
        <w:tab w:val="left" w:pos="7513"/>
      </w:tabs>
      <w:spacing w:line="360" w:lineRule="auto"/>
      <w:ind w:right="2177"/>
      <w:rPr>
        <w:rFonts w:ascii="Arial" w:eastAsia="Arial" w:hAnsi="Arial" w:cs="Arial"/>
        <w:b/>
        <w:color w:val="0070C0"/>
      </w:rPr>
    </w:pPr>
    <w:r>
      <w:rPr>
        <w:rFonts w:ascii="Arial" w:eastAsia="Arial" w:hAnsi="Arial" w:cs="Arial"/>
        <w:b/>
        <w:color w:val="0070C0"/>
      </w:rPr>
      <w:t xml:space="preserve">VOTO </w:t>
    </w:r>
    <w:r w:rsidR="00FC59C5">
      <w:rPr>
        <w:rFonts w:ascii="Arial" w:eastAsia="Arial" w:hAnsi="Arial" w:cs="Arial"/>
        <w:b/>
        <w:color w:val="0070C0"/>
      </w:rPr>
      <w:t>CONCURRENTE</w:t>
    </w:r>
    <w:r>
      <w:rPr>
        <w:rFonts w:ascii="Arial" w:eastAsia="Arial" w:hAnsi="Arial" w:cs="Arial"/>
        <w:b/>
        <w:color w:val="0070C0"/>
      </w:rPr>
      <w:t xml:space="preserve"> QUE FORMULA </w:t>
    </w:r>
  </w:p>
  <w:p w14:paraId="60787877" w14:textId="77777777" w:rsidR="00A83C95" w:rsidRDefault="00557191">
    <w:pPr>
      <w:pBdr>
        <w:bottom w:val="single" w:sz="4" w:space="1" w:color="000000"/>
      </w:pBdr>
      <w:tabs>
        <w:tab w:val="left" w:pos="5670"/>
        <w:tab w:val="left" w:pos="5812"/>
        <w:tab w:val="left" w:pos="6663"/>
        <w:tab w:val="left" w:pos="7230"/>
        <w:tab w:val="left" w:pos="7513"/>
      </w:tabs>
      <w:spacing w:line="360" w:lineRule="auto"/>
      <w:ind w:right="2177"/>
      <w:rPr>
        <w:rFonts w:ascii="Arial" w:eastAsia="Arial" w:hAnsi="Arial" w:cs="Arial"/>
        <w:b/>
        <w:color w:val="0070C0"/>
      </w:rPr>
    </w:pPr>
    <w:r>
      <w:rPr>
        <w:rFonts w:ascii="Arial" w:eastAsia="Arial" w:hAnsi="Arial" w:cs="Arial"/>
        <w:b/>
        <w:color w:val="0070C0"/>
      </w:rPr>
      <w:t xml:space="preserve">LA MINISTRA ANA MARGARITA RÍOS FARJAT </w:t>
    </w:r>
  </w:p>
  <w:p w14:paraId="60787878" w14:textId="3EB1EABB" w:rsidR="00A83C95" w:rsidRDefault="00557191">
    <w:pPr>
      <w:pBdr>
        <w:bottom w:val="single" w:sz="4" w:space="1" w:color="000000"/>
      </w:pBdr>
      <w:tabs>
        <w:tab w:val="left" w:pos="5670"/>
        <w:tab w:val="left" w:pos="5812"/>
        <w:tab w:val="left" w:pos="6663"/>
        <w:tab w:val="left" w:pos="7230"/>
        <w:tab w:val="left" w:pos="7513"/>
      </w:tabs>
      <w:spacing w:line="360" w:lineRule="auto"/>
      <w:ind w:right="2177"/>
      <w:rPr>
        <w:rFonts w:ascii="Arial" w:eastAsia="Arial" w:hAnsi="Arial" w:cs="Arial"/>
        <w:b/>
        <w:color w:val="0070C0"/>
      </w:rPr>
    </w:pPr>
    <w:r>
      <w:rPr>
        <w:rFonts w:ascii="Arial" w:eastAsia="Arial" w:hAnsi="Arial" w:cs="Arial"/>
        <w:b/>
        <w:color w:val="0070C0"/>
      </w:rPr>
      <w:t xml:space="preserve">EN </w:t>
    </w:r>
    <w:r w:rsidR="00FC59C5">
      <w:rPr>
        <w:rFonts w:ascii="Arial" w:eastAsia="Arial" w:hAnsi="Arial" w:cs="Arial"/>
        <w:b/>
        <w:color w:val="0070C0"/>
      </w:rPr>
      <w:t>E</w:t>
    </w:r>
    <w:r>
      <w:rPr>
        <w:rFonts w:ascii="Arial" w:eastAsia="Arial" w:hAnsi="Arial" w:cs="Arial"/>
        <w:b/>
        <w:color w:val="0070C0"/>
      </w:rPr>
      <w:t xml:space="preserve">L </w:t>
    </w:r>
    <w:r w:rsidR="00FC59C5">
      <w:rPr>
        <w:rFonts w:ascii="Arial" w:eastAsia="Arial" w:hAnsi="Arial" w:cs="Arial"/>
        <w:b/>
        <w:color w:val="0070C0"/>
      </w:rPr>
      <w:t xml:space="preserve">AMPARO EN REVISIÓN </w:t>
    </w:r>
    <w:r w:rsidR="00045ADA">
      <w:rPr>
        <w:rFonts w:ascii="Arial" w:eastAsia="Arial" w:hAnsi="Arial" w:cs="Arial"/>
        <w:b/>
        <w:color w:val="0070C0"/>
      </w:rPr>
      <w:t>2</w:t>
    </w:r>
    <w:r w:rsidR="00FC59C5">
      <w:rPr>
        <w:rFonts w:ascii="Arial" w:eastAsia="Arial" w:hAnsi="Arial" w:cs="Arial"/>
        <w:b/>
        <w:color w:val="0070C0"/>
      </w:rPr>
      <w:t>2</w:t>
    </w:r>
    <w:r w:rsidR="00045ADA">
      <w:rPr>
        <w:rFonts w:ascii="Arial" w:eastAsia="Arial" w:hAnsi="Arial" w:cs="Arial"/>
        <w:b/>
        <w:color w:val="0070C0"/>
      </w:rPr>
      <w:t>7/20</w:t>
    </w:r>
    <w:r w:rsidR="00FC59C5">
      <w:rPr>
        <w:rFonts w:ascii="Arial" w:eastAsia="Arial" w:hAnsi="Arial" w:cs="Arial"/>
        <w:b/>
        <w:color w:val="0070C0"/>
      </w:rPr>
      <w:t>22</w:t>
    </w:r>
  </w:p>
  <w:p w14:paraId="60787879" w14:textId="77777777" w:rsidR="00A83C95" w:rsidRDefault="00A83C95">
    <w:pPr>
      <w:pBdr>
        <w:top w:val="nil"/>
        <w:left w:val="nil"/>
        <w:bottom w:val="nil"/>
        <w:right w:val="nil"/>
        <w:between w:val="nil"/>
      </w:pBdr>
      <w:tabs>
        <w:tab w:val="center" w:pos="4252"/>
        <w:tab w:val="right" w:pos="8504"/>
      </w:tabs>
      <w:rPr>
        <w:color w:val="000000"/>
      </w:rPr>
    </w:pPr>
  </w:p>
  <w:p w14:paraId="6078787A" w14:textId="77777777" w:rsidR="00A83C95" w:rsidRDefault="00A83C95">
    <w:pPr>
      <w:pBdr>
        <w:top w:val="nil"/>
        <w:left w:val="nil"/>
        <w:bottom w:val="nil"/>
        <w:right w:val="nil"/>
        <w:between w:val="nil"/>
      </w:pBdr>
      <w:tabs>
        <w:tab w:val="center" w:pos="4252"/>
        <w:tab w:val="right" w:pos="8504"/>
      </w:tabs>
      <w:rPr>
        <w:color w:val="000000"/>
      </w:rPr>
    </w:pPr>
  </w:p>
  <w:p w14:paraId="6078787B" w14:textId="77777777" w:rsidR="00A83C95" w:rsidRDefault="00A83C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8787C" w14:textId="5F57FB35" w:rsidR="00A83C95" w:rsidRDefault="00557191">
    <w:pPr>
      <w:pBdr>
        <w:bottom w:val="single" w:sz="4" w:space="1" w:color="000000"/>
      </w:pBdr>
      <w:spacing w:line="360" w:lineRule="auto"/>
      <w:jc w:val="right"/>
      <w:rPr>
        <w:rFonts w:ascii="Arial" w:eastAsia="Arial" w:hAnsi="Arial" w:cs="Arial"/>
        <w:b/>
        <w:color w:val="0070C0"/>
      </w:rPr>
    </w:pPr>
    <w:bookmarkStart w:id="0" w:name="_heading=h.30j0zll" w:colFirst="0" w:colLast="0"/>
    <w:bookmarkEnd w:id="0"/>
    <w:r>
      <w:rPr>
        <w:rFonts w:ascii="Arial" w:eastAsia="Arial" w:hAnsi="Arial" w:cs="Arial"/>
        <w:b/>
        <w:color w:val="0070C0"/>
      </w:rPr>
      <w:t xml:space="preserve">VOTO </w:t>
    </w:r>
    <w:r w:rsidR="00FC59C5">
      <w:rPr>
        <w:rFonts w:ascii="Arial" w:eastAsia="Arial" w:hAnsi="Arial" w:cs="Arial"/>
        <w:b/>
        <w:color w:val="0070C0"/>
      </w:rPr>
      <w:t>CONCURRENTE</w:t>
    </w:r>
    <w:r>
      <w:rPr>
        <w:rFonts w:ascii="Arial" w:eastAsia="Arial" w:hAnsi="Arial" w:cs="Arial"/>
        <w:b/>
        <w:color w:val="0070C0"/>
      </w:rPr>
      <w:t xml:space="preserve"> QUE FORMULA </w:t>
    </w:r>
  </w:p>
  <w:p w14:paraId="6078787D" w14:textId="77777777" w:rsidR="00A83C95" w:rsidRDefault="00557191">
    <w:pPr>
      <w:pBdr>
        <w:bottom w:val="single" w:sz="4" w:space="1" w:color="000000"/>
      </w:pBdr>
      <w:spacing w:line="360" w:lineRule="auto"/>
      <w:jc w:val="right"/>
      <w:rPr>
        <w:rFonts w:ascii="Arial" w:eastAsia="Arial" w:hAnsi="Arial" w:cs="Arial"/>
        <w:b/>
        <w:color w:val="0070C0"/>
      </w:rPr>
    </w:pPr>
    <w:r>
      <w:rPr>
        <w:rFonts w:ascii="Arial" w:eastAsia="Arial" w:hAnsi="Arial" w:cs="Arial"/>
        <w:b/>
        <w:color w:val="0070C0"/>
      </w:rPr>
      <w:t xml:space="preserve">LA MINISTRA ANA MARGARITA RÍOS FARJAT </w:t>
    </w:r>
  </w:p>
  <w:p w14:paraId="6078787E" w14:textId="51F42B38" w:rsidR="00A83C95" w:rsidRDefault="00557191">
    <w:pPr>
      <w:pBdr>
        <w:bottom w:val="single" w:sz="4" w:space="1" w:color="000000"/>
      </w:pBdr>
      <w:spacing w:line="360" w:lineRule="auto"/>
      <w:jc w:val="right"/>
      <w:rPr>
        <w:rFonts w:ascii="Arial" w:eastAsia="Arial" w:hAnsi="Arial" w:cs="Arial"/>
        <w:b/>
        <w:color w:val="0070C0"/>
      </w:rPr>
    </w:pPr>
    <w:r>
      <w:rPr>
        <w:rFonts w:ascii="Arial" w:eastAsia="Arial" w:hAnsi="Arial" w:cs="Arial"/>
        <w:b/>
        <w:color w:val="0070C0"/>
      </w:rPr>
      <w:t xml:space="preserve">EN </w:t>
    </w:r>
    <w:r w:rsidR="00FC59C5">
      <w:rPr>
        <w:rFonts w:ascii="Arial" w:eastAsia="Arial" w:hAnsi="Arial" w:cs="Arial"/>
        <w:b/>
        <w:color w:val="0070C0"/>
      </w:rPr>
      <w:t>E</w:t>
    </w:r>
    <w:r>
      <w:rPr>
        <w:rFonts w:ascii="Arial" w:eastAsia="Arial" w:hAnsi="Arial" w:cs="Arial"/>
        <w:b/>
        <w:color w:val="0070C0"/>
      </w:rPr>
      <w:t xml:space="preserve">L </w:t>
    </w:r>
    <w:r w:rsidR="00FC59C5">
      <w:rPr>
        <w:rFonts w:ascii="Arial" w:eastAsia="Arial" w:hAnsi="Arial" w:cs="Arial"/>
        <w:b/>
        <w:color w:val="0070C0"/>
      </w:rPr>
      <w:t>AMPARO EN REVISIÓN</w:t>
    </w:r>
    <w:r w:rsidR="007C7F88">
      <w:rPr>
        <w:rFonts w:ascii="Arial" w:eastAsia="Arial" w:hAnsi="Arial" w:cs="Arial"/>
        <w:b/>
        <w:color w:val="0070C0"/>
      </w:rPr>
      <w:t xml:space="preserve"> 2</w:t>
    </w:r>
    <w:r w:rsidR="00FC59C5">
      <w:rPr>
        <w:rFonts w:ascii="Arial" w:eastAsia="Arial" w:hAnsi="Arial" w:cs="Arial"/>
        <w:b/>
        <w:color w:val="0070C0"/>
      </w:rPr>
      <w:t>2</w:t>
    </w:r>
    <w:r w:rsidR="007C7F88">
      <w:rPr>
        <w:rFonts w:ascii="Arial" w:eastAsia="Arial" w:hAnsi="Arial" w:cs="Arial"/>
        <w:b/>
        <w:color w:val="0070C0"/>
      </w:rPr>
      <w:t>7/20</w:t>
    </w:r>
    <w:r w:rsidR="00FC59C5">
      <w:rPr>
        <w:rFonts w:ascii="Arial" w:eastAsia="Arial" w:hAnsi="Arial" w:cs="Arial"/>
        <w:b/>
        <w:color w:val="0070C0"/>
      </w:rPr>
      <w:t>22</w:t>
    </w:r>
  </w:p>
  <w:p w14:paraId="6078787F" w14:textId="77777777" w:rsidR="00A83C95" w:rsidRDefault="00A83C95">
    <w:pPr>
      <w:pBdr>
        <w:top w:val="nil"/>
        <w:left w:val="nil"/>
        <w:bottom w:val="nil"/>
        <w:right w:val="nil"/>
        <w:between w:val="nil"/>
      </w:pBdr>
      <w:ind w:right="51"/>
      <w:jc w:val="both"/>
      <w:rPr>
        <w:rFonts w:ascii="Arial" w:eastAsia="Arial" w:hAnsi="Arial" w:cs="Arial"/>
        <w:b/>
        <w:smallCaps/>
        <w:color w:val="000000"/>
        <w:sz w:val="22"/>
        <w:szCs w:val="22"/>
      </w:rPr>
    </w:pPr>
  </w:p>
  <w:p w14:paraId="60787880" w14:textId="77777777" w:rsidR="00A83C95" w:rsidRDefault="00A83C95">
    <w:pPr>
      <w:pBdr>
        <w:top w:val="nil"/>
        <w:left w:val="nil"/>
        <w:bottom w:val="nil"/>
        <w:right w:val="nil"/>
        <w:between w:val="nil"/>
      </w:pBdr>
      <w:ind w:right="51"/>
      <w:jc w:val="both"/>
      <w:rPr>
        <w:rFonts w:ascii="Arial" w:eastAsia="Arial" w:hAnsi="Arial" w:cs="Arial"/>
        <w:b/>
        <w:smallCaps/>
        <w:color w:val="000000"/>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87885" w14:textId="3AC4A4D6" w:rsidR="00A83C95" w:rsidRPr="00614340" w:rsidRDefault="00A83C95" w:rsidP="00953AE4">
    <w:pPr>
      <w:tabs>
        <w:tab w:val="center" w:pos="4252"/>
        <w:tab w:val="right" w:pos="8504"/>
      </w:tabs>
      <w:jc w:val="right"/>
      <w:rPr>
        <w:rFonts w:ascii="Arial" w:eastAsia="Arial" w:hAnsi="Arial" w:cs="Arial"/>
        <w:b/>
        <w:sz w:val="24"/>
        <w:szCs w:val="24"/>
        <w:highlight w:val="yellow"/>
        <w:lang w:val="es-ES"/>
      </w:rPr>
    </w:pPr>
  </w:p>
  <w:p w14:paraId="138C62E3" w14:textId="77777777" w:rsidR="005606E2" w:rsidRDefault="005606E2" w:rsidP="00953AE4">
    <w:pPr>
      <w:tabs>
        <w:tab w:val="center" w:pos="4252"/>
        <w:tab w:val="right" w:pos="8504"/>
      </w:tabs>
      <w:jc w:val="right"/>
      <w:rPr>
        <w:rFonts w:ascii="Arial" w:eastAsia="Arial" w:hAnsi="Arial" w:cs="Arial"/>
        <w:b/>
        <w:sz w:val="24"/>
        <w:szCs w:val="24"/>
        <w:highlight w:val="yellow"/>
        <w:lang w:val="es-ES"/>
      </w:rPr>
    </w:pPr>
  </w:p>
  <w:p w14:paraId="090B3804" w14:textId="77777777" w:rsidR="005606E2" w:rsidRDefault="005606E2" w:rsidP="00953AE4">
    <w:pPr>
      <w:tabs>
        <w:tab w:val="center" w:pos="4252"/>
        <w:tab w:val="right" w:pos="8504"/>
      </w:tabs>
      <w:jc w:val="right"/>
      <w:rPr>
        <w:rFonts w:ascii="Arial" w:eastAsia="Arial" w:hAnsi="Arial" w:cs="Arial"/>
        <w:b/>
        <w:sz w:val="24"/>
        <w:szCs w:val="24"/>
        <w:highlight w:val="yellow"/>
        <w:lang w:val="es-ES"/>
      </w:rPr>
    </w:pPr>
  </w:p>
  <w:p w14:paraId="11EFD616" w14:textId="77777777" w:rsidR="005606E2" w:rsidRDefault="005606E2" w:rsidP="00953AE4">
    <w:pPr>
      <w:tabs>
        <w:tab w:val="center" w:pos="4252"/>
        <w:tab w:val="right" w:pos="8504"/>
      </w:tabs>
      <w:jc w:val="right"/>
      <w:rPr>
        <w:rFonts w:ascii="Arial" w:eastAsia="Arial" w:hAnsi="Arial" w:cs="Arial"/>
        <w:b/>
        <w:sz w:val="24"/>
        <w:szCs w:val="24"/>
        <w:highlight w:val="yellow"/>
        <w:lang w:val="es-ES"/>
      </w:rPr>
    </w:pPr>
  </w:p>
  <w:p w14:paraId="0AA0F9F4" w14:textId="6D87BE9D" w:rsidR="00614340" w:rsidRPr="00614340" w:rsidRDefault="00614340" w:rsidP="00953AE4">
    <w:pPr>
      <w:tabs>
        <w:tab w:val="center" w:pos="4252"/>
        <w:tab w:val="right" w:pos="8504"/>
      </w:tabs>
      <w:jc w:val="right"/>
      <w:rPr>
        <w:rFonts w:ascii="Arial" w:eastAsia="Arial" w:hAnsi="Arial" w:cs="Arial"/>
        <w:b/>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C58AE"/>
    <w:multiLevelType w:val="hybridMultilevel"/>
    <w:tmpl w:val="307EA9E6"/>
    <w:lvl w:ilvl="0" w:tplc="8AD8EC3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6B08F5"/>
    <w:multiLevelType w:val="hybridMultilevel"/>
    <w:tmpl w:val="2A4E71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E95795D"/>
    <w:multiLevelType w:val="hybridMultilevel"/>
    <w:tmpl w:val="F4F298C4"/>
    <w:lvl w:ilvl="0" w:tplc="3BD6CCF4">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519011263">
    <w:abstractNumId w:val="1"/>
  </w:num>
  <w:num w:numId="2" w16cid:durableId="2070105508">
    <w:abstractNumId w:val="2"/>
  </w:num>
  <w:num w:numId="3" w16cid:durableId="46971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C95"/>
    <w:rsid w:val="000014FB"/>
    <w:rsid w:val="00001DDE"/>
    <w:rsid w:val="00022CC3"/>
    <w:rsid w:val="000355F9"/>
    <w:rsid w:val="00045ADA"/>
    <w:rsid w:val="00046EF4"/>
    <w:rsid w:val="00055848"/>
    <w:rsid w:val="000645B9"/>
    <w:rsid w:val="000733FC"/>
    <w:rsid w:val="00074941"/>
    <w:rsid w:val="00083076"/>
    <w:rsid w:val="00085319"/>
    <w:rsid w:val="00085CAF"/>
    <w:rsid w:val="000B1D71"/>
    <w:rsid w:val="000C5DC9"/>
    <w:rsid w:val="000C61E0"/>
    <w:rsid w:val="000C7E8A"/>
    <w:rsid w:val="000D3A20"/>
    <w:rsid w:val="000E0A59"/>
    <w:rsid w:val="00102298"/>
    <w:rsid w:val="00113C9D"/>
    <w:rsid w:val="00123C02"/>
    <w:rsid w:val="001321EC"/>
    <w:rsid w:val="00134C0C"/>
    <w:rsid w:val="00144562"/>
    <w:rsid w:val="001576C2"/>
    <w:rsid w:val="00162879"/>
    <w:rsid w:val="00166C57"/>
    <w:rsid w:val="00181A61"/>
    <w:rsid w:val="0018219B"/>
    <w:rsid w:val="0018445F"/>
    <w:rsid w:val="001B009E"/>
    <w:rsid w:val="001B3E65"/>
    <w:rsid w:val="001B4E26"/>
    <w:rsid w:val="001D7852"/>
    <w:rsid w:val="001F732B"/>
    <w:rsid w:val="002413B5"/>
    <w:rsid w:val="00245DE9"/>
    <w:rsid w:val="002623EF"/>
    <w:rsid w:val="0026628E"/>
    <w:rsid w:val="0028308B"/>
    <w:rsid w:val="00286242"/>
    <w:rsid w:val="002870E7"/>
    <w:rsid w:val="00287809"/>
    <w:rsid w:val="002A2FB1"/>
    <w:rsid w:val="002A4115"/>
    <w:rsid w:val="002A60A0"/>
    <w:rsid w:val="002B3BC4"/>
    <w:rsid w:val="002C1649"/>
    <w:rsid w:val="002C353B"/>
    <w:rsid w:val="002D6DCB"/>
    <w:rsid w:val="002F059C"/>
    <w:rsid w:val="002F554E"/>
    <w:rsid w:val="00310CD6"/>
    <w:rsid w:val="00330EC4"/>
    <w:rsid w:val="00332DB1"/>
    <w:rsid w:val="00337C4E"/>
    <w:rsid w:val="00352DAF"/>
    <w:rsid w:val="00353FCA"/>
    <w:rsid w:val="00367A12"/>
    <w:rsid w:val="00381994"/>
    <w:rsid w:val="0038269B"/>
    <w:rsid w:val="003846D4"/>
    <w:rsid w:val="003A1DB0"/>
    <w:rsid w:val="003A4CD1"/>
    <w:rsid w:val="003B1FEA"/>
    <w:rsid w:val="003E003F"/>
    <w:rsid w:val="003F4566"/>
    <w:rsid w:val="00400882"/>
    <w:rsid w:val="00407CBE"/>
    <w:rsid w:val="00410FA5"/>
    <w:rsid w:val="00420E6E"/>
    <w:rsid w:val="00435B38"/>
    <w:rsid w:val="00436446"/>
    <w:rsid w:val="00441C3A"/>
    <w:rsid w:val="00462BAD"/>
    <w:rsid w:val="00473643"/>
    <w:rsid w:val="004737D8"/>
    <w:rsid w:val="00483127"/>
    <w:rsid w:val="004851A8"/>
    <w:rsid w:val="00490E57"/>
    <w:rsid w:val="004A518E"/>
    <w:rsid w:val="004D1A6B"/>
    <w:rsid w:val="004E16E0"/>
    <w:rsid w:val="004E7B62"/>
    <w:rsid w:val="004F072A"/>
    <w:rsid w:val="004F722D"/>
    <w:rsid w:val="005023B5"/>
    <w:rsid w:val="00526AC4"/>
    <w:rsid w:val="005454D7"/>
    <w:rsid w:val="00552CC7"/>
    <w:rsid w:val="00557191"/>
    <w:rsid w:val="005606E2"/>
    <w:rsid w:val="00581092"/>
    <w:rsid w:val="005A4BFA"/>
    <w:rsid w:val="005B0CE0"/>
    <w:rsid w:val="005B28CA"/>
    <w:rsid w:val="005D4A43"/>
    <w:rsid w:val="005F6C63"/>
    <w:rsid w:val="00605FE5"/>
    <w:rsid w:val="006073AA"/>
    <w:rsid w:val="00614340"/>
    <w:rsid w:val="00631176"/>
    <w:rsid w:val="0064671B"/>
    <w:rsid w:val="00660704"/>
    <w:rsid w:val="006646DC"/>
    <w:rsid w:val="00665C33"/>
    <w:rsid w:val="00667550"/>
    <w:rsid w:val="00684745"/>
    <w:rsid w:val="00694615"/>
    <w:rsid w:val="006A3272"/>
    <w:rsid w:val="006C788E"/>
    <w:rsid w:val="006D16D6"/>
    <w:rsid w:val="006D1740"/>
    <w:rsid w:val="006D3A57"/>
    <w:rsid w:val="006F130D"/>
    <w:rsid w:val="006F2167"/>
    <w:rsid w:val="006F7C1D"/>
    <w:rsid w:val="00703E98"/>
    <w:rsid w:val="00710CA1"/>
    <w:rsid w:val="00713BAE"/>
    <w:rsid w:val="00714FAD"/>
    <w:rsid w:val="00715B67"/>
    <w:rsid w:val="007279E2"/>
    <w:rsid w:val="00733896"/>
    <w:rsid w:val="00735B02"/>
    <w:rsid w:val="007404D2"/>
    <w:rsid w:val="00742AAA"/>
    <w:rsid w:val="00745F26"/>
    <w:rsid w:val="0078531E"/>
    <w:rsid w:val="0078733E"/>
    <w:rsid w:val="007A41F4"/>
    <w:rsid w:val="007B5F9E"/>
    <w:rsid w:val="007C7F88"/>
    <w:rsid w:val="007D3A86"/>
    <w:rsid w:val="007D7E86"/>
    <w:rsid w:val="007E202B"/>
    <w:rsid w:val="007E32A6"/>
    <w:rsid w:val="007F1AF7"/>
    <w:rsid w:val="0080293E"/>
    <w:rsid w:val="008136B9"/>
    <w:rsid w:val="0082493E"/>
    <w:rsid w:val="008263CB"/>
    <w:rsid w:val="008439C5"/>
    <w:rsid w:val="00844B84"/>
    <w:rsid w:val="0084772C"/>
    <w:rsid w:val="008502A0"/>
    <w:rsid w:val="0086155E"/>
    <w:rsid w:val="008873FA"/>
    <w:rsid w:val="0089028F"/>
    <w:rsid w:val="008A5821"/>
    <w:rsid w:val="008B7457"/>
    <w:rsid w:val="008D2A77"/>
    <w:rsid w:val="008E411B"/>
    <w:rsid w:val="008E76B0"/>
    <w:rsid w:val="008F268B"/>
    <w:rsid w:val="008F6685"/>
    <w:rsid w:val="008F6A52"/>
    <w:rsid w:val="009108F7"/>
    <w:rsid w:val="00911D9D"/>
    <w:rsid w:val="00920C4B"/>
    <w:rsid w:val="0094610D"/>
    <w:rsid w:val="00951131"/>
    <w:rsid w:val="00953AE4"/>
    <w:rsid w:val="0099346A"/>
    <w:rsid w:val="00994BCE"/>
    <w:rsid w:val="009A688E"/>
    <w:rsid w:val="009B1A49"/>
    <w:rsid w:val="009C1C9F"/>
    <w:rsid w:val="009C6894"/>
    <w:rsid w:val="009E1E4D"/>
    <w:rsid w:val="009F5429"/>
    <w:rsid w:val="00A049F9"/>
    <w:rsid w:val="00A076E6"/>
    <w:rsid w:val="00A119AF"/>
    <w:rsid w:val="00A161D4"/>
    <w:rsid w:val="00A16610"/>
    <w:rsid w:val="00A21183"/>
    <w:rsid w:val="00A27A91"/>
    <w:rsid w:val="00A27D32"/>
    <w:rsid w:val="00A3278A"/>
    <w:rsid w:val="00A36F94"/>
    <w:rsid w:val="00A56704"/>
    <w:rsid w:val="00A62BDA"/>
    <w:rsid w:val="00A67533"/>
    <w:rsid w:val="00A70B92"/>
    <w:rsid w:val="00A83C95"/>
    <w:rsid w:val="00A85D96"/>
    <w:rsid w:val="00AA5E19"/>
    <w:rsid w:val="00AD0BC3"/>
    <w:rsid w:val="00AD1C26"/>
    <w:rsid w:val="00AD745B"/>
    <w:rsid w:val="00AE5346"/>
    <w:rsid w:val="00AF0809"/>
    <w:rsid w:val="00AF24C9"/>
    <w:rsid w:val="00B22425"/>
    <w:rsid w:val="00B22A69"/>
    <w:rsid w:val="00B30649"/>
    <w:rsid w:val="00B3494D"/>
    <w:rsid w:val="00B4545B"/>
    <w:rsid w:val="00B50108"/>
    <w:rsid w:val="00B5622B"/>
    <w:rsid w:val="00B73EE4"/>
    <w:rsid w:val="00B753B1"/>
    <w:rsid w:val="00B76EEA"/>
    <w:rsid w:val="00B8087A"/>
    <w:rsid w:val="00B813B1"/>
    <w:rsid w:val="00B92700"/>
    <w:rsid w:val="00B95CAD"/>
    <w:rsid w:val="00BA0238"/>
    <w:rsid w:val="00BA1683"/>
    <w:rsid w:val="00BB744E"/>
    <w:rsid w:val="00BB77D0"/>
    <w:rsid w:val="00BC4A46"/>
    <w:rsid w:val="00BD0DEF"/>
    <w:rsid w:val="00BD3B94"/>
    <w:rsid w:val="00BF10D8"/>
    <w:rsid w:val="00BF6EDA"/>
    <w:rsid w:val="00BF7A40"/>
    <w:rsid w:val="00C00E60"/>
    <w:rsid w:val="00C05F26"/>
    <w:rsid w:val="00C31DB9"/>
    <w:rsid w:val="00CA6E8A"/>
    <w:rsid w:val="00CB0048"/>
    <w:rsid w:val="00CB792C"/>
    <w:rsid w:val="00CD7C2C"/>
    <w:rsid w:val="00CE29E2"/>
    <w:rsid w:val="00CE70F0"/>
    <w:rsid w:val="00D028EC"/>
    <w:rsid w:val="00D05507"/>
    <w:rsid w:val="00D063E2"/>
    <w:rsid w:val="00D1524D"/>
    <w:rsid w:val="00D16055"/>
    <w:rsid w:val="00D310D0"/>
    <w:rsid w:val="00D319D4"/>
    <w:rsid w:val="00D5378E"/>
    <w:rsid w:val="00D6006C"/>
    <w:rsid w:val="00D6246B"/>
    <w:rsid w:val="00D658AB"/>
    <w:rsid w:val="00D67A76"/>
    <w:rsid w:val="00D70C77"/>
    <w:rsid w:val="00D7183D"/>
    <w:rsid w:val="00D82B04"/>
    <w:rsid w:val="00D942E2"/>
    <w:rsid w:val="00DA1B7A"/>
    <w:rsid w:val="00DA5AEF"/>
    <w:rsid w:val="00DB2BA4"/>
    <w:rsid w:val="00DD04B6"/>
    <w:rsid w:val="00DE0DB9"/>
    <w:rsid w:val="00E11806"/>
    <w:rsid w:val="00E30B04"/>
    <w:rsid w:val="00E31C6E"/>
    <w:rsid w:val="00E32CF2"/>
    <w:rsid w:val="00E5388C"/>
    <w:rsid w:val="00E61C1C"/>
    <w:rsid w:val="00E632C1"/>
    <w:rsid w:val="00E76601"/>
    <w:rsid w:val="00E80E71"/>
    <w:rsid w:val="00E83394"/>
    <w:rsid w:val="00E9312F"/>
    <w:rsid w:val="00EB1C78"/>
    <w:rsid w:val="00EC793A"/>
    <w:rsid w:val="00EF2BB7"/>
    <w:rsid w:val="00EF7D7C"/>
    <w:rsid w:val="00EF7DF7"/>
    <w:rsid w:val="00F01A51"/>
    <w:rsid w:val="00F062A3"/>
    <w:rsid w:val="00F21CED"/>
    <w:rsid w:val="00F361B2"/>
    <w:rsid w:val="00F368BE"/>
    <w:rsid w:val="00F61BFE"/>
    <w:rsid w:val="00F63D3F"/>
    <w:rsid w:val="00F646F8"/>
    <w:rsid w:val="00F666AE"/>
    <w:rsid w:val="00F74200"/>
    <w:rsid w:val="00F7464C"/>
    <w:rsid w:val="00F82080"/>
    <w:rsid w:val="00FA523B"/>
    <w:rsid w:val="00FB5107"/>
    <w:rsid w:val="00FC59C5"/>
    <w:rsid w:val="00FD0363"/>
    <w:rsid w:val="00FE4F49"/>
    <w:rsid w:val="00FF123D"/>
    <w:rsid w:val="00FF7B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87834"/>
  <w15:docId w15:val="{942393C8-4368-4C89-8EF8-D473625F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C9B"/>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corte4fondo">
    <w:name w:val="corte4 fondo"/>
    <w:basedOn w:val="Normal"/>
    <w:link w:val="corte4fondoCar1"/>
    <w:qFormat/>
    <w:rsid w:val="007C3C9B"/>
    <w:pPr>
      <w:spacing w:line="360" w:lineRule="auto"/>
      <w:ind w:firstLine="709"/>
      <w:jc w:val="both"/>
    </w:pPr>
    <w:rPr>
      <w:rFonts w:ascii="Arial" w:hAnsi="Arial"/>
      <w:sz w:val="30"/>
    </w:rPr>
  </w:style>
  <w:style w:type="paragraph" w:styleId="Encabezado">
    <w:name w:val="header"/>
    <w:basedOn w:val="Normal"/>
    <w:link w:val="EncabezadoCar"/>
    <w:uiPriority w:val="99"/>
    <w:rsid w:val="007C3C9B"/>
    <w:pPr>
      <w:tabs>
        <w:tab w:val="center" w:pos="4252"/>
        <w:tab w:val="right" w:pos="8504"/>
      </w:tabs>
    </w:pPr>
  </w:style>
  <w:style w:type="character" w:customStyle="1" w:styleId="EncabezadoCar">
    <w:name w:val="Encabezado Car"/>
    <w:basedOn w:val="Fuentedeprrafopredeter"/>
    <w:link w:val="Encabezado"/>
    <w:uiPriority w:val="99"/>
    <w:rsid w:val="007C3C9B"/>
    <w:rPr>
      <w:rFonts w:ascii="Times New Roman" w:eastAsia="Times New Roman" w:hAnsi="Times New Roman" w:cs="Times New Roman"/>
      <w:sz w:val="20"/>
      <w:szCs w:val="20"/>
      <w:lang w:val="es-ES_tradnl" w:eastAsia="es-ES"/>
    </w:rPr>
  </w:style>
  <w:style w:type="paragraph" w:customStyle="1" w:styleId="corte6cintilloypie">
    <w:name w:val="corte6 cintillo y pie"/>
    <w:basedOn w:val="Normal"/>
    <w:rsid w:val="007C3C9B"/>
    <w:pPr>
      <w:jc w:val="right"/>
    </w:pPr>
    <w:rPr>
      <w:rFonts w:ascii="Arial" w:hAnsi="Arial"/>
      <w:b/>
      <w:caps/>
      <w:sz w:val="24"/>
    </w:rPr>
  </w:style>
  <w:style w:type="paragraph" w:styleId="Piedepgina">
    <w:name w:val="footer"/>
    <w:aliases w:val=" Car Car Car Car, Car Car Car Car Car Car Car,Sangría de texto normal1,Sangría de texto normal1 Car Car Car, Car Car Car Car1 Car Car Car Car Car Car"/>
    <w:basedOn w:val="Normal"/>
    <w:link w:val="PiedepginaCar"/>
    <w:uiPriority w:val="99"/>
    <w:rsid w:val="007C3C9B"/>
    <w:pPr>
      <w:tabs>
        <w:tab w:val="center" w:pos="4252"/>
        <w:tab w:val="right" w:pos="8504"/>
      </w:tabs>
    </w:pPr>
  </w:style>
  <w:style w:type="character" w:customStyle="1" w:styleId="PiedepginaCar">
    <w:name w:val="Pie de página Car"/>
    <w:aliases w:val=" Car Car Car Car Car, Car Car Car Car Car Car Car Car,Sangría de texto normal1 Car,Sangría de texto normal1 Car Car Car Car, Car Car Car Car1 Car Car Car Car Car Car Car"/>
    <w:basedOn w:val="Fuentedeprrafopredeter"/>
    <w:link w:val="Piedepgina"/>
    <w:uiPriority w:val="99"/>
    <w:rsid w:val="007C3C9B"/>
    <w:rPr>
      <w:rFonts w:ascii="Times New Roman" w:eastAsia="Times New Roman" w:hAnsi="Times New Roman" w:cs="Times New Roman"/>
      <w:sz w:val="20"/>
      <w:szCs w:val="20"/>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ALTS FOOTNOTE,Car3"/>
    <w:basedOn w:val="Normal"/>
    <w:link w:val="TextonotapieCar1"/>
    <w:uiPriority w:val="99"/>
    <w:qFormat/>
    <w:rsid w:val="007C3C9B"/>
    <w:rPr>
      <w:lang w:eastAsia="es-MX"/>
    </w:rPr>
  </w:style>
  <w:style w:type="character" w:customStyle="1" w:styleId="TextonotapieCar">
    <w:name w:val="Texto nota pie Car"/>
    <w:aliases w:val="Car Car,Car Car Car Car, Car Car,Ca Car,C Car,Footnote Text Char Char Char Char Char Car1,Footnote Text Char Char Char Char Car1,Footnote reference Car1,FA Fu Car1,Footnote Text Char Char Char Car1,Footnote Text Cha Car1,Car Car1"/>
    <w:basedOn w:val="Fuentedeprrafopredeter"/>
    <w:qFormat/>
    <w:rsid w:val="007C3C9B"/>
    <w:rPr>
      <w:rFonts w:ascii="Times New Roman" w:eastAsia="Times New Roman" w:hAnsi="Times New Roman" w:cs="Times New Roman"/>
      <w:sz w:val="20"/>
      <w:szCs w:val="20"/>
      <w:lang w:val="es-ES_tradnl" w:eastAsia="es-ES"/>
    </w:rPr>
  </w:style>
  <w:style w:type="character" w:styleId="Refdenotaalpie">
    <w:name w:val="footnote reference"/>
    <w:aliases w:val="Ref. de nota al pie 2,Footnotes refss,Texto de nota al pie,Texto nota al pie,Appel note de bas de page,Footnote number,referencia nota al pie,BVI fnr,f,4_G,16 Point,Superscript 6 Point,Footnote Reference Char3,ftref,Ref,de nota al pi"/>
    <w:basedOn w:val="Fuentedeprrafopredeter"/>
    <w:link w:val="4GChar"/>
    <w:qFormat/>
    <w:rsid w:val="007C3C9B"/>
    <w:rPr>
      <w:vertAlign w:val="superscript"/>
    </w:rPr>
  </w:style>
  <w:style w:type="character" w:customStyle="1" w:styleId="corte4fondoCar1">
    <w:name w:val="corte4 fondo Car1"/>
    <w:basedOn w:val="Fuentedeprrafopredeter"/>
    <w:link w:val="corte4fondo"/>
    <w:rsid w:val="007C3C9B"/>
    <w:rPr>
      <w:rFonts w:ascii="Arial" w:eastAsia="Times New Roman" w:hAnsi="Arial" w:cs="Times New Roman"/>
      <w:sz w:val="30"/>
      <w:szCs w:val="20"/>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C3C9B"/>
    <w:rPr>
      <w:rFonts w:ascii="Times New Roman" w:eastAsia="Times New Roman" w:hAnsi="Times New Roman" w:cs="Times New Roman"/>
      <w:sz w:val="20"/>
      <w:szCs w:val="20"/>
      <w:lang w:val="es-ES_tradnl" w:eastAsia="es-MX"/>
    </w:rPr>
  </w:style>
  <w:style w:type="character" w:customStyle="1" w:styleId="corte4Car">
    <w:name w:val="corte4 Car"/>
    <w:link w:val="corte4"/>
    <w:locked/>
    <w:rsid w:val="007C3C9B"/>
    <w:rPr>
      <w:rFonts w:ascii="Arial" w:hAnsi="Arial" w:cs="Arial"/>
      <w:sz w:val="30"/>
    </w:rPr>
  </w:style>
  <w:style w:type="paragraph" w:customStyle="1" w:styleId="corte4">
    <w:name w:val="corte4"/>
    <w:basedOn w:val="Normal"/>
    <w:link w:val="corte4Car"/>
    <w:qFormat/>
    <w:rsid w:val="007C3C9B"/>
    <w:pPr>
      <w:spacing w:line="360" w:lineRule="auto"/>
      <w:ind w:firstLine="709"/>
      <w:jc w:val="both"/>
    </w:pPr>
    <w:rPr>
      <w:rFonts w:ascii="Arial" w:eastAsiaTheme="minorHAnsi" w:hAnsi="Arial" w:cs="Arial"/>
      <w:sz w:val="30"/>
      <w:szCs w:val="22"/>
      <w:lang w:val="es-MX" w:eastAsia="en-US"/>
    </w:rPr>
  </w:style>
  <w:style w:type="paragraph" w:styleId="Prrafodelista">
    <w:name w:val="List Paragraph"/>
    <w:aliases w:val="Cita texto,Footnote,List Paragraph1,Colorful List - Accent 11,Cuadrícula clara - Énfasis 31,Párrafo de lista1,TEXTO GENERAL SENTENCIAS,Dot pt,No Spacing1,List Paragraph Char Char Char,Indicator Text,Numbered Para 1,Trascripción"/>
    <w:basedOn w:val="Normal"/>
    <w:link w:val="PrrafodelistaCar"/>
    <w:uiPriority w:val="34"/>
    <w:qFormat/>
    <w:rsid w:val="00D714EC"/>
    <w:pPr>
      <w:ind w:left="720"/>
      <w:contextualSpacing/>
    </w:pPr>
    <w:rPr>
      <w:lang w:eastAsia="es-MX"/>
    </w:rPr>
  </w:style>
  <w:style w:type="character" w:customStyle="1" w:styleId="PrrafodelistaCar">
    <w:name w:val="Párrafo de lista Car"/>
    <w:aliases w:val="Cita texto Car,Footnote Car,List Paragraph1 Car,Colorful List - Accent 11 Car,Cuadrícula clara - Énfasis 31 Car,Párrafo de lista1 Car,TEXTO GENERAL SENTENCIAS Car,Dot pt Car,No Spacing1 Car,List Paragraph Char Char Char Car"/>
    <w:link w:val="Prrafodelista"/>
    <w:uiPriority w:val="34"/>
    <w:qFormat/>
    <w:locked/>
    <w:rsid w:val="00D06EA0"/>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500B6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0B6B"/>
    <w:rPr>
      <w:rFonts w:ascii="Segoe UI" w:eastAsia="Times New Roman" w:hAnsi="Segoe UI" w:cs="Segoe UI"/>
      <w:sz w:val="18"/>
      <w:szCs w:val="18"/>
      <w:lang w:val="es-ES_tradnl" w:eastAsia="es-ES"/>
    </w:rPr>
  </w:style>
  <w:style w:type="paragraph" w:customStyle="1" w:styleId="Sombreadomedio1-nfasis11">
    <w:name w:val="Sombreado medio 1 - Énfasis 11"/>
    <w:uiPriority w:val="1"/>
    <w:qFormat/>
    <w:rsid w:val="006B4FCD"/>
    <w:rPr>
      <w:rFonts w:ascii="Calibri" w:eastAsia="Calibri" w:hAnsi="Calibri"/>
    </w:rPr>
  </w:style>
  <w:style w:type="paragraph" w:customStyle="1" w:styleId="corte1datos">
    <w:name w:val="corte1 datos"/>
    <w:basedOn w:val="Normal"/>
    <w:link w:val="corte1datosCar"/>
    <w:rsid w:val="006122F2"/>
    <w:pPr>
      <w:ind w:left="2552"/>
    </w:pPr>
    <w:rPr>
      <w:rFonts w:ascii="Arial" w:hAnsi="Arial"/>
      <w:b/>
      <w:caps/>
      <w:sz w:val="30"/>
    </w:rPr>
  </w:style>
  <w:style w:type="character" w:customStyle="1" w:styleId="corte1datosCar">
    <w:name w:val="corte1 datos Car"/>
    <w:basedOn w:val="Fuentedeprrafopredeter"/>
    <w:link w:val="corte1datos"/>
    <w:rsid w:val="006122F2"/>
    <w:rPr>
      <w:rFonts w:ascii="Arial" w:eastAsia="Times New Roman" w:hAnsi="Arial" w:cs="Times New Roman"/>
      <w:b/>
      <w:caps/>
      <w:sz w:val="30"/>
      <w:szCs w:val="20"/>
      <w:lang w:val="es-ES_tradnl" w:eastAsia="es-ES"/>
    </w:rPr>
  </w:style>
  <w:style w:type="character" w:customStyle="1" w:styleId="red">
    <w:name w:val="red"/>
    <w:basedOn w:val="Fuentedeprrafopredeter"/>
    <w:rsid w:val="00816F73"/>
  </w:style>
  <w:style w:type="table" w:styleId="Tablaconcuadrcula">
    <w:name w:val="Table Grid"/>
    <w:basedOn w:val="Tablanormal"/>
    <w:uiPriority w:val="39"/>
    <w:rsid w:val="00A60A51"/>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2DF6"/>
    <w:pPr>
      <w:autoSpaceDE w:val="0"/>
      <w:autoSpaceDN w:val="0"/>
      <w:adjustRightInd w:val="0"/>
    </w:pPr>
    <w:rPr>
      <w:rFonts w:ascii="Arial" w:hAnsi="Arial" w:cs="Arial"/>
      <w:color w:val="000000"/>
      <w:sz w:val="24"/>
      <w:szCs w:val="24"/>
    </w:rPr>
  </w:style>
  <w:style w:type="paragraph" w:customStyle="1" w:styleId="Estilo">
    <w:name w:val="Estilo"/>
    <w:basedOn w:val="Sinespaciado"/>
    <w:link w:val="EstiloCar"/>
    <w:qFormat/>
    <w:rsid w:val="009B56BF"/>
    <w:pPr>
      <w:jc w:val="both"/>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9B56BF"/>
    <w:rPr>
      <w:rFonts w:ascii="Arial" w:hAnsi="Arial"/>
      <w:sz w:val="24"/>
    </w:rPr>
  </w:style>
  <w:style w:type="paragraph" w:styleId="Sinespaciado">
    <w:name w:val="No Spacing"/>
    <w:uiPriority w:val="1"/>
    <w:qFormat/>
    <w:rsid w:val="009B56BF"/>
    <w:rPr>
      <w:lang w:eastAsia="es-ES"/>
    </w:rPr>
  </w:style>
  <w:style w:type="character" w:customStyle="1" w:styleId="articulojustificado1">
    <w:name w:val="articulojustificado1"/>
    <w:basedOn w:val="Fuentedeprrafopredeter"/>
    <w:rsid w:val="00D64521"/>
    <w:rPr>
      <w:rFonts w:ascii="Arial" w:hAnsi="Arial" w:cs="Arial" w:hint="default"/>
      <w:b w:val="0"/>
      <w:bCs w:val="0"/>
      <w:color w:val="000000"/>
      <w:sz w:val="18"/>
      <w:szCs w:val="18"/>
    </w:rPr>
  </w:style>
  <w:style w:type="character" w:styleId="Refdecomentario">
    <w:name w:val="annotation reference"/>
    <w:basedOn w:val="Fuentedeprrafopredeter"/>
    <w:uiPriority w:val="99"/>
    <w:semiHidden/>
    <w:unhideWhenUsed/>
    <w:rsid w:val="006506A8"/>
    <w:rPr>
      <w:sz w:val="16"/>
      <w:szCs w:val="16"/>
    </w:rPr>
  </w:style>
  <w:style w:type="paragraph" w:styleId="Textocomentario">
    <w:name w:val="annotation text"/>
    <w:basedOn w:val="Normal"/>
    <w:link w:val="TextocomentarioCar"/>
    <w:uiPriority w:val="99"/>
    <w:unhideWhenUsed/>
    <w:rsid w:val="006506A8"/>
  </w:style>
  <w:style w:type="character" w:customStyle="1" w:styleId="TextocomentarioCar">
    <w:name w:val="Texto comentario Car"/>
    <w:basedOn w:val="Fuentedeprrafopredeter"/>
    <w:link w:val="Textocomentario"/>
    <w:uiPriority w:val="99"/>
    <w:rsid w:val="006506A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6506A8"/>
    <w:rPr>
      <w:b/>
      <w:bCs/>
    </w:rPr>
  </w:style>
  <w:style w:type="character" w:customStyle="1" w:styleId="AsuntodelcomentarioCar">
    <w:name w:val="Asunto del comentario Car"/>
    <w:basedOn w:val="TextocomentarioCar"/>
    <w:link w:val="Asuntodelcomentario"/>
    <w:uiPriority w:val="99"/>
    <w:semiHidden/>
    <w:rsid w:val="006506A8"/>
    <w:rPr>
      <w:rFonts w:ascii="Times New Roman" w:eastAsia="Times New Roman" w:hAnsi="Times New Roman" w:cs="Times New Roman"/>
      <w:b/>
      <w:bCs/>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B63A5"/>
    <w:pPr>
      <w:jc w:val="both"/>
    </w:pPr>
    <w:rPr>
      <w:rFonts w:asciiTheme="minorHAnsi" w:eastAsiaTheme="minorHAnsi" w:hAnsiTheme="minorHAnsi" w:cstheme="minorBidi"/>
      <w:sz w:val="22"/>
      <w:szCs w:val="22"/>
      <w:vertAlign w:val="superscript"/>
      <w:lang w:val="es-MX" w:eastAsia="en-US"/>
    </w:rPr>
  </w:style>
  <w:style w:type="paragraph" w:customStyle="1" w:styleId="corte4fondo0">
    <w:name w:val="corte 4 fondo"/>
    <w:basedOn w:val="Normal"/>
    <w:link w:val="corte4fondoCar"/>
    <w:qFormat/>
    <w:rsid w:val="000E4604"/>
    <w:pPr>
      <w:spacing w:line="360" w:lineRule="auto"/>
      <w:ind w:firstLine="709"/>
      <w:jc w:val="both"/>
    </w:pPr>
    <w:rPr>
      <w:rFonts w:ascii="Arial" w:hAnsi="Arial"/>
      <w:sz w:val="30"/>
      <w:lang w:val="es-MX" w:eastAsia="es-MX"/>
    </w:rPr>
  </w:style>
  <w:style w:type="character" w:customStyle="1" w:styleId="corte4fondoCar">
    <w:name w:val="corte 4 fondo Car"/>
    <w:link w:val="corte4fondo0"/>
    <w:locked/>
    <w:rsid w:val="000E4604"/>
    <w:rPr>
      <w:rFonts w:ascii="Arial" w:eastAsia="Times New Roman" w:hAnsi="Arial" w:cs="Times New Roman"/>
      <w:sz w:val="30"/>
      <w:szCs w:val="20"/>
      <w:lang w:eastAsia="es-MX"/>
    </w:rPr>
  </w:style>
  <w:style w:type="paragraph" w:customStyle="1" w:styleId="Texto">
    <w:name w:val="Texto"/>
    <w:basedOn w:val="Normal"/>
    <w:link w:val="TextoCar"/>
    <w:rsid w:val="00B27F45"/>
    <w:pPr>
      <w:spacing w:after="101" w:line="216" w:lineRule="exact"/>
      <w:ind w:firstLine="288"/>
      <w:jc w:val="both"/>
    </w:pPr>
    <w:rPr>
      <w:rFonts w:ascii="Arial" w:hAnsi="Arial"/>
      <w:sz w:val="18"/>
      <w:szCs w:val="18"/>
      <w:lang w:val="es-MX" w:eastAsia="es-MX"/>
    </w:rPr>
  </w:style>
  <w:style w:type="character" w:customStyle="1" w:styleId="TextoCar">
    <w:name w:val="Texto Car"/>
    <w:link w:val="Texto"/>
    <w:locked/>
    <w:rsid w:val="00B27F45"/>
    <w:rPr>
      <w:rFonts w:ascii="Arial" w:eastAsia="Times New Roman" w:hAnsi="Arial" w:cs="Times New Roman"/>
      <w:sz w:val="18"/>
      <w:szCs w:val="18"/>
      <w:lang w:eastAsia="es-MX"/>
    </w:rPr>
  </w:style>
  <w:style w:type="paragraph" w:customStyle="1" w:styleId="corte4fondoCar0">
    <w:name w:val="corte4 fondo Car"/>
    <w:basedOn w:val="Normal"/>
    <w:link w:val="corte4fondoCarCar"/>
    <w:rsid w:val="00B27F45"/>
    <w:pPr>
      <w:spacing w:line="360" w:lineRule="auto"/>
      <w:ind w:firstLine="709"/>
      <w:jc w:val="both"/>
    </w:pPr>
    <w:rPr>
      <w:rFonts w:ascii="Arial" w:hAnsi="Arial"/>
      <w:sz w:val="30"/>
      <w:lang w:eastAsia="en-US"/>
    </w:rPr>
  </w:style>
  <w:style w:type="character" w:customStyle="1" w:styleId="corte4fondoCarCar">
    <w:name w:val="corte4 fondo Car Car"/>
    <w:link w:val="corte4fondoCar0"/>
    <w:rsid w:val="00B27F45"/>
    <w:rPr>
      <w:rFonts w:ascii="Arial" w:eastAsia="Times New Roman" w:hAnsi="Arial" w:cs="Times New Roman"/>
      <w:sz w:val="30"/>
      <w:szCs w:val="20"/>
      <w:lang w:val="es-ES_tradnl"/>
    </w:rPr>
  </w:style>
  <w:style w:type="paragraph" w:customStyle="1" w:styleId="Prrafo">
    <w:name w:val="Párrafo"/>
    <w:basedOn w:val="Normal"/>
    <w:qFormat/>
    <w:rsid w:val="005903CF"/>
    <w:pPr>
      <w:spacing w:before="240" w:after="240" w:line="360" w:lineRule="auto"/>
      <w:jc w:val="both"/>
    </w:pPr>
    <w:rPr>
      <w:rFonts w:ascii="Arial" w:eastAsiaTheme="minorHAnsi" w:hAnsi="Arial" w:cs="Arial"/>
      <w:sz w:val="26"/>
      <w:szCs w:val="26"/>
      <w:lang w:val="es-MX"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1">
    <w:name w:val="Table Normal1"/>
    <w:rsid w:val="00420E6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T27hRxQeW4Z3i29AUZdPGODqdQ==">CgMxLjAyCGguZ2pkZ3hzMgloLjMwajB6bGw4AHIhMVlzbVlhLXg4SWttaDAyNksxMEl4RkhoUC1kNlItSC1z</go:docsCustomData>
</go:gDocsCustomXmlDataStorage>
</file>

<file path=customXml/itemProps1.xml><?xml version="1.0" encoding="utf-8"?>
<ds:datastoreItem xmlns:ds="http://schemas.openxmlformats.org/officeDocument/2006/customXml" ds:itemID="{A3962118-715E-4921-97FD-6D82835E35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1804</Words>
  <Characters>9927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Margarita Ríos-Farjat</dc:creator>
  <cp:keywords/>
  <cp:lastModifiedBy>MIGUEL ANGEL ANDRADE SOLANA</cp:lastModifiedBy>
  <cp:revision>6</cp:revision>
  <cp:lastPrinted>2024-08-13T16:53:00Z</cp:lastPrinted>
  <dcterms:created xsi:type="dcterms:W3CDTF">2024-08-15T21:27:00Z</dcterms:created>
  <dcterms:modified xsi:type="dcterms:W3CDTF">2024-08-15T21:56:00Z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0x0101005B56F352912D38409B1C35A15B7C07BC</vt:lpwstr>
  </property>
</Properties>
</file>