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B834D" w14:textId="4D8C9459" w:rsidR="00F52B78" w:rsidRPr="00A73ED7" w:rsidRDefault="00810687" w:rsidP="005D6AF8">
      <w:pPr>
        <w:pStyle w:val="Ttulo"/>
        <w:rPr>
          <w:sz w:val="27"/>
          <w:szCs w:val="27"/>
        </w:rPr>
      </w:pPr>
      <w:r w:rsidRPr="00A73ED7">
        <w:rPr>
          <w:sz w:val="27"/>
          <w:szCs w:val="27"/>
        </w:rPr>
        <w:t xml:space="preserve">VOTO </w:t>
      </w:r>
      <w:r w:rsidR="00BE2F49" w:rsidRPr="00A73ED7">
        <w:rPr>
          <w:sz w:val="27"/>
          <w:szCs w:val="27"/>
        </w:rPr>
        <w:t>CONCURRENTE</w:t>
      </w:r>
      <w:r w:rsidR="00ED36C6" w:rsidRPr="00A73ED7">
        <w:rPr>
          <w:sz w:val="27"/>
          <w:szCs w:val="27"/>
        </w:rPr>
        <w:t xml:space="preserve"> </w:t>
      </w:r>
      <w:r w:rsidRPr="00A73ED7">
        <w:rPr>
          <w:sz w:val="27"/>
          <w:szCs w:val="27"/>
        </w:rPr>
        <w:t xml:space="preserve">QUE FORMULA EL MINISTRO JUAN LUIS GONZÁLEZ ALCÁNTARA CARRANCÁ EN </w:t>
      </w:r>
      <w:r w:rsidR="00390393" w:rsidRPr="00A73ED7">
        <w:rPr>
          <w:sz w:val="27"/>
          <w:szCs w:val="27"/>
        </w:rPr>
        <w:t>EL AMPARO EN REVISIÓN 227/2022</w:t>
      </w:r>
      <w:r w:rsidR="00A73ED7" w:rsidRPr="00A73ED7">
        <w:rPr>
          <w:sz w:val="27"/>
          <w:szCs w:val="27"/>
        </w:rPr>
        <w:t>.</w:t>
      </w:r>
    </w:p>
    <w:p w14:paraId="7DB9C0CA" w14:textId="77777777" w:rsidR="005D6AF8" w:rsidRPr="00A73ED7" w:rsidRDefault="005D6AF8" w:rsidP="005D6AF8">
      <w:pPr>
        <w:rPr>
          <w:sz w:val="27"/>
          <w:szCs w:val="27"/>
        </w:rPr>
      </w:pPr>
    </w:p>
    <w:p w14:paraId="11F5EC1C" w14:textId="4296C148" w:rsidR="00FB4CDE" w:rsidRPr="00A73ED7" w:rsidRDefault="00971B18" w:rsidP="00855ABC">
      <w:pPr>
        <w:pStyle w:val="Ttulo1"/>
        <w:rPr>
          <w:sz w:val="27"/>
          <w:szCs w:val="27"/>
        </w:rPr>
      </w:pPr>
      <w:r w:rsidRPr="00A73ED7">
        <w:rPr>
          <w:sz w:val="27"/>
          <w:szCs w:val="27"/>
        </w:rPr>
        <w:t>I. Antecedentes</w:t>
      </w:r>
      <w:r w:rsidR="00A73ED7" w:rsidRPr="00A73ED7">
        <w:rPr>
          <w:sz w:val="27"/>
          <w:szCs w:val="27"/>
        </w:rPr>
        <w:t>.</w:t>
      </w:r>
    </w:p>
    <w:p w14:paraId="07DD5AB7" w14:textId="6F751BCF" w:rsidR="005F79F5" w:rsidRPr="00A73ED7" w:rsidRDefault="00810687" w:rsidP="008F0598">
      <w:pPr>
        <w:pStyle w:val="Prrafodelista"/>
        <w:rPr>
          <w:sz w:val="27"/>
          <w:szCs w:val="27"/>
        </w:rPr>
      </w:pPr>
      <w:r w:rsidRPr="00A73ED7">
        <w:rPr>
          <w:sz w:val="27"/>
          <w:szCs w:val="27"/>
        </w:rPr>
        <w:t xml:space="preserve">En la sesión celebrada </w:t>
      </w:r>
      <w:r w:rsidR="00537797" w:rsidRPr="00A73ED7">
        <w:rPr>
          <w:sz w:val="27"/>
          <w:szCs w:val="27"/>
        </w:rPr>
        <w:t xml:space="preserve">el </w:t>
      </w:r>
      <w:r w:rsidR="00A73ED7">
        <w:rPr>
          <w:sz w:val="27"/>
          <w:szCs w:val="27"/>
        </w:rPr>
        <w:t>ocho</w:t>
      </w:r>
      <w:r w:rsidR="00537797" w:rsidRPr="00A73ED7">
        <w:rPr>
          <w:sz w:val="27"/>
          <w:szCs w:val="27"/>
        </w:rPr>
        <w:t xml:space="preserve"> de </w:t>
      </w:r>
      <w:r w:rsidR="00130672" w:rsidRPr="00A73ED7">
        <w:rPr>
          <w:sz w:val="27"/>
          <w:szCs w:val="27"/>
        </w:rPr>
        <w:t>abril</w:t>
      </w:r>
      <w:r w:rsidR="00537797" w:rsidRPr="00A73ED7">
        <w:rPr>
          <w:sz w:val="27"/>
          <w:szCs w:val="27"/>
        </w:rPr>
        <w:t xml:space="preserve"> de </w:t>
      </w:r>
      <w:r w:rsidR="00A73ED7">
        <w:rPr>
          <w:sz w:val="27"/>
          <w:szCs w:val="27"/>
        </w:rPr>
        <w:t>dos mil veinticuatro</w:t>
      </w:r>
      <w:r w:rsidRPr="00A73ED7">
        <w:rPr>
          <w:sz w:val="27"/>
          <w:szCs w:val="27"/>
        </w:rPr>
        <w:t xml:space="preserve">, el Pleno de la Suprema Corte de Justicia de la Nación </w:t>
      </w:r>
      <w:r w:rsidR="00F52B78" w:rsidRPr="00A73ED7">
        <w:rPr>
          <w:sz w:val="27"/>
          <w:szCs w:val="27"/>
        </w:rPr>
        <w:t>resolvió</w:t>
      </w:r>
      <w:r w:rsidR="002829F5" w:rsidRPr="00A73ED7">
        <w:rPr>
          <w:sz w:val="27"/>
          <w:szCs w:val="27"/>
        </w:rPr>
        <w:t xml:space="preserve"> el amparo en revisión 227/2022</w:t>
      </w:r>
      <w:r w:rsidR="007C1EBF" w:rsidRPr="00A73ED7">
        <w:rPr>
          <w:sz w:val="27"/>
          <w:szCs w:val="27"/>
        </w:rPr>
        <w:t>.</w:t>
      </w:r>
      <w:r w:rsidR="00BD34D4" w:rsidRPr="00A73ED7">
        <w:rPr>
          <w:sz w:val="27"/>
          <w:szCs w:val="27"/>
        </w:rPr>
        <w:t xml:space="preserve"> </w:t>
      </w:r>
      <w:r w:rsidR="007C1EBF" w:rsidRPr="00A73ED7">
        <w:rPr>
          <w:sz w:val="27"/>
          <w:szCs w:val="27"/>
        </w:rPr>
        <w:t>Se estudió la constitucionalidad del sistema de etiquetado frontal de advertencia para alimentos y bebidas no alcohólicas preenvasadas, previsto en</w:t>
      </w:r>
      <w:r w:rsidR="00BF0D8F" w:rsidRPr="00A73ED7">
        <w:rPr>
          <w:sz w:val="27"/>
          <w:szCs w:val="27"/>
        </w:rPr>
        <w:t xml:space="preserve"> </w:t>
      </w:r>
      <w:r w:rsidR="00634700" w:rsidRPr="00A73ED7">
        <w:rPr>
          <w:color w:val="000000" w:themeColor="text1"/>
          <w:sz w:val="27"/>
          <w:szCs w:val="27"/>
          <w:lang w:val="es-ES"/>
        </w:rPr>
        <w:t>los a</w:t>
      </w:r>
      <w:r w:rsidR="00634700" w:rsidRPr="00A73ED7">
        <w:rPr>
          <w:sz w:val="27"/>
          <w:szCs w:val="27"/>
          <w:lang w:val="es-ES"/>
        </w:rPr>
        <w:t>rtículos 212, párrafos tercero y cuarto, y  215, fracciones VI y VII, de la Ley General de Salud (“</w:t>
      </w:r>
      <w:r w:rsidR="00634700" w:rsidRPr="00A73ED7">
        <w:rPr>
          <w:b/>
          <w:sz w:val="27"/>
          <w:szCs w:val="27"/>
          <w:lang w:val="es-ES"/>
        </w:rPr>
        <w:t>LGS</w:t>
      </w:r>
      <w:r w:rsidR="00634700" w:rsidRPr="00A73ED7">
        <w:rPr>
          <w:sz w:val="27"/>
          <w:szCs w:val="27"/>
          <w:lang w:val="es-ES"/>
        </w:rPr>
        <w:t>”), reformados por decreto publicado en el Diario Oficial de la Federación (“</w:t>
      </w:r>
      <w:r w:rsidR="00634700" w:rsidRPr="00A73ED7">
        <w:rPr>
          <w:b/>
          <w:sz w:val="27"/>
          <w:szCs w:val="27"/>
          <w:lang w:val="es-ES"/>
        </w:rPr>
        <w:t>DOF</w:t>
      </w:r>
      <w:r w:rsidR="00634700" w:rsidRPr="00A73ED7">
        <w:rPr>
          <w:sz w:val="27"/>
          <w:szCs w:val="27"/>
          <w:lang w:val="es-ES"/>
        </w:rPr>
        <w:t xml:space="preserve">”) el </w:t>
      </w:r>
      <w:r w:rsidR="00B95288">
        <w:rPr>
          <w:sz w:val="27"/>
          <w:szCs w:val="27"/>
          <w:lang w:val="es-ES"/>
        </w:rPr>
        <w:t>ocho</w:t>
      </w:r>
      <w:r w:rsidR="00634700" w:rsidRPr="00A73ED7">
        <w:rPr>
          <w:sz w:val="27"/>
          <w:szCs w:val="27"/>
          <w:lang w:val="es-ES"/>
        </w:rPr>
        <w:t xml:space="preserve"> de noviembre de </w:t>
      </w:r>
      <w:r w:rsidR="00B95288">
        <w:rPr>
          <w:sz w:val="27"/>
          <w:szCs w:val="27"/>
          <w:lang w:val="es-ES"/>
        </w:rPr>
        <w:t>dos mil diecinueve</w:t>
      </w:r>
      <w:r w:rsidR="00634700" w:rsidRPr="00A73ED7">
        <w:rPr>
          <w:sz w:val="27"/>
          <w:szCs w:val="27"/>
          <w:lang w:val="es-ES"/>
        </w:rPr>
        <w:t>; así como la “</w:t>
      </w:r>
      <w:r w:rsidR="00634700" w:rsidRPr="00A73ED7">
        <w:rPr>
          <w:i/>
          <w:iCs/>
          <w:sz w:val="27"/>
          <w:szCs w:val="27"/>
          <w:lang w:val="es-ES"/>
        </w:rPr>
        <w:t>Modificación a la Norma Oficial Mexicana NOM-051-SCFI/SSA1-2010, Especificaciones generales de etiquetado para alimentos y bebidas no alcohólicas preenvasados-información comercial y sanitaria</w:t>
      </w:r>
      <w:r w:rsidR="00634700" w:rsidRPr="00A73ED7">
        <w:rPr>
          <w:sz w:val="27"/>
          <w:szCs w:val="27"/>
          <w:lang w:val="es-ES"/>
        </w:rPr>
        <w:t>” (“</w:t>
      </w:r>
      <w:r w:rsidR="00634700" w:rsidRPr="00A73ED7">
        <w:rPr>
          <w:b/>
          <w:sz w:val="27"/>
          <w:szCs w:val="27"/>
          <w:lang w:val="es-ES"/>
        </w:rPr>
        <w:t>Modificación a la NOM-051</w:t>
      </w:r>
      <w:r w:rsidR="00634700" w:rsidRPr="00A73ED7">
        <w:rPr>
          <w:sz w:val="27"/>
          <w:szCs w:val="27"/>
          <w:lang w:val="es-ES"/>
        </w:rPr>
        <w:t xml:space="preserve">”), publicada en el </w:t>
      </w:r>
      <w:r w:rsidR="00B95288">
        <w:rPr>
          <w:sz w:val="27"/>
          <w:szCs w:val="27"/>
          <w:lang w:val="es-ES"/>
        </w:rPr>
        <w:t>D</w:t>
      </w:r>
      <w:r w:rsidR="00886D1C">
        <w:rPr>
          <w:sz w:val="27"/>
          <w:szCs w:val="27"/>
          <w:lang w:val="es-ES"/>
        </w:rPr>
        <w:t>OF</w:t>
      </w:r>
      <w:r w:rsidR="00634700" w:rsidRPr="00A73ED7">
        <w:rPr>
          <w:sz w:val="27"/>
          <w:szCs w:val="27"/>
          <w:lang w:val="es-ES"/>
        </w:rPr>
        <w:t xml:space="preserve"> el </w:t>
      </w:r>
      <w:r w:rsidR="00886D1C">
        <w:rPr>
          <w:sz w:val="27"/>
          <w:szCs w:val="27"/>
          <w:lang w:val="es-ES"/>
        </w:rPr>
        <w:t>veintisiete</w:t>
      </w:r>
      <w:r w:rsidR="00634700" w:rsidRPr="00A73ED7">
        <w:rPr>
          <w:sz w:val="27"/>
          <w:szCs w:val="27"/>
          <w:lang w:val="es-ES"/>
        </w:rPr>
        <w:t xml:space="preserve"> de marzo de </w:t>
      </w:r>
      <w:r w:rsidR="00886D1C">
        <w:rPr>
          <w:sz w:val="27"/>
          <w:szCs w:val="27"/>
          <w:lang w:val="es-ES"/>
        </w:rPr>
        <w:t>dos mil veinte</w:t>
      </w:r>
      <w:r w:rsidR="00634700" w:rsidRPr="00A73ED7">
        <w:rPr>
          <w:sz w:val="27"/>
          <w:szCs w:val="27"/>
          <w:lang w:val="es-ES"/>
        </w:rPr>
        <w:t>, particularmente, los numerales 3.38., 4.5.3.4., 4.5.3.4.1., 7.1.3. y 7.1.4., así como los Transitorios Primero a Cuarto</w:t>
      </w:r>
      <w:r w:rsidR="00E93C92" w:rsidRPr="00A73ED7">
        <w:rPr>
          <w:sz w:val="27"/>
          <w:szCs w:val="27"/>
        </w:rPr>
        <w:t xml:space="preserve">. </w:t>
      </w:r>
    </w:p>
    <w:p w14:paraId="06B1F69E" w14:textId="281948D0" w:rsidR="00F8790B" w:rsidRPr="00A73ED7" w:rsidRDefault="00942367" w:rsidP="0018237C">
      <w:pPr>
        <w:pStyle w:val="Prrafodelista"/>
        <w:rPr>
          <w:sz w:val="27"/>
          <w:szCs w:val="27"/>
        </w:rPr>
      </w:pPr>
      <w:r w:rsidRPr="00A73ED7">
        <w:rPr>
          <w:sz w:val="27"/>
          <w:szCs w:val="27"/>
        </w:rPr>
        <w:t>Este</w:t>
      </w:r>
      <w:r w:rsidR="00995626" w:rsidRPr="00A73ED7">
        <w:rPr>
          <w:sz w:val="27"/>
          <w:szCs w:val="27"/>
        </w:rPr>
        <w:t xml:space="preserve"> Tribunal Pleno</w:t>
      </w:r>
      <w:r w:rsidR="006048F1" w:rsidRPr="00A73ED7">
        <w:rPr>
          <w:sz w:val="27"/>
          <w:szCs w:val="27"/>
        </w:rPr>
        <w:t xml:space="preserve"> </w:t>
      </w:r>
      <w:r w:rsidRPr="00A73ED7">
        <w:rPr>
          <w:sz w:val="27"/>
          <w:szCs w:val="27"/>
        </w:rPr>
        <w:t xml:space="preserve">resolvió </w:t>
      </w:r>
      <w:r w:rsidR="006048F1" w:rsidRPr="00A73ED7">
        <w:rPr>
          <w:sz w:val="27"/>
          <w:szCs w:val="27"/>
        </w:rPr>
        <w:t>negar el amparo</w:t>
      </w:r>
      <w:r w:rsidR="009A1889" w:rsidRPr="00A73ED7">
        <w:rPr>
          <w:sz w:val="27"/>
          <w:szCs w:val="27"/>
        </w:rPr>
        <w:t xml:space="preserve">, pues </w:t>
      </w:r>
      <w:r w:rsidR="00162D72" w:rsidRPr="00A73ED7">
        <w:rPr>
          <w:sz w:val="27"/>
          <w:szCs w:val="27"/>
        </w:rPr>
        <w:t>consideró</w:t>
      </w:r>
      <w:r w:rsidR="00995626" w:rsidRPr="00A73ED7">
        <w:rPr>
          <w:sz w:val="27"/>
          <w:szCs w:val="27"/>
        </w:rPr>
        <w:t xml:space="preserve"> que los conceptos de violación eran en una parte infundados y, en otra, inoperante</w:t>
      </w:r>
      <w:r w:rsidR="001F29F1" w:rsidRPr="00A73ED7">
        <w:rPr>
          <w:sz w:val="27"/>
          <w:szCs w:val="27"/>
        </w:rPr>
        <w:t>s</w:t>
      </w:r>
      <w:r w:rsidR="00995626" w:rsidRPr="00A73ED7">
        <w:rPr>
          <w:sz w:val="27"/>
          <w:szCs w:val="27"/>
        </w:rPr>
        <w:t>.</w:t>
      </w:r>
      <w:r w:rsidR="001F29F1" w:rsidRPr="00A73ED7">
        <w:rPr>
          <w:sz w:val="27"/>
          <w:szCs w:val="27"/>
        </w:rPr>
        <w:t xml:space="preserve"> </w:t>
      </w:r>
      <w:r w:rsidR="00CF5BAE" w:rsidRPr="00A73ED7">
        <w:rPr>
          <w:sz w:val="27"/>
          <w:szCs w:val="27"/>
        </w:rPr>
        <w:t>Yo voté a favor del</w:t>
      </w:r>
      <w:r w:rsidR="001F29F1" w:rsidRPr="00A73ED7">
        <w:rPr>
          <w:sz w:val="27"/>
          <w:szCs w:val="27"/>
        </w:rPr>
        <w:t xml:space="preserve"> sentido de la resolución y, en lo general, </w:t>
      </w:r>
      <w:r w:rsidR="004C522D" w:rsidRPr="00A73ED7">
        <w:rPr>
          <w:sz w:val="27"/>
          <w:szCs w:val="27"/>
        </w:rPr>
        <w:t>compartí</w:t>
      </w:r>
      <w:r w:rsidR="001F29F1" w:rsidRPr="00A73ED7">
        <w:rPr>
          <w:sz w:val="27"/>
          <w:szCs w:val="27"/>
        </w:rPr>
        <w:t xml:space="preserve"> las consideraciones </w:t>
      </w:r>
      <w:r w:rsidR="00855DCA" w:rsidRPr="00A73ED7">
        <w:rPr>
          <w:sz w:val="27"/>
          <w:szCs w:val="27"/>
        </w:rPr>
        <w:t>aprobadas por la mayoría. Sin embargo,</w:t>
      </w:r>
      <w:r w:rsidR="001F29F1" w:rsidRPr="00A73ED7">
        <w:rPr>
          <w:sz w:val="27"/>
          <w:szCs w:val="27"/>
        </w:rPr>
        <w:t xml:space="preserve"> </w:t>
      </w:r>
      <w:r w:rsidR="00855DCA" w:rsidRPr="00A73ED7">
        <w:rPr>
          <w:sz w:val="27"/>
          <w:szCs w:val="27"/>
        </w:rPr>
        <w:t>tuve</w:t>
      </w:r>
      <w:r w:rsidR="001F29F1" w:rsidRPr="00A73ED7">
        <w:rPr>
          <w:sz w:val="27"/>
          <w:szCs w:val="27"/>
        </w:rPr>
        <w:t xml:space="preserve"> algunas divergencias en </w:t>
      </w:r>
      <w:r w:rsidR="00635BF8" w:rsidRPr="00A73ED7">
        <w:rPr>
          <w:sz w:val="27"/>
          <w:szCs w:val="27"/>
        </w:rPr>
        <w:t>dichas consideraciones</w:t>
      </w:r>
      <w:r w:rsidR="00CF5BAE" w:rsidRPr="00A73ED7">
        <w:rPr>
          <w:sz w:val="27"/>
          <w:szCs w:val="27"/>
        </w:rPr>
        <w:t xml:space="preserve"> que anuncié durante</w:t>
      </w:r>
      <w:r w:rsidR="00DF5829" w:rsidRPr="00A73ED7">
        <w:rPr>
          <w:sz w:val="27"/>
          <w:szCs w:val="27"/>
        </w:rPr>
        <w:t xml:space="preserve"> la discusión del asunto</w:t>
      </w:r>
      <w:r w:rsidR="00CF5BAE" w:rsidRPr="00A73ED7">
        <w:rPr>
          <w:sz w:val="27"/>
          <w:szCs w:val="27"/>
        </w:rPr>
        <w:t xml:space="preserve"> y que desarrollo en este voto concurrente</w:t>
      </w:r>
      <w:r w:rsidR="00DF5829" w:rsidRPr="00A73ED7">
        <w:rPr>
          <w:sz w:val="27"/>
          <w:szCs w:val="27"/>
        </w:rPr>
        <w:t>.</w:t>
      </w:r>
    </w:p>
    <w:p w14:paraId="740DEA64" w14:textId="7F0BABFF" w:rsidR="00FB4CDE" w:rsidRPr="00A73ED7" w:rsidRDefault="007E744B" w:rsidP="00855ABC">
      <w:pPr>
        <w:pStyle w:val="Ttulo1"/>
        <w:rPr>
          <w:sz w:val="27"/>
          <w:szCs w:val="27"/>
        </w:rPr>
      </w:pPr>
      <w:r w:rsidRPr="00A73ED7">
        <w:rPr>
          <w:sz w:val="27"/>
          <w:szCs w:val="27"/>
        </w:rPr>
        <w:t xml:space="preserve">II. </w:t>
      </w:r>
      <w:r w:rsidR="00BD34D4" w:rsidRPr="00A73ED7">
        <w:rPr>
          <w:sz w:val="27"/>
          <w:szCs w:val="27"/>
        </w:rPr>
        <w:t>Concurrencia</w:t>
      </w:r>
      <w:r w:rsidR="00472BD0" w:rsidRPr="00A73ED7">
        <w:rPr>
          <w:sz w:val="27"/>
          <w:szCs w:val="27"/>
        </w:rPr>
        <w:t xml:space="preserve"> en cuanto a </w:t>
      </w:r>
      <w:r w:rsidR="00BD34D4" w:rsidRPr="00A73ED7">
        <w:rPr>
          <w:sz w:val="27"/>
          <w:szCs w:val="27"/>
        </w:rPr>
        <w:t>la precisión de la litis</w:t>
      </w:r>
      <w:r w:rsidR="00472BD0" w:rsidRPr="00A73ED7">
        <w:rPr>
          <w:sz w:val="27"/>
          <w:szCs w:val="27"/>
        </w:rPr>
        <w:t>.</w:t>
      </w:r>
    </w:p>
    <w:p w14:paraId="08685B30" w14:textId="45837A56" w:rsidR="006A7F7E" w:rsidRPr="00A73ED7" w:rsidRDefault="006811A5" w:rsidP="00B13750">
      <w:pPr>
        <w:pStyle w:val="Prrafodelista"/>
        <w:rPr>
          <w:sz w:val="27"/>
          <w:szCs w:val="27"/>
        </w:rPr>
      </w:pPr>
      <w:r w:rsidRPr="00A73ED7">
        <w:rPr>
          <w:sz w:val="27"/>
          <w:szCs w:val="27"/>
        </w:rPr>
        <w:t>En el apartado</w:t>
      </w:r>
      <w:r w:rsidR="00BD2572" w:rsidRPr="00A73ED7">
        <w:rPr>
          <w:sz w:val="27"/>
          <w:szCs w:val="27"/>
        </w:rPr>
        <w:t xml:space="preserve"> del engrose</w:t>
      </w:r>
      <w:r w:rsidRPr="00A73ED7">
        <w:rPr>
          <w:sz w:val="27"/>
          <w:szCs w:val="27"/>
        </w:rPr>
        <w:t xml:space="preserve"> “</w:t>
      </w:r>
      <w:r w:rsidRPr="00A73ED7">
        <w:rPr>
          <w:i/>
          <w:iCs/>
          <w:sz w:val="27"/>
          <w:szCs w:val="27"/>
        </w:rPr>
        <w:t>III. Precisión de la Litis</w:t>
      </w:r>
      <w:r w:rsidRPr="00A73ED7">
        <w:rPr>
          <w:sz w:val="27"/>
          <w:szCs w:val="27"/>
        </w:rPr>
        <w:t>”</w:t>
      </w:r>
      <w:r w:rsidR="00BD2572" w:rsidRPr="00A73ED7">
        <w:rPr>
          <w:sz w:val="27"/>
          <w:szCs w:val="27"/>
        </w:rPr>
        <w:t>,</w:t>
      </w:r>
      <w:r w:rsidR="00B13750" w:rsidRPr="00A73ED7">
        <w:rPr>
          <w:sz w:val="27"/>
          <w:szCs w:val="27"/>
        </w:rPr>
        <w:t xml:space="preserve"> </w:t>
      </w:r>
      <w:r w:rsidR="00C215C9" w:rsidRPr="00A73ED7">
        <w:rPr>
          <w:sz w:val="27"/>
          <w:szCs w:val="27"/>
        </w:rPr>
        <w:t xml:space="preserve">se </w:t>
      </w:r>
      <w:r w:rsidR="009A4DF7" w:rsidRPr="00A73ED7">
        <w:rPr>
          <w:sz w:val="27"/>
          <w:szCs w:val="27"/>
        </w:rPr>
        <w:t xml:space="preserve">señala que </w:t>
      </w:r>
      <w:r w:rsidR="006F4DE8" w:rsidRPr="00A73ED7">
        <w:rPr>
          <w:sz w:val="27"/>
          <w:szCs w:val="27"/>
        </w:rPr>
        <w:t xml:space="preserve">la materia del recurso de revisión </w:t>
      </w:r>
      <w:r w:rsidR="006A5410" w:rsidRPr="00A73ED7">
        <w:rPr>
          <w:sz w:val="27"/>
          <w:szCs w:val="27"/>
        </w:rPr>
        <w:t>son</w:t>
      </w:r>
      <w:r w:rsidR="006F4DE8" w:rsidRPr="00A73ED7">
        <w:rPr>
          <w:sz w:val="27"/>
          <w:szCs w:val="27"/>
        </w:rPr>
        <w:t xml:space="preserve"> </w:t>
      </w:r>
      <w:r w:rsidR="00881CA5" w:rsidRPr="00A73ED7">
        <w:rPr>
          <w:sz w:val="27"/>
          <w:szCs w:val="27"/>
        </w:rPr>
        <w:t>las</w:t>
      </w:r>
      <w:r w:rsidR="006F4DE8" w:rsidRPr="00A73ED7">
        <w:rPr>
          <w:sz w:val="27"/>
          <w:szCs w:val="27"/>
        </w:rPr>
        <w:t xml:space="preserve"> disposiciones</w:t>
      </w:r>
      <w:r w:rsidR="00C215C9" w:rsidRPr="00A73ED7">
        <w:rPr>
          <w:sz w:val="27"/>
          <w:szCs w:val="27"/>
        </w:rPr>
        <w:t xml:space="preserve"> </w:t>
      </w:r>
      <w:r w:rsidR="00881CA5" w:rsidRPr="00A73ED7">
        <w:rPr>
          <w:sz w:val="27"/>
          <w:szCs w:val="27"/>
        </w:rPr>
        <w:t xml:space="preserve">sobre las cuales el Tribunal Colegiado </w:t>
      </w:r>
      <w:r w:rsidR="006A5410" w:rsidRPr="00A73ED7">
        <w:rPr>
          <w:sz w:val="27"/>
          <w:szCs w:val="27"/>
        </w:rPr>
        <w:t>levantó</w:t>
      </w:r>
      <w:r w:rsidR="00D537F1" w:rsidRPr="00A73ED7">
        <w:rPr>
          <w:sz w:val="27"/>
          <w:szCs w:val="27"/>
        </w:rPr>
        <w:t xml:space="preserve"> el sobreseimiento que había determinado el Juez de Distrito</w:t>
      </w:r>
      <w:r w:rsidR="00774B3F" w:rsidRPr="00A73ED7">
        <w:rPr>
          <w:sz w:val="27"/>
          <w:szCs w:val="27"/>
        </w:rPr>
        <w:t xml:space="preserve"> en la sentencia de amparo recurrida.</w:t>
      </w:r>
      <w:r w:rsidR="00B50079" w:rsidRPr="00A73ED7">
        <w:rPr>
          <w:sz w:val="27"/>
          <w:szCs w:val="27"/>
        </w:rPr>
        <w:t xml:space="preserve"> Asimismo, el apartado señala que </w:t>
      </w:r>
      <w:r w:rsidR="00C471C5" w:rsidRPr="00A73ED7">
        <w:rPr>
          <w:sz w:val="27"/>
          <w:szCs w:val="27"/>
        </w:rPr>
        <w:t>las disposiciones se estudian dado que fueron reclamadas como parte de un sistema normativo.</w:t>
      </w:r>
    </w:p>
    <w:p w14:paraId="5AC5D070" w14:textId="3DE83C9B" w:rsidR="00E04EF5" w:rsidRPr="00A73ED7" w:rsidRDefault="00727D9A" w:rsidP="007331B8">
      <w:pPr>
        <w:pStyle w:val="Prrafodelista"/>
        <w:rPr>
          <w:sz w:val="27"/>
          <w:szCs w:val="27"/>
        </w:rPr>
      </w:pPr>
      <w:r w:rsidRPr="00A73ED7">
        <w:rPr>
          <w:sz w:val="27"/>
          <w:szCs w:val="27"/>
        </w:rPr>
        <w:lastRenderedPageBreak/>
        <w:t>En general, estuve de acuerdo con las disposiciones precisadas</w:t>
      </w:r>
      <w:r w:rsidR="009534D0" w:rsidRPr="00A73ED7">
        <w:rPr>
          <w:sz w:val="27"/>
          <w:szCs w:val="27"/>
        </w:rPr>
        <w:t xml:space="preserve">, pero me separé </w:t>
      </w:r>
      <w:r w:rsidR="00E21446" w:rsidRPr="00A73ED7">
        <w:rPr>
          <w:sz w:val="27"/>
          <w:szCs w:val="27"/>
        </w:rPr>
        <w:t>de</w:t>
      </w:r>
      <w:r w:rsidR="009534D0" w:rsidRPr="00A73ED7">
        <w:rPr>
          <w:sz w:val="27"/>
          <w:szCs w:val="27"/>
        </w:rPr>
        <w:t xml:space="preserve"> la razón relativa a que </w:t>
      </w:r>
      <w:r w:rsidR="000F3857" w:rsidRPr="00A73ED7">
        <w:rPr>
          <w:sz w:val="27"/>
          <w:szCs w:val="27"/>
        </w:rPr>
        <w:t>e</w:t>
      </w:r>
      <w:r w:rsidR="009534D0" w:rsidRPr="00A73ED7">
        <w:rPr>
          <w:sz w:val="27"/>
          <w:szCs w:val="27"/>
        </w:rPr>
        <w:t>stas disposiciones se estudian en cuanto a que forman parte de un sistema normativo. Para m</w:t>
      </w:r>
      <w:r w:rsidR="000F3857" w:rsidRPr="00A73ED7">
        <w:rPr>
          <w:sz w:val="27"/>
          <w:szCs w:val="27"/>
        </w:rPr>
        <w:t>í</w:t>
      </w:r>
      <w:r w:rsidR="009534D0" w:rsidRPr="00A73ED7">
        <w:rPr>
          <w:sz w:val="27"/>
          <w:szCs w:val="27"/>
        </w:rPr>
        <w:t xml:space="preserve">, la </w:t>
      </w:r>
      <w:r w:rsidR="000F3857" w:rsidRPr="00A73ED7">
        <w:rPr>
          <w:sz w:val="27"/>
          <w:szCs w:val="27"/>
        </w:rPr>
        <w:t xml:space="preserve">única </w:t>
      </w:r>
      <w:r w:rsidR="005C37B5" w:rsidRPr="00A73ED7">
        <w:rPr>
          <w:sz w:val="27"/>
          <w:szCs w:val="27"/>
        </w:rPr>
        <w:t xml:space="preserve">consideración </w:t>
      </w:r>
      <w:r w:rsidR="00595AC7" w:rsidRPr="00A73ED7">
        <w:rPr>
          <w:sz w:val="27"/>
          <w:szCs w:val="27"/>
        </w:rPr>
        <w:t>relevante</w:t>
      </w:r>
      <w:r w:rsidR="0053269E" w:rsidRPr="00A73ED7">
        <w:rPr>
          <w:sz w:val="27"/>
          <w:szCs w:val="27"/>
        </w:rPr>
        <w:t xml:space="preserve"> en este caso</w:t>
      </w:r>
      <w:r w:rsidR="000F3857" w:rsidRPr="00A73ED7">
        <w:rPr>
          <w:sz w:val="27"/>
          <w:szCs w:val="27"/>
        </w:rPr>
        <w:t xml:space="preserve"> para </w:t>
      </w:r>
      <w:r w:rsidR="0053269E" w:rsidRPr="00A73ED7">
        <w:rPr>
          <w:sz w:val="27"/>
          <w:szCs w:val="27"/>
        </w:rPr>
        <w:t>determinar</w:t>
      </w:r>
      <w:r w:rsidR="005C37B5" w:rsidRPr="00A73ED7">
        <w:rPr>
          <w:sz w:val="27"/>
          <w:szCs w:val="27"/>
        </w:rPr>
        <w:t xml:space="preserve"> las normas </w:t>
      </w:r>
      <w:r w:rsidR="0053269E" w:rsidRPr="00A73ED7">
        <w:rPr>
          <w:sz w:val="27"/>
          <w:szCs w:val="27"/>
        </w:rPr>
        <w:t xml:space="preserve">que </w:t>
      </w:r>
      <w:r w:rsidR="006A5A8D" w:rsidRPr="00A73ED7">
        <w:rPr>
          <w:sz w:val="27"/>
          <w:szCs w:val="27"/>
        </w:rPr>
        <w:t xml:space="preserve">había que </w:t>
      </w:r>
      <w:r w:rsidR="0053269E" w:rsidRPr="00A73ED7">
        <w:rPr>
          <w:sz w:val="27"/>
          <w:szCs w:val="27"/>
        </w:rPr>
        <w:t xml:space="preserve">estudiar </w:t>
      </w:r>
      <w:r w:rsidR="00CE7534" w:rsidRPr="00A73ED7">
        <w:rPr>
          <w:sz w:val="27"/>
          <w:szCs w:val="27"/>
        </w:rPr>
        <w:t>es que el Tribunal Colegiado modificó el sobreseimiento</w:t>
      </w:r>
      <w:r w:rsidR="008A306C" w:rsidRPr="00A73ED7">
        <w:rPr>
          <w:sz w:val="27"/>
          <w:szCs w:val="27"/>
        </w:rPr>
        <w:t xml:space="preserve"> previamente fallado</w:t>
      </w:r>
      <w:r w:rsidR="007331B8" w:rsidRPr="00A73ED7">
        <w:rPr>
          <w:sz w:val="27"/>
          <w:szCs w:val="27"/>
        </w:rPr>
        <w:t>.</w:t>
      </w:r>
    </w:p>
    <w:p w14:paraId="2ADBB252" w14:textId="7D5018E8" w:rsidR="00E04EF5" w:rsidRPr="00A73ED7" w:rsidRDefault="00E04EF5" w:rsidP="00855ABC">
      <w:pPr>
        <w:pStyle w:val="Ttulo1"/>
        <w:rPr>
          <w:sz w:val="27"/>
          <w:szCs w:val="27"/>
        </w:rPr>
      </w:pPr>
      <w:r w:rsidRPr="00A73ED7">
        <w:rPr>
          <w:sz w:val="27"/>
          <w:szCs w:val="27"/>
        </w:rPr>
        <w:t>III.</w:t>
      </w:r>
      <w:r w:rsidR="004B5EB7" w:rsidRPr="00A73ED7">
        <w:rPr>
          <w:sz w:val="27"/>
          <w:szCs w:val="27"/>
        </w:rPr>
        <w:t xml:space="preserve"> Concurrencia en cuanto </w:t>
      </w:r>
      <w:r w:rsidR="00F82B82" w:rsidRPr="00A73ED7">
        <w:rPr>
          <w:sz w:val="27"/>
          <w:szCs w:val="27"/>
        </w:rPr>
        <w:t xml:space="preserve">al estudio </w:t>
      </w:r>
      <w:r w:rsidR="00546148" w:rsidRPr="00A73ED7">
        <w:rPr>
          <w:sz w:val="27"/>
          <w:szCs w:val="27"/>
        </w:rPr>
        <w:t xml:space="preserve">de constitucionalidad </w:t>
      </w:r>
      <w:r w:rsidR="006E432F" w:rsidRPr="00A73ED7">
        <w:rPr>
          <w:sz w:val="27"/>
          <w:szCs w:val="27"/>
        </w:rPr>
        <w:t xml:space="preserve">de </w:t>
      </w:r>
      <w:r w:rsidR="00546148" w:rsidRPr="00A73ED7">
        <w:rPr>
          <w:sz w:val="27"/>
          <w:szCs w:val="27"/>
        </w:rPr>
        <w:t>las disposiciones de la LGS.</w:t>
      </w:r>
    </w:p>
    <w:p w14:paraId="36E3069B" w14:textId="430E5F81" w:rsidR="00546148" w:rsidRPr="00A73ED7" w:rsidRDefault="005C3405" w:rsidP="004A7A39">
      <w:pPr>
        <w:pStyle w:val="Prrafodelista"/>
        <w:rPr>
          <w:sz w:val="27"/>
          <w:szCs w:val="27"/>
        </w:rPr>
      </w:pPr>
      <w:r w:rsidRPr="00A73ED7">
        <w:rPr>
          <w:sz w:val="27"/>
          <w:szCs w:val="27"/>
        </w:rPr>
        <w:t>El estudio de fondo</w:t>
      </w:r>
      <w:r w:rsidR="00C36C28" w:rsidRPr="00A73ED7">
        <w:rPr>
          <w:sz w:val="27"/>
          <w:szCs w:val="27"/>
        </w:rPr>
        <w:t xml:space="preserve"> a</w:t>
      </w:r>
      <w:r w:rsidR="00975CDB" w:rsidRPr="00A73ED7">
        <w:rPr>
          <w:sz w:val="27"/>
          <w:szCs w:val="27"/>
        </w:rPr>
        <w:t>naliza</w:t>
      </w:r>
      <w:r w:rsidR="00C36C28" w:rsidRPr="00A73ED7">
        <w:rPr>
          <w:sz w:val="27"/>
          <w:szCs w:val="27"/>
        </w:rPr>
        <w:t xml:space="preserve">, en </w:t>
      </w:r>
      <w:r w:rsidR="00175951" w:rsidRPr="00A73ED7">
        <w:rPr>
          <w:sz w:val="27"/>
          <w:szCs w:val="27"/>
        </w:rPr>
        <w:t xml:space="preserve">un </w:t>
      </w:r>
      <w:r w:rsidR="00C36C28" w:rsidRPr="00A73ED7">
        <w:rPr>
          <w:sz w:val="27"/>
          <w:szCs w:val="27"/>
        </w:rPr>
        <w:t xml:space="preserve">primer </w:t>
      </w:r>
      <w:r w:rsidR="00175951" w:rsidRPr="00A73ED7">
        <w:rPr>
          <w:sz w:val="27"/>
          <w:szCs w:val="27"/>
        </w:rPr>
        <w:t>subapartado (“</w:t>
      </w:r>
      <w:r w:rsidR="00175951" w:rsidRPr="00A73ED7">
        <w:rPr>
          <w:i/>
          <w:iCs/>
          <w:sz w:val="27"/>
          <w:szCs w:val="27"/>
        </w:rPr>
        <w:t>I. Ley General de Salud</w:t>
      </w:r>
      <w:r w:rsidR="00175951" w:rsidRPr="00A73ED7">
        <w:rPr>
          <w:sz w:val="27"/>
          <w:szCs w:val="27"/>
        </w:rPr>
        <w:t>”)</w:t>
      </w:r>
      <w:r w:rsidR="00C36C28" w:rsidRPr="00A73ED7">
        <w:rPr>
          <w:sz w:val="27"/>
          <w:szCs w:val="27"/>
        </w:rPr>
        <w:t xml:space="preserve">, los argumentos </w:t>
      </w:r>
      <w:r w:rsidR="00A319EC" w:rsidRPr="00A73ED7">
        <w:rPr>
          <w:sz w:val="27"/>
          <w:szCs w:val="27"/>
        </w:rPr>
        <w:t xml:space="preserve">que se hacen valer </w:t>
      </w:r>
      <w:r w:rsidR="00A319EC" w:rsidRPr="00A73ED7">
        <w:rPr>
          <w:sz w:val="27"/>
          <w:szCs w:val="27"/>
          <w:lang w:val="es-ES"/>
        </w:rPr>
        <w:t xml:space="preserve">en contra de la constitucionalidad </w:t>
      </w:r>
      <w:r w:rsidR="00A319EC" w:rsidRPr="00A73ED7">
        <w:rPr>
          <w:sz w:val="27"/>
          <w:szCs w:val="27"/>
        </w:rPr>
        <w:t xml:space="preserve">de los </w:t>
      </w:r>
      <w:r w:rsidR="00A319EC" w:rsidRPr="00A73ED7">
        <w:rPr>
          <w:bCs w:val="0"/>
          <w:sz w:val="27"/>
          <w:szCs w:val="27"/>
        </w:rPr>
        <w:t>artículos 212, párrafos tercero y cuarto, y 215, fracciones VI y VII</w:t>
      </w:r>
      <w:r w:rsidR="00886D1C">
        <w:rPr>
          <w:bCs w:val="0"/>
          <w:sz w:val="27"/>
          <w:szCs w:val="27"/>
        </w:rPr>
        <w:t>,</w:t>
      </w:r>
      <w:r w:rsidR="00A319EC" w:rsidRPr="00A73ED7">
        <w:rPr>
          <w:sz w:val="27"/>
          <w:szCs w:val="27"/>
        </w:rPr>
        <w:t xml:space="preserve"> de la LGS. </w:t>
      </w:r>
    </w:p>
    <w:p w14:paraId="1A04AB28" w14:textId="2C81CF4F" w:rsidR="004A1B66" w:rsidRPr="00A73ED7" w:rsidRDefault="004A1B66" w:rsidP="004A1B66">
      <w:pPr>
        <w:pStyle w:val="Prrafodelista"/>
        <w:numPr>
          <w:ilvl w:val="1"/>
          <w:numId w:val="2"/>
        </w:numPr>
        <w:rPr>
          <w:sz w:val="27"/>
          <w:szCs w:val="27"/>
          <w:u w:val="single"/>
        </w:rPr>
      </w:pPr>
      <w:r w:rsidRPr="00A73ED7">
        <w:rPr>
          <w:sz w:val="27"/>
          <w:szCs w:val="27"/>
          <w:u w:val="single"/>
        </w:rPr>
        <w:t>Motivación reforzada</w:t>
      </w:r>
      <w:r w:rsidR="00A73ED7" w:rsidRPr="00A73ED7">
        <w:rPr>
          <w:sz w:val="27"/>
          <w:szCs w:val="27"/>
          <w:u w:val="single"/>
        </w:rPr>
        <w:t>.</w:t>
      </w:r>
    </w:p>
    <w:p w14:paraId="306BF624" w14:textId="66E14530" w:rsidR="002E5A4A" w:rsidRPr="00A73ED7" w:rsidRDefault="00AA4296" w:rsidP="004A7A39">
      <w:pPr>
        <w:pStyle w:val="Prrafodelista"/>
        <w:rPr>
          <w:sz w:val="27"/>
          <w:szCs w:val="27"/>
        </w:rPr>
      </w:pPr>
      <w:r w:rsidRPr="00A73ED7">
        <w:rPr>
          <w:sz w:val="27"/>
          <w:szCs w:val="27"/>
        </w:rPr>
        <w:t>E</w:t>
      </w:r>
      <w:r w:rsidR="00AC5F04" w:rsidRPr="00A73ED7">
        <w:rPr>
          <w:sz w:val="27"/>
          <w:szCs w:val="27"/>
        </w:rPr>
        <w:t xml:space="preserve">n </w:t>
      </w:r>
      <w:r w:rsidR="005863D5" w:rsidRPr="00A73ED7">
        <w:rPr>
          <w:sz w:val="27"/>
          <w:szCs w:val="27"/>
        </w:rPr>
        <w:t>primera instancia,</w:t>
      </w:r>
      <w:r w:rsidR="00AC5F04" w:rsidRPr="00A73ED7">
        <w:rPr>
          <w:sz w:val="27"/>
          <w:szCs w:val="27"/>
        </w:rPr>
        <w:t xml:space="preserve"> </w:t>
      </w:r>
      <w:r w:rsidR="004A1B66" w:rsidRPr="00A73ED7">
        <w:rPr>
          <w:sz w:val="27"/>
          <w:szCs w:val="27"/>
        </w:rPr>
        <w:t>se estudi</w:t>
      </w:r>
      <w:r w:rsidR="00824F92" w:rsidRPr="00A73ED7">
        <w:rPr>
          <w:sz w:val="27"/>
          <w:szCs w:val="27"/>
        </w:rPr>
        <w:t>ó</w:t>
      </w:r>
      <w:r w:rsidR="004A1B66" w:rsidRPr="00A73ED7">
        <w:rPr>
          <w:sz w:val="27"/>
          <w:szCs w:val="27"/>
        </w:rPr>
        <w:t xml:space="preserve"> si el legislador </w:t>
      </w:r>
      <w:r w:rsidR="007E142A" w:rsidRPr="00A73ED7">
        <w:rPr>
          <w:sz w:val="27"/>
          <w:szCs w:val="27"/>
        </w:rPr>
        <w:t>tenía</w:t>
      </w:r>
      <w:r w:rsidR="005863D5" w:rsidRPr="00A73ED7">
        <w:rPr>
          <w:sz w:val="27"/>
          <w:szCs w:val="27"/>
        </w:rPr>
        <w:t xml:space="preserve"> la obligación</w:t>
      </w:r>
      <w:r w:rsidR="004A1B66" w:rsidRPr="00A73ED7">
        <w:rPr>
          <w:sz w:val="27"/>
          <w:szCs w:val="27"/>
        </w:rPr>
        <w:t xml:space="preserve"> </w:t>
      </w:r>
      <w:r w:rsidR="00E97198" w:rsidRPr="00A73ED7">
        <w:rPr>
          <w:sz w:val="27"/>
          <w:szCs w:val="27"/>
        </w:rPr>
        <w:t xml:space="preserve">de </w:t>
      </w:r>
      <w:r w:rsidR="004A1B66" w:rsidRPr="00A73ED7">
        <w:rPr>
          <w:sz w:val="27"/>
          <w:szCs w:val="27"/>
        </w:rPr>
        <w:t>emprender una motivación reforzada</w:t>
      </w:r>
      <w:r w:rsidR="00B62C55" w:rsidRPr="00A73ED7">
        <w:rPr>
          <w:sz w:val="27"/>
          <w:szCs w:val="27"/>
        </w:rPr>
        <w:t xml:space="preserve"> para aprobar las normas impugnadas</w:t>
      </w:r>
      <w:r w:rsidR="00824F92" w:rsidRPr="00A73ED7">
        <w:rPr>
          <w:sz w:val="27"/>
          <w:szCs w:val="27"/>
        </w:rPr>
        <w:t xml:space="preserve">, </w:t>
      </w:r>
      <w:r w:rsidR="00975CDB" w:rsidRPr="00A73ED7">
        <w:rPr>
          <w:sz w:val="27"/>
          <w:szCs w:val="27"/>
        </w:rPr>
        <w:t>a</w:t>
      </w:r>
      <w:r w:rsidR="00B62C55" w:rsidRPr="00A73ED7">
        <w:rPr>
          <w:sz w:val="27"/>
          <w:szCs w:val="27"/>
        </w:rPr>
        <w:t xml:space="preserve"> razón de</w:t>
      </w:r>
      <w:r w:rsidR="00824F92" w:rsidRPr="00A73ED7">
        <w:rPr>
          <w:sz w:val="27"/>
          <w:szCs w:val="27"/>
        </w:rPr>
        <w:t xml:space="preserve"> que el sistema de etiquetado tiene una incidencia en </w:t>
      </w:r>
      <w:r w:rsidR="00677EE8" w:rsidRPr="00A73ED7">
        <w:rPr>
          <w:sz w:val="27"/>
          <w:szCs w:val="27"/>
        </w:rPr>
        <w:t xml:space="preserve">los derechos </w:t>
      </w:r>
      <w:r w:rsidR="00324123" w:rsidRPr="00A73ED7">
        <w:rPr>
          <w:sz w:val="27"/>
          <w:szCs w:val="27"/>
        </w:rPr>
        <w:t>d</w:t>
      </w:r>
      <w:r w:rsidR="00677EE8" w:rsidRPr="00A73ED7">
        <w:rPr>
          <w:sz w:val="27"/>
          <w:szCs w:val="27"/>
        </w:rPr>
        <w:t>e protección a la salud y a la información de los consumidores.</w:t>
      </w:r>
      <w:r w:rsidR="007E142A" w:rsidRPr="00A73ED7">
        <w:rPr>
          <w:sz w:val="27"/>
          <w:szCs w:val="27"/>
        </w:rPr>
        <w:t xml:space="preserve"> La mayoría considero que no, </w:t>
      </w:r>
      <w:r w:rsidR="00310F73" w:rsidRPr="00A73ED7">
        <w:rPr>
          <w:sz w:val="27"/>
          <w:szCs w:val="27"/>
        </w:rPr>
        <w:t>calificando los planteamientos de inoperantes por una parte e infundados por otra.</w:t>
      </w:r>
      <w:r w:rsidR="00366AA2" w:rsidRPr="00A73ED7">
        <w:rPr>
          <w:sz w:val="27"/>
          <w:szCs w:val="27"/>
        </w:rPr>
        <w:t xml:space="preserve"> </w:t>
      </w:r>
    </w:p>
    <w:p w14:paraId="6B54380E" w14:textId="57EBC507" w:rsidR="00F82B82" w:rsidRPr="00A73ED7" w:rsidRDefault="00366AA2" w:rsidP="004A7A39">
      <w:pPr>
        <w:pStyle w:val="Prrafodelista"/>
        <w:rPr>
          <w:sz w:val="27"/>
          <w:szCs w:val="27"/>
        </w:rPr>
      </w:pPr>
      <w:r w:rsidRPr="00A73ED7">
        <w:rPr>
          <w:sz w:val="27"/>
          <w:szCs w:val="27"/>
        </w:rPr>
        <w:t xml:space="preserve">Por un lado, </w:t>
      </w:r>
      <w:r w:rsidR="00EA00AB" w:rsidRPr="00A73ED7">
        <w:rPr>
          <w:sz w:val="27"/>
          <w:szCs w:val="27"/>
        </w:rPr>
        <w:t xml:space="preserve">la mayoría consideró que la quejosa no es titular del derecho de protección a la salud, dado que, por su naturaleza de </w:t>
      </w:r>
      <w:r w:rsidR="0035064F" w:rsidRPr="00A73ED7">
        <w:rPr>
          <w:sz w:val="27"/>
          <w:szCs w:val="27"/>
        </w:rPr>
        <w:t>persona moral, no puede aspirar a un adecuado estado de salud y bienestar.</w:t>
      </w:r>
      <w:r w:rsidR="00A751D5" w:rsidRPr="00A73ED7">
        <w:rPr>
          <w:sz w:val="27"/>
          <w:szCs w:val="27"/>
        </w:rPr>
        <w:t xml:space="preserve"> Asimismo, tampoco </w:t>
      </w:r>
      <w:r w:rsidR="007729D7" w:rsidRPr="00A73ED7">
        <w:rPr>
          <w:sz w:val="27"/>
          <w:szCs w:val="27"/>
        </w:rPr>
        <w:t xml:space="preserve">está legitimada para exigir una motivación reforzada en cuanto al derecho a </w:t>
      </w:r>
      <w:r w:rsidR="003E680F" w:rsidRPr="00A73ED7">
        <w:rPr>
          <w:sz w:val="27"/>
          <w:szCs w:val="27"/>
        </w:rPr>
        <w:t>la protección del consumidor, pues</w:t>
      </w:r>
      <w:r w:rsidR="002E5A4A" w:rsidRPr="00A73ED7">
        <w:rPr>
          <w:sz w:val="27"/>
          <w:szCs w:val="27"/>
        </w:rPr>
        <w:t>,</w:t>
      </w:r>
      <w:r w:rsidR="003E680F" w:rsidRPr="00A73ED7">
        <w:rPr>
          <w:sz w:val="27"/>
          <w:szCs w:val="27"/>
        </w:rPr>
        <w:t xml:space="preserve"> a pesar de que sí podría ostentar la titularidad de ese derecho, comparece como </w:t>
      </w:r>
      <w:r w:rsidR="00AE0F16" w:rsidRPr="00A73ED7">
        <w:rPr>
          <w:sz w:val="27"/>
          <w:szCs w:val="27"/>
        </w:rPr>
        <w:t>productora</w:t>
      </w:r>
      <w:r w:rsidR="003E680F" w:rsidRPr="00A73ED7">
        <w:rPr>
          <w:sz w:val="27"/>
          <w:szCs w:val="27"/>
        </w:rPr>
        <w:t xml:space="preserve"> </w:t>
      </w:r>
      <w:r w:rsidR="00AE0F16" w:rsidRPr="00A73ED7">
        <w:rPr>
          <w:sz w:val="27"/>
          <w:szCs w:val="27"/>
        </w:rPr>
        <w:t>y comercializadora de los alimentos y bebidas sujetos al etiquetado y no como consumidora.</w:t>
      </w:r>
      <w:r w:rsidR="0035064F" w:rsidRPr="00A73ED7">
        <w:rPr>
          <w:sz w:val="27"/>
          <w:szCs w:val="27"/>
        </w:rPr>
        <w:t xml:space="preserve"> Por otro lado, </w:t>
      </w:r>
      <w:r w:rsidR="00B21BF8" w:rsidRPr="00A73ED7">
        <w:rPr>
          <w:sz w:val="27"/>
          <w:szCs w:val="27"/>
        </w:rPr>
        <w:t>no resulta exigible al legislador una motivación reforzada para la aprobación de las normas estudiadas</w:t>
      </w:r>
      <w:r w:rsidR="00DD1BDA" w:rsidRPr="00A73ED7">
        <w:rPr>
          <w:sz w:val="27"/>
          <w:szCs w:val="27"/>
        </w:rPr>
        <w:t xml:space="preserve"> porque en ellas </w:t>
      </w:r>
      <w:r w:rsidR="00C37C15" w:rsidRPr="00A73ED7">
        <w:rPr>
          <w:sz w:val="27"/>
          <w:szCs w:val="27"/>
        </w:rPr>
        <w:t>no se advierte algún aspecto propio de las categorías sospechosas</w:t>
      </w:r>
      <w:r w:rsidR="00EC2D06" w:rsidRPr="00A73ED7">
        <w:rPr>
          <w:sz w:val="27"/>
          <w:szCs w:val="27"/>
        </w:rPr>
        <w:t>.</w:t>
      </w:r>
    </w:p>
    <w:p w14:paraId="618E41B3" w14:textId="11970B45" w:rsidR="00A67937" w:rsidRPr="00A73ED7" w:rsidRDefault="00956A57" w:rsidP="008F562A">
      <w:pPr>
        <w:pStyle w:val="Prrafodelista"/>
        <w:rPr>
          <w:bCs w:val="0"/>
          <w:sz w:val="27"/>
          <w:szCs w:val="27"/>
          <w:lang w:val="es-ES"/>
        </w:rPr>
      </w:pPr>
      <w:r w:rsidRPr="00A73ED7">
        <w:rPr>
          <w:sz w:val="27"/>
          <w:szCs w:val="27"/>
        </w:rPr>
        <w:lastRenderedPageBreak/>
        <w:t>E</w:t>
      </w:r>
      <w:r w:rsidR="00EC2D06" w:rsidRPr="00A73ED7">
        <w:rPr>
          <w:sz w:val="27"/>
          <w:szCs w:val="27"/>
        </w:rPr>
        <w:t xml:space="preserve">stuve de acuerdo con el sentido de este apartado </w:t>
      </w:r>
      <w:r w:rsidR="008F562A" w:rsidRPr="00A73ED7">
        <w:rPr>
          <w:bCs w:val="0"/>
          <w:sz w:val="27"/>
          <w:szCs w:val="27"/>
          <w:lang w:val="es-ES"/>
        </w:rPr>
        <w:t xml:space="preserve">y </w:t>
      </w:r>
      <w:r w:rsidR="00A67937" w:rsidRPr="00A73ED7">
        <w:rPr>
          <w:bCs w:val="0"/>
          <w:sz w:val="27"/>
          <w:szCs w:val="27"/>
          <w:lang w:val="es-ES"/>
        </w:rPr>
        <w:t xml:space="preserve">con que la quejosa no </w:t>
      </w:r>
      <w:r w:rsidR="00DD1BDA" w:rsidRPr="00A73ED7">
        <w:rPr>
          <w:bCs w:val="0"/>
          <w:sz w:val="27"/>
          <w:szCs w:val="27"/>
          <w:lang w:val="es-ES"/>
        </w:rPr>
        <w:t>podía</w:t>
      </w:r>
      <w:r w:rsidR="00A67937" w:rsidRPr="00A73ED7">
        <w:rPr>
          <w:bCs w:val="0"/>
          <w:sz w:val="27"/>
          <w:szCs w:val="27"/>
          <w:lang w:val="es-ES"/>
        </w:rPr>
        <w:t xml:space="preserve"> hacer valer el derecho a la salud para exigir una motivación reforzada</w:t>
      </w:r>
      <w:r w:rsidR="008F562A" w:rsidRPr="00A73ED7">
        <w:rPr>
          <w:bCs w:val="0"/>
          <w:sz w:val="27"/>
          <w:szCs w:val="27"/>
          <w:lang w:val="es-ES"/>
        </w:rPr>
        <w:t xml:space="preserve"> </w:t>
      </w:r>
      <w:r w:rsidRPr="00A73ED7">
        <w:rPr>
          <w:bCs w:val="0"/>
          <w:sz w:val="27"/>
          <w:szCs w:val="27"/>
          <w:lang w:val="es-ES"/>
        </w:rPr>
        <w:t>en la aprobación de las normas</w:t>
      </w:r>
      <w:r w:rsidR="008E4493" w:rsidRPr="00A73ED7">
        <w:rPr>
          <w:bCs w:val="0"/>
          <w:sz w:val="27"/>
          <w:szCs w:val="27"/>
          <w:lang w:val="es-ES"/>
        </w:rPr>
        <w:t>. Sin embargo</w:t>
      </w:r>
      <w:r w:rsidR="00A67937" w:rsidRPr="00A73ED7">
        <w:rPr>
          <w:bCs w:val="0"/>
          <w:sz w:val="27"/>
          <w:szCs w:val="27"/>
          <w:lang w:val="es-ES"/>
        </w:rPr>
        <w:t xml:space="preserve">, difiero con </w:t>
      </w:r>
      <w:r w:rsidR="00975CDB" w:rsidRPr="00A73ED7">
        <w:rPr>
          <w:bCs w:val="0"/>
          <w:sz w:val="27"/>
          <w:szCs w:val="27"/>
          <w:lang w:val="es-ES"/>
        </w:rPr>
        <w:t>la resolución</w:t>
      </w:r>
      <w:r w:rsidR="00A67937" w:rsidRPr="00A73ED7">
        <w:rPr>
          <w:bCs w:val="0"/>
          <w:sz w:val="27"/>
          <w:szCs w:val="27"/>
          <w:lang w:val="es-ES"/>
        </w:rPr>
        <w:t xml:space="preserve"> en cuanto a que la razón de ello sea que </w:t>
      </w:r>
      <w:r w:rsidR="008E4493" w:rsidRPr="00A73ED7">
        <w:rPr>
          <w:bCs w:val="0"/>
          <w:sz w:val="27"/>
          <w:szCs w:val="27"/>
          <w:lang w:val="es-ES"/>
        </w:rPr>
        <w:t>la quejosa</w:t>
      </w:r>
      <w:r w:rsidR="00A67937" w:rsidRPr="00A73ED7">
        <w:rPr>
          <w:bCs w:val="0"/>
          <w:sz w:val="27"/>
          <w:szCs w:val="27"/>
          <w:lang w:val="es-ES"/>
        </w:rPr>
        <w:t xml:space="preserve"> no puede ser titular de dicho derecho, por ser una persona </w:t>
      </w:r>
      <w:r w:rsidR="008E4493" w:rsidRPr="00A73ED7">
        <w:rPr>
          <w:bCs w:val="0"/>
          <w:sz w:val="27"/>
          <w:szCs w:val="27"/>
          <w:lang w:val="es-ES"/>
        </w:rPr>
        <w:t>moral</w:t>
      </w:r>
      <w:r w:rsidR="00A67937" w:rsidRPr="00A73ED7">
        <w:rPr>
          <w:bCs w:val="0"/>
          <w:sz w:val="27"/>
          <w:szCs w:val="27"/>
          <w:lang w:val="es-ES"/>
        </w:rPr>
        <w:t>, incapaz de gozar los derechos que presuponen características intrínsecas o naturales del hombre y la mujer.</w:t>
      </w:r>
    </w:p>
    <w:p w14:paraId="244F7220" w14:textId="1C0EE944" w:rsidR="00A67937" w:rsidRPr="00A73ED7" w:rsidRDefault="00A67937" w:rsidP="00B97FCB">
      <w:pPr>
        <w:pStyle w:val="Prrafodelista"/>
        <w:rPr>
          <w:bCs w:val="0"/>
          <w:sz w:val="27"/>
          <w:szCs w:val="27"/>
          <w:lang w:val="es-ES"/>
        </w:rPr>
      </w:pPr>
      <w:r w:rsidRPr="00A73ED7">
        <w:rPr>
          <w:bCs w:val="0"/>
          <w:sz w:val="27"/>
          <w:szCs w:val="27"/>
          <w:lang w:val="es-ES"/>
        </w:rPr>
        <w:t xml:space="preserve">Este Alto Tribunal ha reconocido que, ante la existencia de normas constitucionales que reconozcan la protección de algún interés difuso en beneficio de una colectividad, ciertas personas morales –las asociaciones civiles– cuentan con interés legítimo para reclamar violaciones a derechos humanos de naturaleza colectiva, si pertenecen a dicha colectividad y si la promoción, protección o defensa del derecho se encuentren en su objeto social. En estos casos, resulta irrelevante si la asociación civil, fácticamente, puede ser titular del derecho o no; en cambio, </w:t>
      </w:r>
      <w:r w:rsidR="002654A5" w:rsidRPr="00A73ED7">
        <w:rPr>
          <w:bCs w:val="0"/>
          <w:sz w:val="27"/>
          <w:szCs w:val="27"/>
          <w:lang w:val="es-ES"/>
        </w:rPr>
        <w:t>más bien hay que atender a</w:t>
      </w:r>
      <w:r w:rsidRPr="00A73ED7">
        <w:rPr>
          <w:bCs w:val="0"/>
          <w:sz w:val="27"/>
          <w:szCs w:val="27"/>
          <w:lang w:val="es-ES"/>
        </w:rPr>
        <w:t xml:space="preserve"> si en su objeto social se encuentra la promoción, protección o defensa del derecho reclamado.</w:t>
      </w:r>
    </w:p>
    <w:p w14:paraId="16DA099F" w14:textId="3F9428E2" w:rsidR="00A67937" w:rsidRPr="00A73ED7" w:rsidRDefault="00A67937" w:rsidP="00A67937">
      <w:pPr>
        <w:pStyle w:val="Prrafodelista"/>
        <w:rPr>
          <w:bCs w:val="0"/>
          <w:sz w:val="27"/>
          <w:szCs w:val="27"/>
          <w:lang w:val="es-ES"/>
        </w:rPr>
      </w:pPr>
      <w:r w:rsidRPr="00A73ED7">
        <w:rPr>
          <w:bCs w:val="0"/>
          <w:sz w:val="27"/>
          <w:szCs w:val="27"/>
          <w:lang w:val="es-ES"/>
        </w:rPr>
        <w:t xml:space="preserve">Así pues, en este caso, si la quejosa fuera, por ejemplo, una asociación civil con el objeto de promover, proteger y defender el derecho a la salud y la sana alimentación de las mexicanas y los </w:t>
      </w:r>
      <w:r w:rsidR="002654A5" w:rsidRPr="00A73ED7">
        <w:rPr>
          <w:bCs w:val="0"/>
          <w:sz w:val="27"/>
          <w:szCs w:val="27"/>
          <w:lang w:val="es-ES"/>
        </w:rPr>
        <w:t>mexicanos</w:t>
      </w:r>
      <w:r w:rsidR="00887767" w:rsidRPr="00A73ED7">
        <w:rPr>
          <w:bCs w:val="0"/>
          <w:sz w:val="27"/>
          <w:szCs w:val="27"/>
          <w:lang w:val="es-ES"/>
        </w:rPr>
        <w:t xml:space="preserve"> habría que concluir que sí cuenta con legitimación para exigir la motivación reforzada</w:t>
      </w:r>
      <w:r w:rsidR="00872994" w:rsidRPr="00A73ED7">
        <w:rPr>
          <w:bCs w:val="0"/>
          <w:sz w:val="27"/>
          <w:szCs w:val="27"/>
          <w:lang w:val="es-ES"/>
        </w:rPr>
        <w:t>. Esto, a pesar de que fuera una persona moral y</w:t>
      </w:r>
      <w:r w:rsidR="008116C2" w:rsidRPr="00A73ED7">
        <w:rPr>
          <w:bCs w:val="0"/>
          <w:sz w:val="27"/>
          <w:szCs w:val="27"/>
          <w:lang w:val="es-ES"/>
        </w:rPr>
        <w:t>, por su naturaleza,</w:t>
      </w:r>
      <w:r w:rsidR="00872994" w:rsidRPr="00A73ED7">
        <w:rPr>
          <w:bCs w:val="0"/>
          <w:sz w:val="27"/>
          <w:szCs w:val="27"/>
          <w:lang w:val="es-ES"/>
        </w:rPr>
        <w:t xml:space="preserve"> no pueda ser titular del derecho.</w:t>
      </w:r>
    </w:p>
    <w:p w14:paraId="07CA48D7" w14:textId="7654BD9A" w:rsidR="00A67937" w:rsidRPr="00A73ED7" w:rsidRDefault="003801AC" w:rsidP="00564AC0">
      <w:pPr>
        <w:pStyle w:val="Prrafodelista"/>
        <w:rPr>
          <w:bCs w:val="0"/>
          <w:sz w:val="27"/>
          <w:szCs w:val="27"/>
          <w:lang w:val="es-ES"/>
        </w:rPr>
      </w:pPr>
      <w:r w:rsidRPr="00A73ED7">
        <w:rPr>
          <w:bCs w:val="0"/>
          <w:sz w:val="27"/>
          <w:szCs w:val="27"/>
          <w:lang w:val="es-ES"/>
        </w:rPr>
        <w:t>Por estas razones</w:t>
      </w:r>
      <w:r w:rsidR="00A67937" w:rsidRPr="00A73ED7">
        <w:rPr>
          <w:bCs w:val="0"/>
          <w:sz w:val="27"/>
          <w:szCs w:val="27"/>
          <w:lang w:val="es-ES"/>
        </w:rPr>
        <w:t>, consider</w:t>
      </w:r>
      <w:r w:rsidRPr="00A73ED7">
        <w:rPr>
          <w:bCs w:val="0"/>
          <w:sz w:val="27"/>
          <w:szCs w:val="27"/>
          <w:lang w:val="es-ES"/>
        </w:rPr>
        <w:t>é</w:t>
      </w:r>
      <w:r w:rsidR="00A67937" w:rsidRPr="00A73ED7">
        <w:rPr>
          <w:bCs w:val="0"/>
          <w:sz w:val="27"/>
          <w:szCs w:val="27"/>
          <w:lang w:val="es-ES"/>
        </w:rPr>
        <w:t xml:space="preserve"> que el </w:t>
      </w:r>
      <w:r w:rsidR="00852F34" w:rsidRPr="00A73ED7">
        <w:rPr>
          <w:bCs w:val="0"/>
          <w:sz w:val="27"/>
          <w:szCs w:val="27"/>
          <w:lang w:val="es-ES"/>
        </w:rPr>
        <w:t>planteamiento era</w:t>
      </w:r>
      <w:r w:rsidR="00A67937" w:rsidRPr="00A73ED7">
        <w:rPr>
          <w:bCs w:val="0"/>
          <w:sz w:val="27"/>
          <w:szCs w:val="27"/>
          <w:lang w:val="es-ES"/>
        </w:rPr>
        <w:t xml:space="preserve"> infundado, </w:t>
      </w:r>
      <w:r w:rsidR="00852F34" w:rsidRPr="00A73ED7">
        <w:rPr>
          <w:bCs w:val="0"/>
          <w:sz w:val="27"/>
          <w:szCs w:val="27"/>
          <w:lang w:val="es-ES"/>
        </w:rPr>
        <w:t xml:space="preserve">pero </w:t>
      </w:r>
      <w:r w:rsidR="00A67937" w:rsidRPr="00A73ED7">
        <w:rPr>
          <w:bCs w:val="0"/>
          <w:sz w:val="27"/>
          <w:szCs w:val="27"/>
          <w:lang w:val="es-ES"/>
        </w:rPr>
        <w:t xml:space="preserve">por la </w:t>
      </w:r>
      <w:r w:rsidR="00852F34" w:rsidRPr="00A73ED7">
        <w:rPr>
          <w:bCs w:val="0"/>
          <w:sz w:val="27"/>
          <w:szCs w:val="27"/>
          <w:lang w:val="es-ES"/>
        </w:rPr>
        <w:t xml:space="preserve">misma </w:t>
      </w:r>
      <w:r w:rsidR="00A67937" w:rsidRPr="00A73ED7">
        <w:rPr>
          <w:bCs w:val="0"/>
          <w:sz w:val="27"/>
          <w:szCs w:val="27"/>
          <w:lang w:val="es-ES"/>
        </w:rPr>
        <w:t xml:space="preserve">razón </w:t>
      </w:r>
      <w:r w:rsidR="002654A5" w:rsidRPr="00A73ED7">
        <w:rPr>
          <w:bCs w:val="0"/>
          <w:sz w:val="27"/>
          <w:szCs w:val="27"/>
          <w:lang w:val="es-ES"/>
        </w:rPr>
        <w:t>que</w:t>
      </w:r>
      <w:r w:rsidR="00852F34" w:rsidRPr="00A73ED7">
        <w:rPr>
          <w:bCs w:val="0"/>
          <w:sz w:val="27"/>
          <w:szCs w:val="27"/>
          <w:lang w:val="es-ES"/>
        </w:rPr>
        <w:t xml:space="preserve"> </w:t>
      </w:r>
      <w:r w:rsidR="00A67937" w:rsidRPr="00A73ED7">
        <w:rPr>
          <w:bCs w:val="0"/>
          <w:sz w:val="27"/>
          <w:szCs w:val="27"/>
          <w:lang w:val="es-ES"/>
        </w:rPr>
        <w:t xml:space="preserve">la quejosa </w:t>
      </w:r>
      <w:r w:rsidR="002654A5" w:rsidRPr="00A73ED7">
        <w:rPr>
          <w:bCs w:val="0"/>
          <w:sz w:val="27"/>
          <w:szCs w:val="27"/>
          <w:lang w:val="es-ES"/>
        </w:rPr>
        <w:t>no</w:t>
      </w:r>
      <w:r w:rsidR="00852F34" w:rsidRPr="00A73ED7">
        <w:rPr>
          <w:bCs w:val="0"/>
          <w:sz w:val="27"/>
          <w:szCs w:val="27"/>
          <w:lang w:val="es-ES"/>
        </w:rPr>
        <w:t xml:space="preserve"> </w:t>
      </w:r>
      <w:r w:rsidR="00A67937" w:rsidRPr="00A73ED7">
        <w:rPr>
          <w:bCs w:val="0"/>
          <w:sz w:val="27"/>
          <w:szCs w:val="27"/>
          <w:lang w:val="es-ES"/>
        </w:rPr>
        <w:t>puede exigir una motivación reforzada en relación con el derecho de protección del consumidor. Esto es, que el recurrente comparec</w:t>
      </w:r>
      <w:r w:rsidR="00E5280B" w:rsidRPr="00A73ED7">
        <w:rPr>
          <w:bCs w:val="0"/>
          <w:sz w:val="27"/>
          <w:szCs w:val="27"/>
          <w:lang w:val="es-ES"/>
        </w:rPr>
        <w:t>ió</w:t>
      </w:r>
      <w:r w:rsidR="00A67937" w:rsidRPr="00A73ED7">
        <w:rPr>
          <w:bCs w:val="0"/>
          <w:sz w:val="27"/>
          <w:szCs w:val="27"/>
          <w:lang w:val="es-ES"/>
        </w:rPr>
        <w:t xml:space="preserve"> como productora y comercializadora de alimentos y bebidas, argumentando que las normas impugnadas les imponen cargas a sus productos, y </w:t>
      </w:r>
      <w:r w:rsidR="00E5280B" w:rsidRPr="00A73ED7">
        <w:rPr>
          <w:bCs w:val="0"/>
          <w:sz w:val="27"/>
          <w:szCs w:val="27"/>
          <w:lang w:val="es-ES"/>
        </w:rPr>
        <w:t>no</w:t>
      </w:r>
      <w:r w:rsidR="00A67937" w:rsidRPr="00A73ED7">
        <w:rPr>
          <w:bCs w:val="0"/>
          <w:sz w:val="27"/>
          <w:szCs w:val="27"/>
          <w:lang w:val="es-ES"/>
        </w:rPr>
        <w:t xml:space="preserve"> como una organización que tenga el objeto de proteger los derechos de las y los consumidores, o de proteger el derecho a la salud y sana alimentación.</w:t>
      </w:r>
    </w:p>
    <w:p w14:paraId="08A4A7D1" w14:textId="5EED2724" w:rsidR="00B70CD1" w:rsidRPr="00A73ED7" w:rsidRDefault="0077436B" w:rsidP="00A67937">
      <w:pPr>
        <w:pStyle w:val="Prrafodelista"/>
        <w:rPr>
          <w:sz w:val="27"/>
          <w:szCs w:val="27"/>
        </w:rPr>
      </w:pPr>
      <w:r w:rsidRPr="00A73ED7">
        <w:rPr>
          <w:sz w:val="27"/>
          <w:szCs w:val="27"/>
        </w:rPr>
        <w:t>Asimismo</w:t>
      </w:r>
      <w:r w:rsidR="00A67937" w:rsidRPr="00A73ED7">
        <w:rPr>
          <w:sz w:val="27"/>
          <w:szCs w:val="27"/>
        </w:rPr>
        <w:t>,</w:t>
      </w:r>
      <w:r w:rsidRPr="00A73ED7">
        <w:rPr>
          <w:sz w:val="27"/>
          <w:szCs w:val="27"/>
        </w:rPr>
        <w:t xml:space="preserve"> por lo anterior</w:t>
      </w:r>
      <w:r w:rsidR="00AF5155" w:rsidRPr="00A73ED7">
        <w:rPr>
          <w:sz w:val="27"/>
          <w:szCs w:val="27"/>
        </w:rPr>
        <w:t>,</w:t>
      </w:r>
      <w:r w:rsidRPr="00A73ED7">
        <w:rPr>
          <w:sz w:val="27"/>
          <w:szCs w:val="27"/>
        </w:rPr>
        <w:t xml:space="preserve"> también</w:t>
      </w:r>
      <w:r w:rsidR="00A67937" w:rsidRPr="00A73ED7">
        <w:rPr>
          <w:sz w:val="27"/>
          <w:szCs w:val="27"/>
        </w:rPr>
        <w:t xml:space="preserve"> </w:t>
      </w:r>
      <w:r w:rsidR="00E5280B" w:rsidRPr="00A73ED7">
        <w:rPr>
          <w:sz w:val="27"/>
          <w:szCs w:val="27"/>
        </w:rPr>
        <w:t>me separé</w:t>
      </w:r>
      <w:r w:rsidR="00A67937" w:rsidRPr="00A73ED7">
        <w:rPr>
          <w:sz w:val="27"/>
          <w:szCs w:val="27"/>
        </w:rPr>
        <w:t xml:space="preserve"> de los párrafos </w:t>
      </w:r>
      <w:r w:rsidRPr="00A73ED7">
        <w:rPr>
          <w:sz w:val="27"/>
          <w:szCs w:val="27"/>
        </w:rPr>
        <w:t>38</w:t>
      </w:r>
      <w:r w:rsidR="00A67937" w:rsidRPr="00A73ED7">
        <w:rPr>
          <w:sz w:val="27"/>
          <w:szCs w:val="27"/>
        </w:rPr>
        <w:t xml:space="preserve"> a </w:t>
      </w:r>
      <w:r w:rsidRPr="00A73ED7">
        <w:rPr>
          <w:sz w:val="27"/>
          <w:szCs w:val="27"/>
        </w:rPr>
        <w:t>44</w:t>
      </w:r>
      <w:r w:rsidR="00A67937" w:rsidRPr="00A73ED7">
        <w:rPr>
          <w:sz w:val="27"/>
          <w:szCs w:val="27"/>
        </w:rPr>
        <w:t>.</w:t>
      </w:r>
    </w:p>
    <w:p w14:paraId="6796D77E" w14:textId="0AFACF9C" w:rsidR="00F82B82" w:rsidRPr="00A73ED7" w:rsidRDefault="003B553F" w:rsidP="00D338AE">
      <w:pPr>
        <w:pStyle w:val="Prrafodelista"/>
        <w:numPr>
          <w:ilvl w:val="1"/>
          <w:numId w:val="9"/>
        </w:numPr>
        <w:rPr>
          <w:sz w:val="27"/>
          <w:szCs w:val="27"/>
          <w:u w:val="single"/>
        </w:rPr>
      </w:pPr>
      <w:r w:rsidRPr="00A73ED7">
        <w:rPr>
          <w:sz w:val="27"/>
          <w:szCs w:val="27"/>
          <w:u w:val="single"/>
        </w:rPr>
        <w:lastRenderedPageBreak/>
        <w:t>Test de proporcionalidad</w:t>
      </w:r>
      <w:r w:rsidR="00A73ED7" w:rsidRPr="00A73ED7">
        <w:rPr>
          <w:sz w:val="27"/>
          <w:szCs w:val="27"/>
          <w:u w:val="single"/>
        </w:rPr>
        <w:t>.</w:t>
      </w:r>
    </w:p>
    <w:p w14:paraId="2918AE65" w14:textId="66F556D9" w:rsidR="00453FF7" w:rsidRPr="00A73ED7" w:rsidRDefault="0098238B" w:rsidP="00453FF7">
      <w:pPr>
        <w:pStyle w:val="Prrafodelista"/>
        <w:rPr>
          <w:sz w:val="27"/>
          <w:szCs w:val="27"/>
        </w:rPr>
      </w:pPr>
      <w:r w:rsidRPr="00A73ED7">
        <w:rPr>
          <w:sz w:val="27"/>
          <w:szCs w:val="27"/>
        </w:rPr>
        <w:t>En segunda instancia</w:t>
      </w:r>
      <w:r w:rsidR="00031547" w:rsidRPr="00A73ED7">
        <w:rPr>
          <w:sz w:val="27"/>
          <w:szCs w:val="27"/>
        </w:rPr>
        <w:t>,</w:t>
      </w:r>
      <w:r w:rsidRPr="00A73ED7">
        <w:rPr>
          <w:sz w:val="27"/>
          <w:szCs w:val="27"/>
        </w:rPr>
        <w:t xml:space="preserve"> el subapartado</w:t>
      </w:r>
      <w:r w:rsidR="00031547" w:rsidRPr="00A73ED7">
        <w:rPr>
          <w:sz w:val="27"/>
          <w:szCs w:val="27"/>
        </w:rPr>
        <w:t xml:space="preserve"> </w:t>
      </w:r>
      <w:r w:rsidR="00303423" w:rsidRPr="00A73ED7">
        <w:rPr>
          <w:sz w:val="27"/>
          <w:szCs w:val="27"/>
        </w:rPr>
        <w:t xml:space="preserve">realiza un test de proporcionalidad para evaluar si </w:t>
      </w:r>
      <w:r w:rsidR="00AE3AC7" w:rsidRPr="00A73ED7">
        <w:rPr>
          <w:sz w:val="27"/>
          <w:szCs w:val="27"/>
        </w:rPr>
        <w:t xml:space="preserve">el sistema de etiquetado previsto en </w:t>
      </w:r>
      <w:r w:rsidR="00303423" w:rsidRPr="00A73ED7">
        <w:rPr>
          <w:sz w:val="27"/>
          <w:szCs w:val="27"/>
        </w:rPr>
        <w:t>las disposiciones de la LGS vulnera la libertad de comercio y de concurrencia</w:t>
      </w:r>
      <w:r w:rsidR="00AE3AC7" w:rsidRPr="00A73ED7">
        <w:rPr>
          <w:sz w:val="27"/>
          <w:szCs w:val="27"/>
        </w:rPr>
        <w:t xml:space="preserve">. </w:t>
      </w:r>
      <w:r w:rsidR="004214AA" w:rsidRPr="00A73ED7">
        <w:rPr>
          <w:sz w:val="27"/>
          <w:szCs w:val="27"/>
        </w:rPr>
        <w:t xml:space="preserve">Se concluye que la medida es proporcional frente al fin de proteger la salud y lograr una alimentación balanceada en la población mexicana, por lo que </w:t>
      </w:r>
      <w:r w:rsidR="007514A7" w:rsidRPr="00A73ED7">
        <w:rPr>
          <w:sz w:val="27"/>
          <w:szCs w:val="27"/>
        </w:rPr>
        <w:t xml:space="preserve">se </w:t>
      </w:r>
      <w:r w:rsidR="002B159B" w:rsidRPr="00A73ED7">
        <w:rPr>
          <w:sz w:val="27"/>
          <w:szCs w:val="27"/>
        </w:rPr>
        <w:t>declaran infundados los argumentos de la quejosa.</w:t>
      </w:r>
    </w:p>
    <w:p w14:paraId="07331BCE" w14:textId="77523DC5" w:rsidR="002B159B" w:rsidRPr="00A73ED7" w:rsidRDefault="00C4697F" w:rsidP="00453FF7">
      <w:pPr>
        <w:pStyle w:val="Prrafodelista"/>
        <w:rPr>
          <w:sz w:val="27"/>
          <w:szCs w:val="27"/>
        </w:rPr>
      </w:pPr>
      <w:r w:rsidRPr="00A73ED7">
        <w:rPr>
          <w:sz w:val="27"/>
          <w:szCs w:val="27"/>
        </w:rPr>
        <w:t xml:space="preserve">Yo estuve a favor del sentido y de la argumentación en general, </w:t>
      </w:r>
      <w:r w:rsidR="00FD53E7" w:rsidRPr="00A73ED7">
        <w:rPr>
          <w:sz w:val="27"/>
          <w:szCs w:val="27"/>
        </w:rPr>
        <w:t xml:space="preserve">salvo por </w:t>
      </w:r>
      <w:r w:rsidR="00453FF7" w:rsidRPr="00A73ED7">
        <w:rPr>
          <w:sz w:val="27"/>
          <w:szCs w:val="27"/>
        </w:rPr>
        <w:t>las precisiones que señalo a continuación.</w:t>
      </w:r>
    </w:p>
    <w:p w14:paraId="4CFFBABE" w14:textId="247BBF13" w:rsidR="00E76588" w:rsidRPr="00A73ED7" w:rsidRDefault="00453FF7" w:rsidP="00453FF7">
      <w:pPr>
        <w:pStyle w:val="Prrafodelista"/>
        <w:rPr>
          <w:sz w:val="27"/>
          <w:szCs w:val="27"/>
        </w:rPr>
      </w:pPr>
      <w:r w:rsidRPr="00A73ED7">
        <w:rPr>
          <w:sz w:val="27"/>
          <w:szCs w:val="27"/>
        </w:rPr>
        <w:t xml:space="preserve">En primer lugar, </w:t>
      </w:r>
      <w:r w:rsidR="0008163A" w:rsidRPr="00A73ED7">
        <w:rPr>
          <w:sz w:val="27"/>
          <w:szCs w:val="27"/>
        </w:rPr>
        <w:t xml:space="preserve">en cuanto a la metodología del </w:t>
      </w:r>
      <w:r w:rsidR="00C438BA" w:rsidRPr="00A73ED7">
        <w:rPr>
          <w:sz w:val="27"/>
          <w:szCs w:val="27"/>
        </w:rPr>
        <w:t xml:space="preserve">análisis, </w:t>
      </w:r>
      <w:r w:rsidR="00C40ED2" w:rsidRPr="00A73ED7">
        <w:rPr>
          <w:sz w:val="27"/>
          <w:szCs w:val="27"/>
        </w:rPr>
        <w:t>m</w:t>
      </w:r>
      <w:r w:rsidR="003425C1" w:rsidRPr="00A73ED7">
        <w:rPr>
          <w:sz w:val="27"/>
          <w:szCs w:val="27"/>
        </w:rPr>
        <w:t>i postura es que aquí</w:t>
      </w:r>
      <w:r w:rsidR="00C40ED2" w:rsidRPr="00A73ED7">
        <w:rPr>
          <w:sz w:val="27"/>
          <w:szCs w:val="27"/>
        </w:rPr>
        <w:t xml:space="preserve"> no resulta necesario hablar de niveles de escrutinio</w:t>
      </w:r>
      <w:r w:rsidR="003425C1" w:rsidRPr="00A73ED7">
        <w:rPr>
          <w:sz w:val="27"/>
          <w:szCs w:val="27"/>
        </w:rPr>
        <w:t>,</w:t>
      </w:r>
      <w:r w:rsidR="00C40ED2" w:rsidRPr="00A73ED7">
        <w:rPr>
          <w:sz w:val="27"/>
          <w:szCs w:val="27"/>
        </w:rPr>
        <w:t xml:space="preserve"> </w:t>
      </w:r>
      <w:r w:rsidR="00C438BA" w:rsidRPr="00A73ED7">
        <w:rPr>
          <w:sz w:val="27"/>
          <w:szCs w:val="27"/>
        </w:rPr>
        <w:t xml:space="preserve">dado que se realiza un </w:t>
      </w:r>
      <w:r w:rsidR="00634F72" w:rsidRPr="00A73ED7">
        <w:rPr>
          <w:sz w:val="27"/>
          <w:szCs w:val="27"/>
        </w:rPr>
        <w:t>test de proporcionalidad</w:t>
      </w:r>
      <w:r w:rsidR="00C40ED2" w:rsidRPr="00A73ED7">
        <w:rPr>
          <w:sz w:val="27"/>
          <w:szCs w:val="27"/>
        </w:rPr>
        <w:t>.</w:t>
      </w:r>
      <w:r w:rsidR="00C438BA" w:rsidRPr="00A73ED7">
        <w:rPr>
          <w:sz w:val="27"/>
          <w:szCs w:val="27"/>
        </w:rPr>
        <w:t xml:space="preserve"> </w:t>
      </w:r>
      <w:r w:rsidR="00770801" w:rsidRPr="00A73ED7">
        <w:rPr>
          <w:sz w:val="27"/>
          <w:szCs w:val="27"/>
        </w:rPr>
        <w:t xml:space="preserve">Los niveles de escrutinio (ordinario o estricto) son </w:t>
      </w:r>
      <w:r w:rsidR="00367D09" w:rsidRPr="00A73ED7">
        <w:rPr>
          <w:sz w:val="27"/>
          <w:szCs w:val="27"/>
        </w:rPr>
        <w:t>más bien</w:t>
      </w:r>
      <w:r w:rsidR="00CB751A" w:rsidRPr="00A73ED7">
        <w:rPr>
          <w:sz w:val="27"/>
          <w:szCs w:val="27"/>
        </w:rPr>
        <w:t xml:space="preserve"> consideraciones relevantes</w:t>
      </w:r>
      <w:r w:rsidR="00770801" w:rsidRPr="00A73ED7">
        <w:rPr>
          <w:sz w:val="27"/>
          <w:szCs w:val="27"/>
        </w:rPr>
        <w:t xml:space="preserve"> </w:t>
      </w:r>
      <w:r w:rsidR="00367D09" w:rsidRPr="00A73ED7">
        <w:rPr>
          <w:sz w:val="27"/>
          <w:szCs w:val="27"/>
        </w:rPr>
        <w:t xml:space="preserve">cuando se realiza un test de igualdad, el cual </w:t>
      </w:r>
      <w:r w:rsidR="009E42A3" w:rsidRPr="00A73ED7">
        <w:rPr>
          <w:sz w:val="27"/>
          <w:szCs w:val="27"/>
        </w:rPr>
        <w:t xml:space="preserve">se </w:t>
      </w:r>
      <w:r w:rsidR="0082605D" w:rsidRPr="00A73ED7">
        <w:rPr>
          <w:sz w:val="27"/>
          <w:szCs w:val="27"/>
        </w:rPr>
        <w:t xml:space="preserve">aplica </w:t>
      </w:r>
      <w:r w:rsidR="009E42A3" w:rsidRPr="00A73ED7">
        <w:rPr>
          <w:sz w:val="27"/>
          <w:szCs w:val="27"/>
        </w:rPr>
        <w:t xml:space="preserve">cuando </w:t>
      </w:r>
      <w:r w:rsidR="00BA46F3" w:rsidRPr="00A73ED7">
        <w:rPr>
          <w:sz w:val="27"/>
          <w:szCs w:val="27"/>
        </w:rPr>
        <w:t>se argumenta una afectación al derecho de igualdad.</w:t>
      </w:r>
      <w:r w:rsidR="0082605D" w:rsidRPr="00A73ED7">
        <w:rPr>
          <w:sz w:val="27"/>
          <w:szCs w:val="27"/>
        </w:rPr>
        <w:t xml:space="preserve"> </w:t>
      </w:r>
      <w:r w:rsidR="00456B71" w:rsidRPr="00A73ED7">
        <w:rPr>
          <w:sz w:val="27"/>
          <w:szCs w:val="27"/>
        </w:rPr>
        <w:t xml:space="preserve">Sin embargo, en este caso, se estudia una afectación al derecho a </w:t>
      </w:r>
      <w:r w:rsidR="00C94571" w:rsidRPr="00A73ED7">
        <w:rPr>
          <w:sz w:val="27"/>
          <w:szCs w:val="27"/>
        </w:rPr>
        <w:t>la libertad de comercio y de concurrencia.</w:t>
      </w:r>
    </w:p>
    <w:p w14:paraId="69DDE4D6" w14:textId="7F2C542D" w:rsidR="00453FF7" w:rsidRPr="00A73ED7" w:rsidRDefault="00845FDD" w:rsidP="00453FF7">
      <w:pPr>
        <w:pStyle w:val="Prrafodelista"/>
        <w:rPr>
          <w:sz w:val="27"/>
          <w:szCs w:val="27"/>
        </w:rPr>
      </w:pPr>
      <w:r w:rsidRPr="00A73ED7">
        <w:rPr>
          <w:sz w:val="27"/>
          <w:szCs w:val="27"/>
        </w:rPr>
        <w:t>En segundo lugar</w:t>
      </w:r>
      <w:r w:rsidR="0082605D" w:rsidRPr="00A73ED7">
        <w:rPr>
          <w:sz w:val="27"/>
          <w:szCs w:val="27"/>
        </w:rPr>
        <w:t xml:space="preserve">, </w:t>
      </w:r>
      <w:r w:rsidRPr="00A73ED7">
        <w:rPr>
          <w:sz w:val="27"/>
          <w:szCs w:val="27"/>
        </w:rPr>
        <w:t xml:space="preserve">el estudio de </w:t>
      </w:r>
      <w:r w:rsidR="0082605D" w:rsidRPr="00A73ED7">
        <w:rPr>
          <w:sz w:val="27"/>
          <w:szCs w:val="27"/>
        </w:rPr>
        <w:t>la etapa de igualdad</w:t>
      </w:r>
      <w:r w:rsidR="00C8374A" w:rsidRPr="00A73ED7">
        <w:rPr>
          <w:sz w:val="27"/>
          <w:szCs w:val="27"/>
        </w:rPr>
        <w:t xml:space="preserve"> se</w:t>
      </w:r>
      <w:r w:rsidR="00F2480B" w:rsidRPr="00A73ED7">
        <w:rPr>
          <w:sz w:val="27"/>
          <w:szCs w:val="27"/>
        </w:rPr>
        <w:t xml:space="preserve">ñala </w:t>
      </w:r>
      <w:r w:rsidR="00DD4DD4" w:rsidRPr="00A73ED7">
        <w:rPr>
          <w:sz w:val="27"/>
          <w:szCs w:val="27"/>
        </w:rPr>
        <w:t xml:space="preserve">(en el párrafo 117) </w:t>
      </w:r>
      <w:r w:rsidR="00F2480B" w:rsidRPr="00A73ED7">
        <w:rPr>
          <w:sz w:val="27"/>
          <w:szCs w:val="27"/>
        </w:rPr>
        <w:t xml:space="preserve">que la medida </w:t>
      </w:r>
      <w:r w:rsidR="00E55C2A" w:rsidRPr="00A73ED7">
        <w:rPr>
          <w:sz w:val="27"/>
          <w:szCs w:val="27"/>
        </w:rPr>
        <w:t xml:space="preserve">legislativa resulta ser el medio idóneo, apto y adecuado para cumplir con la finalidad </w:t>
      </w:r>
      <w:r w:rsidR="00DD4DD4" w:rsidRPr="00A73ED7">
        <w:rPr>
          <w:sz w:val="27"/>
          <w:szCs w:val="27"/>
        </w:rPr>
        <w:t xml:space="preserve">constitucional. Sin embargo, </w:t>
      </w:r>
      <w:r w:rsidR="008205E1" w:rsidRPr="00A73ED7">
        <w:rPr>
          <w:sz w:val="27"/>
          <w:szCs w:val="27"/>
        </w:rPr>
        <w:t xml:space="preserve">me parece que el pronunciamiento de que la medida es apta y adecuada </w:t>
      </w:r>
      <w:r w:rsidR="001244BC" w:rsidRPr="00A73ED7">
        <w:rPr>
          <w:sz w:val="27"/>
          <w:szCs w:val="27"/>
        </w:rPr>
        <w:t xml:space="preserve">no es pertinente en esta etapa, pues la idoneidad de la medida únicamente depende de que la medida esté encaminada, en alguna medida, </w:t>
      </w:r>
      <w:r w:rsidR="004A04A7" w:rsidRPr="00A73ED7">
        <w:rPr>
          <w:sz w:val="27"/>
          <w:szCs w:val="27"/>
        </w:rPr>
        <w:t>a</w:t>
      </w:r>
      <w:r w:rsidR="001244BC" w:rsidRPr="00A73ED7">
        <w:rPr>
          <w:sz w:val="27"/>
          <w:szCs w:val="27"/>
        </w:rPr>
        <w:t xml:space="preserve"> alcanzar la finalidad de la misma.</w:t>
      </w:r>
    </w:p>
    <w:p w14:paraId="14B4D271" w14:textId="0E929F9B" w:rsidR="00770862" w:rsidRPr="00A73ED7" w:rsidRDefault="00956BE5" w:rsidP="00453FF7">
      <w:pPr>
        <w:pStyle w:val="Prrafodelista"/>
        <w:rPr>
          <w:sz w:val="27"/>
          <w:szCs w:val="27"/>
        </w:rPr>
      </w:pPr>
      <w:r w:rsidRPr="00A73ED7">
        <w:rPr>
          <w:sz w:val="27"/>
          <w:szCs w:val="27"/>
        </w:rPr>
        <w:t>En tercer lugar, m</w:t>
      </w:r>
      <w:r w:rsidR="00770862" w:rsidRPr="00A73ED7">
        <w:rPr>
          <w:sz w:val="27"/>
          <w:szCs w:val="27"/>
        </w:rPr>
        <w:t xml:space="preserve">e separé del párrafo 95, que desarrolla la protección al orden público como </w:t>
      </w:r>
      <w:r w:rsidR="002B4977" w:rsidRPr="00A73ED7">
        <w:rPr>
          <w:sz w:val="27"/>
          <w:szCs w:val="27"/>
        </w:rPr>
        <w:t>principio constitucional en íntima relación al derecho a la salud, pues me parece que no resultaba relevante para el estudio realizado en el apartado.</w:t>
      </w:r>
    </w:p>
    <w:p w14:paraId="4FD80BB1" w14:textId="6AA036E1" w:rsidR="00A11FAC" w:rsidRPr="00A73ED7" w:rsidRDefault="00A11FAC" w:rsidP="00453FF7">
      <w:pPr>
        <w:pStyle w:val="Prrafodelista"/>
        <w:rPr>
          <w:sz w:val="27"/>
          <w:szCs w:val="27"/>
        </w:rPr>
      </w:pPr>
      <w:r w:rsidRPr="00A73ED7">
        <w:rPr>
          <w:sz w:val="27"/>
          <w:szCs w:val="27"/>
        </w:rPr>
        <w:t xml:space="preserve">Finalmente, me separé de los párrafos 162 a 164, puesto que </w:t>
      </w:r>
      <w:r w:rsidR="00173DE6" w:rsidRPr="00A73ED7">
        <w:rPr>
          <w:sz w:val="27"/>
          <w:szCs w:val="27"/>
        </w:rPr>
        <w:t>consider</w:t>
      </w:r>
      <w:r w:rsidR="005563D7" w:rsidRPr="00A73ED7">
        <w:rPr>
          <w:sz w:val="27"/>
          <w:szCs w:val="27"/>
        </w:rPr>
        <w:t>é que los argumentos ahí analizados deberían de ser calificados de infundados en lugar de inoperantes</w:t>
      </w:r>
      <w:r w:rsidR="006E5361" w:rsidRPr="00A73ED7">
        <w:rPr>
          <w:sz w:val="27"/>
          <w:szCs w:val="27"/>
        </w:rPr>
        <w:t>, por las</w:t>
      </w:r>
      <w:r w:rsidR="004A04A7" w:rsidRPr="00A73ED7">
        <w:rPr>
          <w:sz w:val="27"/>
          <w:szCs w:val="27"/>
        </w:rPr>
        <w:t xml:space="preserve"> mismas</w:t>
      </w:r>
      <w:r w:rsidR="006E5361" w:rsidRPr="00A73ED7">
        <w:rPr>
          <w:sz w:val="27"/>
          <w:szCs w:val="27"/>
        </w:rPr>
        <w:t xml:space="preserve"> razones desarrolladas en el test de proporcionalidad.</w:t>
      </w:r>
    </w:p>
    <w:p w14:paraId="04A844E3" w14:textId="52FB5934" w:rsidR="00472BD0" w:rsidRPr="00A73ED7" w:rsidRDefault="00472BD0" w:rsidP="00855ABC">
      <w:pPr>
        <w:pStyle w:val="Ttulo1"/>
        <w:rPr>
          <w:sz w:val="27"/>
          <w:szCs w:val="27"/>
        </w:rPr>
      </w:pPr>
      <w:r w:rsidRPr="00A73ED7">
        <w:rPr>
          <w:sz w:val="27"/>
          <w:szCs w:val="27"/>
        </w:rPr>
        <w:lastRenderedPageBreak/>
        <w:t xml:space="preserve">IV. </w:t>
      </w:r>
      <w:r w:rsidR="00A61B8A" w:rsidRPr="00A73ED7">
        <w:rPr>
          <w:sz w:val="27"/>
          <w:szCs w:val="27"/>
        </w:rPr>
        <w:t>Concurrencia en cuanto al estudio de</w:t>
      </w:r>
      <w:r w:rsidR="006E432F" w:rsidRPr="00A73ED7">
        <w:rPr>
          <w:sz w:val="27"/>
          <w:szCs w:val="27"/>
        </w:rPr>
        <w:t xml:space="preserve"> constitucionalidad de </w:t>
      </w:r>
      <w:r w:rsidR="00A636FF" w:rsidRPr="00A73ED7">
        <w:rPr>
          <w:sz w:val="27"/>
          <w:szCs w:val="27"/>
        </w:rPr>
        <w:t>la Modificación a la NOM-051-SCFI/SSA1-2010</w:t>
      </w:r>
      <w:r w:rsidR="00A73ED7" w:rsidRPr="00A73ED7">
        <w:rPr>
          <w:sz w:val="27"/>
          <w:szCs w:val="27"/>
        </w:rPr>
        <w:t>.</w:t>
      </w:r>
    </w:p>
    <w:p w14:paraId="7F04E94A" w14:textId="7C295795" w:rsidR="00A61B8A" w:rsidRPr="00A73ED7" w:rsidRDefault="00667906" w:rsidP="00BD3293">
      <w:pPr>
        <w:pStyle w:val="Prrafodelista"/>
        <w:rPr>
          <w:sz w:val="27"/>
          <w:szCs w:val="27"/>
        </w:rPr>
      </w:pPr>
      <w:r w:rsidRPr="00A73ED7">
        <w:rPr>
          <w:sz w:val="27"/>
          <w:szCs w:val="27"/>
        </w:rPr>
        <w:t>En el</w:t>
      </w:r>
      <w:r w:rsidR="00A950E8" w:rsidRPr="00A73ED7">
        <w:rPr>
          <w:sz w:val="27"/>
          <w:szCs w:val="27"/>
        </w:rPr>
        <w:t xml:space="preserve"> segundo sub</w:t>
      </w:r>
      <w:r w:rsidRPr="00A73ED7">
        <w:rPr>
          <w:sz w:val="27"/>
          <w:szCs w:val="27"/>
        </w:rPr>
        <w:t xml:space="preserve">apartado </w:t>
      </w:r>
      <w:r w:rsidR="00A950E8" w:rsidRPr="00A73ED7">
        <w:rPr>
          <w:sz w:val="27"/>
          <w:szCs w:val="27"/>
        </w:rPr>
        <w:t>del estudio de fondo (</w:t>
      </w:r>
      <w:r w:rsidR="00D1554C" w:rsidRPr="00A73ED7">
        <w:rPr>
          <w:sz w:val="27"/>
          <w:szCs w:val="27"/>
        </w:rPr>
        <w:t>“</w:t>
      </w:r>
      <w:r w:rsidRPr="00A73ED7">
        <w:rPr>
          <w:i/>
          <w:iCs/>
          <w:sz w:val="27"/>
          <w:szCs w:val="27"/>
        </w:rPr>
        <w:t>II</w:t>
      </w:r>
      <w:r w:rsidR="00A950E8" w:rsidRPr="00A73ED7">
        <w:rPr>
          <w:i/>
          <w:iCs/>
          <w:sz w:val="27"/>
          <w:szCs w:val="27"/>
        </w:rPr>
        <w:t xml:space="preserve">. </w:t>
      </w:r>
      <w:r w:rsidR="00D1554C" w:rsidRPr="00A73ED7">
        <w:rPr>
          <w:i/>
          <w:iCs/>
          <w:sz w:val="27"/>
          <w:szCs w:val="27"/>
        </w:rPr>
        <w:t>Alegaciones de inconstitucionalidad de la Modificación a la Norma Oficial Mexicana NOM-051-SCFI/SSA1-2010</w:t>
      </w:r>
      <w:r w:rsidR="00D1554C" w:rsidRPr="00A73ED7">
        <w:rPr>
          <w:sz w:val="27"/>
          <w:szCs w:val="27"/>
        </w:rPr>
        <w:t>”)</w:t>
      </w:r>
      <w:r w:rsidRPr="00A73ED7">
        <w:rPr>
          <w:sz w:val="27"/>
          <w:szCs w:val="27"/>
        </w:rPr>
        <w:t xml:space="preserve">, </w:t>
      </w:r>
      <w:r w:rsidR="00CD4153" w:rsidRPr="00A73ED7">
        <w:rPr>
          <w:sz w:val="27"/>
          <w:szCs w:val="27"/>
        </w:rPr>
        <w:t xml:space="preserve">se estudian los </w:t>
      </w:r>
      <w:r w:rsidR="0081432F" w:rsidRPr="00A73ED7">
        <w:rPr>
          <w:sz w:val="27"/>
          <w:szCs w:val="27"/>
        </w:rPr>
        <w:t xml:space="preserve">argumentos de la quejosa en </w:t>
      </w:r>
      <w:r w:rsidR="0093276A" w:rsidRPr="00A73ED7">
        <w:rPr>
          <w:sz w:val="27"/>
          <w:szCs w:val="27"/>
        </w:rPr>
        <w:t xml:space="preserve">los </w:t>
      </w:r>
      <w:r w:rsidR="0081432F" w:rsidRPr="00A73ED7">
        <w:rPr>
          <w:sz w:val="27"/>
          <w:szCs w:val="27"/>
        </w:rPr>
        <w:t>que aleg</w:t>
      </w:r>
      <w:r w:rsidR="00F07426" w:rsidRPr="00A73ED7">
        <w:rPr>
          <w:sz w:val="27"/>
          <w:szCs w:val="27"/>
        </w:rPr>
        <w:t>ó</w:t>
      </w:r>
      <w:r w:rsidR="0081432F" w:rsidRPr="00A73ED7">
        <w:rPr>
          <w:sz w:val="27"/>
          <w:szCs w:val="27"/>
        </w:rPr>
        <w:t xml:space="preserve"> violaciones al procedimiento para su emisión, así como </w:t>
      </w:r>
      <w:r w:rsidR="00D178A4" w:rsidRPr="00A73ED7">
        <w:rPr>
          <w:sz w:val="27"/>
          <w:szCs w:val="27"/>
        </w:rPr>
        <w:t>violaciones de fondo.</w:t>
      </w:r>
    </w:p>
    <w:p w14:paraId="4FEC3031" w14:textId="0F9A0F50" w:rsidR="00D178A4" w:rsidRPr="00A73ED7" w:rsidRDefault="00D178A4" w:rsidP="00D178A4">
      <w:pPr>
        <w:pStyle w:val="Prrafodelista"/>
        <w:numPr>
          <w:ilvl w:val="1"/>
          <w:numId w:val="2"/>
        </w:numPr>
        <w:rPr>
          <w:sz w:val="27"/>
          <w:szCs w:val="27"/>
          <w:u w:val="single"/>
        </w:rPr>
      </w:pPr>
      <w:r w:rsidRPr="00A73ED7">
        <w:rPr>
          <w:sz w:val="27"/>
          <w:szCs w:val="27"/>
          <w:u w:val="single"/>
        </w:rPr>
        <w:t>Violaciones al procedimiento de normalización</w:t>
      </w:r>
      <w:r w:rsidR="00A73ED7" w:rsidRPr="00A73ED7">
        <w:rPr>
          <w:sz w:val="27"/>
          <w:szCs w:val="27"/>
          <w:u w:val="single"/>
        </w:rPr>
        <w:t>.</w:t>
      </w:r>
    </w:p>
    <w:p w14:paraId="4CFD8317" w14:textId="5713523D" w:rsidR="00803A9D" w:rsidRPr="00A73ED7" w:rsidRDefault="00FC3340" w:rsidP="00D178A4">
      <w:pPr>
        <w:pStyle w:val="Prrafodelista"/>
        <w:rPr>
          <w:sz w:val="27"/>
          <w:szCs w:val="27"/>
        </w:rPr>
      </w:pPr>
      <w:r w:rsidRPr="00A73ED7">
        <w:rPr>
          <w:sz w:val="27"/>
          <w:szCs w:val="27"/>
        </w:rPr>
        <w:t xml:space="preserve">En primera instancia, se </w:t>
      </w:r>
      <w:r w:rsidR="002233ED" w:rsidRPr="00A73ED7">
        <w:rPr>
          <w:sz w:val="27"/>
          <w:szCs w:val="27"/>
        </w:rPr>
        <w:t>estudia</w:t>
      </w:r>
      <w:r w:rsidRPr="00A73ED7">
        <w:rPr>
          <w:sz w:val="27"/>
          <w:szCs w:val="27"/>
        </w:rPr>
        <w:t xml:space="preserve"> si el proceso para emitir la </w:t>
      </w:r>
      <w:r w:rsidR="002233ED" w:rsidRPr="00A73ED7">
        <w:rPr>
          <w:bCs w:val="0"/>
          <w:sz w:val="27"/>
          <w:szCs w:val="27"/>
          <w:lang w:val="es-ES"/>
        </w:rPr>
        <w:t>Modificación a la NOM-051</w:t>
      </w:r>
      <w:r w:rsidRPr="00A73ED7">
        <w:rPr>
          <w:sz w:val="27"/>
          <w:szCs w:val="27"/>
        </w:rPr>
        <w:t xml:space="preserve"> cumplió las formalidades esenciales del procedimiento</w:t>
      </w:r>
      <w:r w:rsidR="00412E87" w:rsidRPr="00A73ED7">
        <w:rPr>
          <w:sz w:val="27"/>
          <w:szCs w:val="27"/>
        </w:rPr>
        <w:t>. La mayoría determinó que sí, y que los planteamientos formulados por la quejosa resultaron infundados.</w:t>
      </w:r>
      <w:r w:rsidR="002747D8" w:rsidRPr="00A73ED7">
        <w:rPr>
          <w:sz w:val="27"/>
          <w:szCs w:val="27"/>
        </w:rPr>
        <w:t xml:space="preserve"> Yo voté junto con la mayoría tanto </w:t>
      </w:r>
      <w:r w:rsidR="0093276A" w:rsidRPr="00A73ED7">
        <w:rPr>
          <w:sz w:val="27"/>
          <w:szCs w:val="27"/>
        </w:rPr>
        <w:t xml:space="preserve">con </w:t>
      </w:r>
      <w:r w:rsidR="002747D8" w:rsidRPr="00A73ED7">
        <w:rPr>
          <w:sz w:val="27"/>
          <w:szCs w:val="27"/>
        </w:rPr>
        <w:t>el sentido</w:t>
      </w:r>
      <w:r w:rsidR="00D26E97" w:rsidRPr="00A73ED7">
        <w:rPr>
          <w:sz w:val="27"/>
          <w:szCs w:val="27"/>
        </w:rPr>
        <w:t xml:space="preserve"> del apartado</w:t>
      </w:r>
      <w:r w:rsidR="002747D8" w:rsidRPr="00A73ED7">
        <w:rPr>
          <w:sz w:val="27"/>
          <w:szCs w:val="27"/>
        </w:rPr>
        <w:t xml:space="preserve"> como </w:t>
      </w:r>
      <w:r w:rsidR="00D26E97" w:rsidRPr="00A73ED7">
        <w:rPr>
          <w:sz w:val="27"/>
          <w:szCs w:val="27"/>
        </w:rPr>
        <w:t>con</w:t>
      </w:r>
      <w:r w:rsidR="002747D8" w:rsidRPr="00A73ED7">
        <w:rPr>
          <w:sz w:val="27"/>
          <w:szCs w:val="27"/>
        </w:rPr>
        <w:t xml:space="preserve"> </w:t>
      </w:r>
      <w:r w:rsidR="00803A9D" w:rsidRPr="00A73ED7">
        <w:rPr>
          <w:sz w:val="27"/>
          <w:szCs w:val="27"/>
        </w:rPr>
        <w:t>las consideraciones.</w:t>
      </w:r>
    </w:p>
    <w:p w14:paraId="23F0FB24" w14:textId="3F0D59BC" w:rsidR="002B4309" w:rsidRPr="00A73ED7" w:rsidRDefault="00736B17" w:rsidP="00D178A4">
      <w:pPr>
        <w:pStyle w:val="Prrafodelista"/>
        <w:rPr>
          <w:sz w:val="27"/>
          <w:szCs w:val="27"/>
        </w:rPr>
      </w:pPr>
      <w:r w:rsidRPr="00A73ED7">
        <w:rPr>
          <w:sz w:val="27"/>
          <w:szCs w:val="27"/>
        </w:rPr>
        <w:t xml:space="preserve">En particular, me pareció un acierto que </w:t>
      </w:r>
      <w:r w:rsidR="007432D3" w:rsidRPr="00A73ED7">
        <w:rPr>
          <w:sz w:val="27"/>
          <w:szCs w:val="27"/>
        </w:rPr>
        <w:t xml:space="preserve">el estudio de las formalidades del procedimiento no se realizara bajo el mismo parámetro de control </w:t>
      </w:r>
      <w:r w:rsidR="00634045" w:rsidRPr="00A73ED7">
        <w:rPr>
          <w:sz w:val="27"/>
          <w:szCs w:val="27"/>
        </w:rPr>
        <w:t>que el Tribunal Pleno utiliza para estudiar las formalidades del proceso legislativo</w:t>
      </w:r>
      <w:r w:rsidR="009F2CF6" w:rsidRPr="00A73ED7">
        <w:rPr>
          <w:sz w:val="27"/>
          <w:szCs w:val="27"/>
        </w:rPr>
        <w:t>, pues</w:t>
      </w:r>
      <w:r w:rsidR="004B185B" w:rsidRPr="00A73ED7">
        <w:rPr>
          <w:sz w:val="27"/>
          <w:szCs w:val="27"/>
        </w:rPr>
        <w:t xml:space="preserve"> </w:t>
      </w:r>
      <w:r w:rsidR="00701D2B" w:rsidRPr="00A73ED7">
        <w:rPr>
          <w:sz w:val="27"/>
          <w:szCs w:val="27"/>
        </w:rPr>
        <w:t>son realizados por órganos con características muy distintas</w:t>
      </w:r>
      <w:r w:rsidR="00634045" w:rsidRPr="00A73ED7">
        <w:rPr>
          <w:sz w:val="27"/>
          <w:szCs w:val="27"/>
        </w:rPr>
        <w:t>.</w:t>
      </w:r>
      <w:r w:rsidR="00EC4C85" w:rsidRPr="00A73ED7">
        <w:rPr>
          <w:sz w:val="27"/>
          <w:szCs w:val="27"/>
        </w:rPr>
        <w:t xml:space="preserve"> En particular, destaca que </w:t>
      </w:r>
      <w:r w:rsidR="002233ED" w:rsidRPr="00A73ED7">
        <w:rPr>
          <w:sz w:val="27"/>
          <w:szCs w:val="27"/>
        </w:rPr>
        <w:t>el</w:t>
      </w:r>
      <w:r w:rsidR="00EC4C85" w:rsidRPr="00A73ED7">
        <w:rPr>
          <w:sz w:val="27"/>
          <w:szCs w:val="27"/>
        </w:rPr>
        <w:t xml:space="preserve"> proceso legislativo es realizado por órganos de representación popular,</w:t>
      </w:r>
      <w:r w:rsidR="00F1036A" w:rsidRPr="00A73ED7">
        <w:rPr>
          <w:sz w:val="27"/>
          <w:szCs w:val="27"/>
        </w:rPr>
        <w:t xml:space="preserve"> </w:t>
      </w:r>
      <w:r w:rsidR="00251090" w:rsidRPr="00A73ED7">
        <w:rPr>
          <w:sz w:val="27"/>
          <w:szCs w:val="27"/>
        </w:rPr>
        <w:t xml:space="preserve">de acuerdo con </w:t>
      </w:r>
      <w:r w:rsidR="003C519B" w:rsidRPr="00A73ED7">
        <w:rPr>
          <w:sz w:val="27"/>
          <w:szCs w:val="27"/>
        </w:rPr>
        <w:t>procedimientos establecidos en la Constitución Federal (o constituciones locales)</w:t>
      </w:r>
      <w:r w:rsidR="006374F6" w:rsidRPr="00A73ED7">
        <w:rPr>
          <w:sz w:val="27"/>
          <w:szCs w:val="27"/>
        </w:rPr>
        <w:t>,</w:t>
      </w:r>
      <w:r w:rsidR="00F1036A" w:rsidRPr="00A73ED7">
        <w:rPr>
          <w:sz w:val="27"/>
          <w:szCs w:val="27"/>
        </w:rPr>
        <w:t xml:space="preserve"> </w:t>
      </w:r>
      <w:r w:rsidR="00EC4C85" w:rsidRPr="00A73ED7">
        <w:rPr>
          <w:sz w:val="27"/>
          <w:szCs w:val="27"/>
        </w:rPr>
        <w:t>mientras que el proceso de normalización es realizado por</w:t>
      </w:r>
      <w:r w:rsidR="003F065F" w:rsidRPr="00A73ED7">
        <w:rPr>
          <w:sz w:val="27"/>
          <w:szCs w:val="27"/>
        </w:rPr>
        <w:t xml:space="preserve"> órganos colegiados </w:t>
      </w:r>
      <w:r w:rsidR="00EC34A0" w:rsidRPr="00A73ED7">
        <w:rPr>
          <w:sz w:val="27"/>
          <w:szCs w:val="27"/>
        </w:rPr>
        <w:t xml:space="preserve">técnicos </w:t>
      </w:r>
      <w:r w:rsidR="003F065F" w:rsidRPr="00A73ED7">
        <w:rPr>
          <w:sz w:val="27"/>
          <w:szCs w:val="27"/>
        </w:rPr>
        <w:t>que incluyen a</w:t>
      </w:r>
      <w:r w:rsidR="00EC4C85" w:rsidRPr="00A73ED7">
        <w:rPr>
          <w:sz w:val="27"/>
          <w:szCs w:val="27"/>
        </w:rPr>
        <w:t xml:space="preserve"> dependencias del </w:t>
      </w:r>
      <w:r w:rsidR="00EC34A0" w:rsidRPr="00A73ED7">
        <w:rPr>
          <w:sz w:val="27"/>
          <w:szCs w:val="27"/>
        </w:rPr>
        <w:t>gobierno, pero también a productores, comercializadores, fabricantes, exportadores, importadores, académicos</w:t>
      </w:r>
      <w:r w:rsidR="002B4309" w:rsidRPr="00A73ED7">
        <w:rPr>
          <w:sz w:val="27"/>
          <w:szCs w:val="27"/>
        </w:rPr>
        <w:t>, verificadores y consumidores.</w:t>
      </w:r>
      <w:r w:rsidR="006374F6" w:rsidRPr="00A73ED7">
        <w:rPr>
          <w:sz w:val="27"/>
          <w:szCs w:val="27"/>
        </w:rPr>
        <w:t xml:space="preserve"> </w:t>
      </w:r>
    </w:p>
    <w:p w14:paraId="3C2A71AA" w14:textId="0AA6C522" w:rsidR="005F12F4" w:rsidRPr="00A73ED7" w:rsidRDefault="00610567" w:rsidP="00D178A4">
      <w:pPr>
        <w:pStyle w:val="Prrafodelista"/>
        <w:rPr>
          <w:sz w:val="27"/>
          <w:szCs w:val="27"/>
        </w:rPr>
      </w:pPr>
      <w:r w:rsidRPr="00A73ED7">
        <w:rPr>
          <w:sz w:val="27"/>
          <w:szCs w:val="27"/>
        </w:rPr>
        <w:t>En ese sentido</w:t>
      </w:r>
      <w:r w:rsidR="00440AFC" w:rsidRPr="00A73ED7">
        <w:rPr>
          <w:sz w:val="27"/>
          <w:szCs w:val="27"/>
        </w:rPr>
        <w:t>, es</w:t>
      </w:r>
      <w:r w:rsidRPr="00A73ED7">
        <w:rPr>
          <w:sz w:val="27"/>
          <w:szCs w:val="27"/>
        </w:rPr>
        <w:t>tuve</w:t>
      </w:r>
      <w:r w:rsidR="00440AFC" w:rsidRPr="00A73ED7">
        <w:rPr>
          <w:sz w:val="27"/>
          <w:szCs w:val="27"/>
        </w:rPr>
        <w:t xml:space="preserve"> de acuerdo con </w:t>
      </w:r>
      <w:r w:rsidR="00021C46" w:rsidRPr="00A73ED7">
        <w:rPr>
          <w:sz w:val="27"/>
          <w:szCs w:val="27"/>
        </w:rPr>
        <w:t xml:space="preserve">el parámetro </w:t>
      </w:r>
      <w:r w:rsidRPr="00A73ED7">
        <w:rPr>
          <w:sz w:val="27"/>
          <w:szCs w:val="27"/>
        </w:rPr>
        <w:t xml:space="preserve">para </w:t>
      </w:r>
      <w:r w:rsidR="002233ED" w:rsidRPr="00A73ED7">
        <w:rPr>
          <w:sz w:val="27"/>
          <w:szCs w:val="27"/>
        </w:rPr>
        <w:t>determinar</w:t>
      </w:r>
      <w:r w:rsidRPr="00A73ED7">
        <w:rPr>
          <w:sz w:val="27"/>
          <w:szCs w:val="27"/>
        </w:rPr>
        <w:t xml:space="preserve"> si </w:t>
      </w:r>
      <w:r w:rsidR="00440AFC" w:rsidRPr="00A73ED7">
        <w:rPr>
          <w:sz w:val="27"/>
          <w:szCs w:val="27"/>
        </w:rPr>
        <w:t xml:space="preserve">una irregularidad en el procedimiento de normalización </w:t>
      </w:r>
      <w:r w:rsidR="00021C46" w:rsidRPr="00A73ED7">
        <w:rPr>
          <w:sz w:val="27"/>
          <w:szCs w:val="27"/>
        </w:rPr>
        <w:t xml:space="preserve">es de carácter </w:t>
      </w:r>
      <w:r w:rsidR="00440AFC" w:rsidRPr="00A73ED7">
        <w:rPr>
          <w:sz w:val="27"/>
          <w:szCs w:val="27"/>
        </w:rPr>
        <w:t>invalidante</w:t>
      </w:r>
      <w:r w:rsidR="000B321A" w:rsidRPr="00A73ED7">
        <w:rPr>
          <w:sz w:val="27"/>
          <w:szCs w:val="27"/>
        </w:rPr>
        <w:t xml:space="preserve">: </w:t>
      </w:r>
      <w:r w:rsidR="00021C46" w:rsidRPr="00A73ED7">
        <w:rPr>
          <w:sz w:val="27"/>
          <w:szCs w:val="27"/>
        </w:rPr>
        <w:t xml:space="preserve">si con ella se deja de garantizar la publicidad del procedimiento </w:t>
      </w:r>
      <w:r w:rsidR="005F12F4" w:rsidRPr="00A73ED7">
        <w:rPr>
          <w:sz w:val="27"/>
          <w:szCs w:val="27"/>
        </w:rPr>
        <w:t>o</w:t>
      </w:r>
      <w:r w:rsidR="00021C46" w:rsidRPr="00A73ED7">
        <w:rPr>
          <w:sz w:val="27"/>
          <w:szCs w:val="27"/>
        </w:rPr>
        <w:t xml:space="preserve"> la participación de los sectores interesados en las actividades de normalización.</w:t>
      </w:r>
    </w:p>
    <w:p w14:paraId="20A0BDA8" w14:textId="722E1521" w:rsidR="00D178A4" w:rsidRPr="00A73ED7" w:rsidRDefault="00803A9D" w:rsidP="00D178A4">
      <w:pPr>
        <w:pStyle w:val="Prrafodelista"/>
        <w:rPr>
          <w:sz w:val="27"/>
          <w:szCs w:val="27"/>
        </w:rPr>
      </w:pPr>
      <w:r w:rsidRPr="00A73ED7">
        <w:rPr>
          <w:sz w:val="27"/>
          <w:szCs w:val="27"/>
        </w:rPr>
        <w:t>Únicamente</w:t>
      </w:r>
      <w:r w:rsidR="000B321A" w:rsidRPr="00A73ED7">
        <w:rPr>
          <w:sz w:val="27"/>
          <w:szCs w:val="27"/>
        </w:rPr>
        <w:t>,</w:t>
      </w:r>
      <w:r w:rsidRPr="00A73ED7">
        <w:rPr>
          <w:sz w:val="27"/>
          <w:szCs w:val="27"/>
        </w:rPr>
        <w:t xml:space="preserve"> emito esta concurrencia para señalar que, en mi opinión, </w:t>
      </w:r>
      <w:r w:rsidR="00021C46" w:rsidRPr="00A73ED7">
        <w:rPr>
          <w:sz w:val="27"/>
          <w:szCs w:val="27"/>
        </w:rPr>
        <w:t xml:space="preserve">además de </w:t>
      </w:r>
      <w:r w:rsidR="005F12F4" w:rsidRPr="00A73ED7">
        <w:rPr>
          <w:sz w:val="27"/>
          <w:szCs w:val="27"/>
        </w:rPr>
        <w:t xml:space="preserve">los dos supuestos anteriores, considero que una irregularidad también sería de carácter invalidante si </w:t>
      </w:r>
      <w:r w:rsidR="0080589F" w:rsidRPr="00A73ED7">
        <w:rPr>
          <w:sz w:val="27"/>
          <w:szCs w:val="27"/>
        </w:rPr>
        <w:t xml:space="preserve">con ella </w:t>
      </w:r>
      <w:r w:rsidR="005F12F4" w:rsidRPr="00A73ED7">
        <w:rPr>
          <w:sz w:val="27"/>
          <w:szCs w:val="27"/>
        </w:rPr>
        <w:t xml:space="preserve">se </w:t>
      </w:r>
      <w:r w:rsidR="0080589F" w:rsidRPr="00A73ED7">
        <w:rPr>
          <w:sz w:val="27"/>
          <w:szCs w:val="27"/>
        </w:rPr>
        <w:t xml:space="preserve">deja </w:t>
      </w:r>
      <w:r w:rsidR="00A61CF6" w:rsidRPr="00A73ED7">
        <w:rPr>
          <w:sz w:val="27"/>
          <w:szCs w:val="27"/>
        </w:rPr>
        <w:t>garantiza</w:t>
      </w:r>
      <w:r w:rsidR="005F12F4" w:rsidRPr="00A73ED7">
        <w:rPr>
          <w:sz w:val="27"/>
          <w:szCs w:val="27"/>
        </w:rPr>
        <w:t>r</w:t>
      </w:r>
      <w:r w:rsidR="00A61CF6" w:rsidRPr="00A73ED7">
        <w:rPr>
          <w:sz w:val="27"/>
          <w:szCs w:val="27"/>
        </w:rPr>
        <w:t xml:space="preserve"> la </w:t>
      </w:r>
      <w:r w:rsidR="00A61CF6" w:rsidRPr="00A73ED7">
        <w:rPr>
          <w:sz w:val="27"/>
          <w:szCs w:val="27"/>
        </w:rPr>
        <w:lastRenderedPageBreak/>
        <w:t>participación de las autoridades involucradas</w:t>
      </w:r>
      <w:r w:rsidR="00A51D26" w:rsidRPr="00A73ED7">
        <w:rPr>
          <w:sz w:val="27"/>
          <w:szCs w:val="27"/>
        </w:rPr>
        <w:t xml:space="preserve"> en el proceso de normalización.</w:t>
      </w:r>
    </w:p>
    <w:p w14:paraId="18F154AD" w14:textId="244A275D" w:rsidR="0065608E" w:rsidRPr="00A73ED7" w:rsidRDefault="0065608E" w:rsidP="0065608E">
      <w:pPr>
        <w:pStyle w:val="Prrafodelista"/>
        <w:numPr>
          <w:ilvl w:val="1"/>
          <w:numId w:val="10"/>
        </w:numPr>
        <w:rPr>
          <w:sz w:val="27"/>
          <w:szCs w:val="27"/>
          <w:u w:val="single"/>
        </w:rPr>
      </w:pPr>
      <w:r w:rsidRPr="00A73ED7">
        <w:rPr>
          <w:sz w:val="27"/>
          <w:szCs w:val="27"/>
          <w:u w:val="single"/>
        </w:rPr>
        <w:t>Violaciones de fondo</w:t>
      </w:r>
      <w:r w:rsidR="00A73ED7" w:rsidRPr="00A73ED7">
        <w:rPr>
          <w:sz w:val="27"/>
          <w:szCs w:val="27"/>
          <w:u w:val="single"/>
        </w:rPr>
        <w:t>.</w:t>
      </w:r>
    </w:p>
    <w:p w14:paraId="40190A5A" w14:textId="251BBC0A" w:rsidR="00CA7F3C" w:rsidRPr="00A73ED7" w:rsidRDefault="00832672" w:rsidP="00CA7F3C">
      <w:pPr>
        <w:pStyle w:val="Prrafodelista"/>
        <w:numPr>
          <w:ilvl w:val="0"/>
          <w:numId w:val="10"/>
        </w:numPr>
        <w:ind w:hanging="579"/>
        <w:rPr>
          <w:sz w:val="27"/>
          <w:szCs w:val="27"/>
        </w:rPr>
      </w:pPr>
      <w:r w:rsidRPr="00A73ED7">
        <w:rPr>
          <w:sz w:val="27"/>
          <w:szCs w:val="27"/>
        </w:rPr>
        <w:t xml:space="preserve">En segunda instancia, </w:t>
      </w:r>
      <w:r w:rsidR="00AD238F" w:rsidRPr="00A73ED7">
        <w:rPr>
          <w:sz w:val="27"/>
          <w:szCs w:val="27"/>
        </w:rPr>
        <w:t xml:space="preserve">se </w:t>
      </w:r>
      <w:r w:rsidR="00EE7C1B" w:rsidRPr="00A73ED7">
        <w:rPr>
          <w:sz w:val="27"/>
          <w:szCs w:val="27"/>
        </w:rPr>
        <w:t>estudian las diversas alegaciones de la quejosa en contra del fondo de</w:t>
      </w:r>
      <w:r w:rsidR="00BF337C" w:rsidRPr="00A73ED7">
        <w:rPr>
          <w:sz w:val="27"/>
          <w:szCs w:val="27"/>
        </w:rPr>
        <w:t xml:space="preserve"> la Modificación a la NOM-051. </w:t>
      </w:r>
      <w:r w:rsidR="007F32F6" w:rsidRPr="00A73ED7">
        <w:rPr>
          <w:sz w:val="27"/>
          <w:szCs w:val="27"/>
        </w:rPr>
        <w:t xml:space="preserve">Voté a favor del sentido de todo el apartado, pero, en los estudios de algunas alegaciones, me separé parcialmente de consideraciones. </w:t>
      </w:r>
      <w:r w:rsidR="00F63A3F" w:rsidRPr="00A73ED7">
        <w:rPr>
          <w:sz w:val="27"/>
          <w:szCs w:val="27"/>
        </w:rPr>
        <w:t xml:space="preserve">A continuación, </w:t>
      </w:r>
      <w:r w:rsidR="00CF6CED" w:rsidRPr="00A73ED7">
        <w:rPr>
          <w:sz w:val="27"/>
          <w:szCs w:val="27"/>
        </w:rPr>
        <w:t xml:space="preserve">desarrollaré las razones de ello, </w:t>
      </w:r>
      <w:r w:rsidR="002233ED" w:rsidRPr="00A73ED7">
        <w:rPr>
          <w:sz w:val="27"/>
          <w:szCs w:val="27"/>
        </w:rPr>
        <w:t>refiriendo únicamente</w:t>
      </w:r>
      <w:r w:rsidR="00CF6CED" w:rsidRPr="00A73ED7">
        <w:rPr>
          <w:sz w:val="27"/>
          <w:szCs w:val="27"/>
        </w:rPr>
        <w:t xml:space="preserve"> a dichos estudios.</w:t>
      </w:r>
    </w:p>
    <w:p w14:paraId="0804D377" w14:textId="3C313D58" w:rsidR="007A1966" w:rsidRPr="00A73ED7" w:rsidRDefault="005F08B6" w:rsidP="00CA7F3C">
      <w:pPr>
        <w:pStyle w:val="Prrafodelista"/>
        <w:numPr>
          <w:ilvl w:val="0"/>
          <w:numId w:val="10"/>
        </w:numPr>
        <w:ind w:hanging="579"/>
        <w:rPr>
          <w:sz w:val="27"/>
          <w:szCs w:val="27"/>
        </w:rPr>
      </w:pPr>
      <w:r w:rsidRPr="00A73ED7">
        <w:rPr>
          <w:sz w:val="27"/>
          <w:szCs w:val="27"/>
        </w:rPr>
        <w:t xml:space="preserve">En </w:t>
      </w:r>
      <w:r w:rsidR="00A15E03" w:rsidRPr="00A73ED7">
        <w:rPr>
          <w:sz w:val="27"/>
          <w:szCs w:val="27"/>
        </w:rPr>
        <w:t>e</w:t>
      </w:r>
      <w:r w:rsidRPr="00A73ED7">
        <w:rPr>
          <w:sz w:val="27"/>
          <w:szCs w:val="27"/>
        </w:rPr>
        <w:t xml:space="preserve">l </w:t>
      </w:r>
      <w:r w:rsidR="00471996" w:rsidRPr="00A73ED7">
        <w:rPr>
          <w:b/>
          <w:bCs w:val="0"/>
          <w:sz w:val="27"/>
          <w:szCs w:val="27"/>
        </w:rPr>
        <w:t>estudio de si la leyenda de “CONTIENE CAFEÍNA, EVITAR EN NIÑOS” resulta violatoria al principio de igualdad y no discriminación</w:t>
      </w:r>
      <w:r w:rsidR="00471996" w:rsidRPr="00A73ED7">
        <w:rPr>
          <w:sz w:val="27"/>
          <w:szCs w:val="27"/>
        </w:rPr>
        <w:t xml:space="preserve"> </w:t>
      </w:r>
      <w:r w:rsidR="00344805" w:rsidRPr="00A73ED7">
        <w:rPr>
          <w:sz w:val="27"/>
          <w:szCs w:val="27"/>
        </w:rPr>
        <w:t xml:space="preserve">por incluirse únicamente </w:t>
      </w:r>
      <w:r w:rsidR="00DE213F" w:rsidRPr="00A73ED7">
        <w:rPr>
          <w:sz w:val="27"/>
          <w:szCs w:val="27"/>
        </w:rPr>
        <w:t xml:space="preserve">en productos preenvasados con cafeína adicionada, </w:t>
      </w:r>
      <w:r w:rsidR="00C47181" w:rsidRPr="00A73ED7">
        <w:rPr>
          <w:sz w:val="27"/>
          <w:szCs w:val="27"/>
        </w:rPr>
        <w:t>la mayoría</w:t>
      </w:r>
      <w:r w:rsidR="00A15E03" w:rsidRPr="00A73ED7">
        <w:rPr>
          <w:sz w:val="27"/>
          <w:szCs w:val="27"/>
        </w:rPr>
        <w:t xml:space="preserve"> </w:t>
      </w:r>
      <w:r w:rsidR="00C47181" w:rsidRPr="00A73ED7">
        <w:rPr>
          <w:sz w:val="27"/>
          <w:szCs w:val="27"/>
        </w:rPr>
        <w:t xml:space="preserve">consideró que </w:t>
      </w:r>
      <w:r w:rsidR="003F628E" w:rsidRPr="00A73ED7">
        <w:rPr>
          <w:sz w:val="27"/>
          <w:szCs w:val="27"/>
        </w:rPr>
        <w:t xml:space="preserve">el concepto de invalidez </w:t>
      </w:r>
      <w:r w:rsidR="00C47181" w:rsidRPr="00A73ED7">
        <w:rPr>
          <w:sz w:val="27"/>
          <w:szCs w:val="27"/>
        </w:rPr>
        <w:t>debía ser declarado infundado</w:t>
      </w:r>
      <w:r w:rsidR="003F628E" w:rsidRPr="00A73ED7">
        <w:rPr>
          <w:sz w:val="27"/>
          <w:szCs w:val="27"/>
        </w:rPr>
        <w:t xml:space="preserve"> </w:t>
      </w:r>
      <w:r w:rsidR="00055130" w:rsidRPr="00A73ED7">
        <w:rPr>
          <w:sz w:val="27"/>
          <w:szCs w:val="27"/>
        </w:rPr>
        <w:t>por superarse un test de igualdad de escrutinio ordinario</w:t>
      </w:r>
      <w:r w:rsidR="00A15E03" w:rsidRPr="00A73ED7">
        <w:rPr>
          <w:sz w:val="27"/>
          <w:szCs w:val="27"/>
        </w:rPr>
        <w:t>.</w:t>
      </w:r>
    </w:p>
    <w:p w14:paraId="77364744" w14:textId="225AD528" w:rsidR="00CA7F3C" w:rsidRPr="00A73ED7" w:rsidRDefault="00A15E03" w:rsidP="00CA7F3C">
      <w:pPr>
        <w:pStyle w:val="Prrafodelista"/>
        <w:numPr>
          <w:ilvl w:val="0"/>
          <w:numId w:val="10"/>
        </w:numPr>
        <w:ind w:hanging="579"/>
        <w:rPr>
          <w:sz w:val="27"/>
          <w:szCs w:val="27"/>
        </w:rPr>
      </w:pPr>
      <w:r w:rsidRPr="00A73ED7">
        <w:rPr>
          <w:sz w:val="27"/>
          <w:szCs w:val="27"/>
        </w:rPr>
        <w:t>A diferencia de la mayoría</w:t>
      </w:r>
      <w:r w:rsidR="003F628E" w:rsidRPr="00A73ED7">
        <w:rPr>
          <w:sz w:val="27"/>
          <w:szCs w:val="27"/>
        </w:rPr>
        <w:t>,</w:t>
      </w:r>
      <w:r w:rsidR="00C47181" w:rsidRPr="00A73ED7">
        <w:rPr>
          <w:sz w:val="27"/>
          <w:szCs w:val="27"/>
        </w:rPr>
        <w:t xml:space="preserve"> </w:t>
      </w:r>
      <w:r w:rsidR="00CA7F3C" w:rsidRPr="00A73ED7">
        <w:rPr>
          <w:sz w:val="27"/>
          <w:szCs w:val="27"/>
        </w:rPr>
        <w:t xml:space="preserve">me parece que </w:t>
      </w:r>
      <w:r w:rsidRPr="00A73ED7">
        <w:rPr>
          <w:sz w:val="27"/>
          <w:szCs w:val="27"/>
        </w:rPr>
        <w:t xml:space="preserve">el concepto debía </w:t>
      </w:r>
      <w:r w:rsidR="00CA7F3C" w:rsidRPr="00A73ED7">
        <w:rPr>
          <w:sz w:val="27"/>
          <w:szCs w:val="27"/>
        </w:rPr>
        <w:t>desestimarse</w:t>
      </w:r>
      <w:r w:rsidR="00DE213F" w:rsidRPr="00A73ED7">
        <w:rPr>
          <w:sz w:val="27"/>
          <w:szCs w:val="27"/>
        </w:rPr>
        <w:t xml:space="preserve"> </w:t>
      </w:r>
      <w:r w:rsidR="002F77B0" w:rsidRPr="00A73ED7">
        <w:rPr>
          <w:sz w:val="27"/>
          <w:szCs w:val="27"/>
        </w:rPr>
        <w:t>por razones distintas</w:t>
      </w:r>
      <w:r w:rsidR="00CA7F3C" w:rsidRPr="00A73ED7">
        <w:rPr>
          <w:sz w:val="27"/>
          <w:szCs w:val="27"/>
        </w:rPr>
        <w:t xml:space="preserve">. </w:t>
      </w:r>
      <w:r w:rsidR="005C2DF1" w:rsidRPr="00A73ED7">
        <w:rPr>
          <w:sz w:val="27"/>
          <w:szCs w:val="27"/>
        </w:rPr>
        <w:t>Esto es porque, s</w:t>
      </w:r>
      <w:r w:rsidR="00CA7F3C" w:rsidRPr="00A73ED7">
        <w:rPr>
          <w:sz w:val="27"/>
          <w:szCs w:val="27"/>
        </w:rPr>
        <w:t xml:space="preserve">uponiendo sin conceder que </w:t>
      </w:r>
      <w:r w:rsidR="007A1966" w:rsidRPr="00A73ED7">
        <w:rPr>
          <w:sz w:val="27"/>
          <w:szCs w:val="27"/>
        </w:rPr>
        <w:t>hubiera asistido</w:t>
      </w:r>
      <w:r w:rsidR="00CA7F3C" w:rsidRPr="00A73ED7">
        <w:rPr>
          <w:sz w:val="27"/>
          <w:szCs w:val="27"/>
        </w:rPr>
        <w:t xml:space="preserve"> la razón a la quejosa, los efectos del amparo </w:t>
      </w:r>
      <w:r w:rsidR="007A1966" w:rsidRPr="00A73ED7">
        <w:rPr>
          <w:sz w:val="27"/>
          <w:szCs w:val="27"/>
        </w:rPr>
        <w:t>habrían resultado</w:t>
      </w:r>
      <w:r w:rsidR="00CA7F3C" w:rsidRPr="00A73ED7">
        <w:rPr>
          <w:sz w:val="27"/>
          <w:szCs w:val="27"/>
        </w:rPr>
        <w:t xml:space="preserve"> en que ésta tendría que incluir la leyenda a todos sus productos con cafeína –ya sea natural o adicionada—, lo que le sería más perjudicial.</w:t>
      </w:r>
      <w:r w:rsidR="00177631" w:rsidRPr="00A73ED7">
        <w:rPr>
          <w:sz w:val="27"/>
          <w:szCs w:val="27"/>
        </w:rPr>
        <w:t xml:space="preserve"> Por lo tanto, su argumento resultaba inoperante.</w:t>
      </w:r>
    </w:p>
    <w:p w14:paraId="3511A22A" w14:textId="68A30B42" w:rsidR="00D1523B" w:rsidRPr="00A73ED7" w:rsidRDefault="00567319" w:rsidP="008E5705">
      <w:pPr>
        <w:pStyle w:val="Prrafodelista"/>
        <w:numPr>
          <w:ilvl w:val="0"/>
          <w:numId w:val="10"/>
        </w:numPr>
        <w:ind w:hanging="579"/>
        <w:rPr>
          <w:sz w:val="27"/>
          <w:szCs w:val="27"/>
        </w:rPr>
      </w:pPr>
      <w:r w:rsidRPr="00A73ED7">
        <w:rPr>
          <w:sz w:val="27"/>
          <w:szCs w:val="27"/>
        </w:rPr>
        <w:t>E</w:t>
      </w:r>
      <w:r w:rsidR="00CE7882" w:rsidRPr="00A73ED7">
        <w:rPr>
          <w:sz w:val="27"/>
          <w:szCs w:val="27"/>
        </w:rPr>
        <w:t xml:space="preserve">l argumento del quejoso de que </w:t>
      </w:r>
      <w:r w:rsidR="00FD0D0B" w:rsidRPr="00A73ED7">
        <w:rPr>
          <w:b/>
          <w:bCs w:val="0"/>
          <w:sz w:val="27"/>
          <w:szCs w:val="27"/>
        </w:rPr>
        <w:t xml:space="preserve">la norma viola el principio de igualdad </w:t>
      </w:r>
      <w:r w:rsidR="00CE7882" w:rsidRPr="00A73ED7">
        <w:rPr>
          <w:b/>
          <w:bCs w:val="0"/>
          <w:sz w:val="27"/>
          <w:szCs w:val="27"/>
        </w:rPr>
        <w:t xml:space="preserve">porque </w:t>
      </w:r>
      <w:r w:rsidR="00FD0D0B" w:rsidRPr="00A73ED7">
        <w:rPr>
          <w:b/>
          <w:bCs w:val="0"/>
          <w:sz w:val="27"/>
          <w:szCs w:val="27"/>
        </w:rPr>
        <w:t>otorga a los edulcorantes un tratamiento desigual respecto a otros nutrimentos críticos</w:t>
      </w:r>
      <w:r w:rsidRPr="00A73ED7">
        <w:rPr>
          <w:sz w:val="27"/>
          <w:szCs w:val="27"/>
        </w:rPr>
        <w:t xml:space="preserve"> fue calificado como inoperante. </w:t>
      </w:r>
      <w:r w:rsidR="003E4B38" w:rsidRPr="00A73ED7">
        <w:rPr>
          <w:sz w:val="27"/>
          <w:szCs w:val="27"/>
        </w:rPr>
        <w:t xml:space="preserve">Esto, pues </w:t>
      </w:r>
      <w:r w:rsidR="00BE22A0" w:rsidRPr="00A73ED7">
        <w:rPr>
          <w:sz w:val="27"/>
          <w:szCs w:val="27"/>
        </w:rPr>
        <w:t>la mayoría consideró</w:t>
      </w:r>
      <w:r w:rsidR="003E4B38" w:rsidRPr="00A73ED7">
        <w:rPr>
          <w:sz w:val="27"/>
          <w:szCs w:val="27"/>
        </w:rPr>
        <w:t xml:space="preserve"> que </w:t>
      </w:r>
      <w:r w:rsidR="00C64794" w:rsidRPr="00A73ED7">
        <w:rPr>
          <w:sz w:val="27"/>
          <w:szCs w:val="27"/>
        </w:rPr>
        <w:t>la quejosa en realidad no proporcionó un término de comparación idóneo para demostrar que la disposición impugnada otorga un tratamiento discriminatorio</w:t>
      </w:r>
      <w:r w:rsidR="00FA12AA" w:rsidRPr="00A73ED7">
        <w:rPr>
          <w:sz w:val="27"/>
          <w:szCs w:val="27"/>
        </w:rPr>
        <w:t>, y que las alegaciones fueron contradictorias</w:t>
      </w:r>
      <w:r w:rsidR="0094724D" w:rsidRPr="00A73ED7">
        <w:rPr>
          <w:sz w:val="27"/>
          <w:szCs w:val="27"/>
        </w:rPr>
        <w:t xml:space="preserve"> </w:t>
      </w:r>
      <w:r w:rsidR="0094724D" w:rsidRPr="00A73ED7">
        <w:rPr>
          <w:sz w:val="27"/>
          <w:szCs w:val="27"/>
          <w:u w:color="000000"/>
          <w:bdr w:val="nil"/>
        </w:rPr>
        <w:t>en la medida en que sostiene</w:t>
      </w:r>
      <w:r w:rsidR="0029469A" w:rsidRPr="00A73ED7">
        <w:rPr>
          <w:sz w:val="27"/>
          <w:szCs w:val="27"/>
          <w:u w:color="000000"/>
          <w:bdr w:val="nil"/>
        </w:rPr>
        <w:t>n, por un lado,</w:t>
      </w:r>
      <w:r w:rsidR="0094724D" w:rsidRPr="00A73ED7">
        <w:rPr>
          <w:sz w:val="27"/>
          <w:szCs w:val="27"/>
          <w:u w:color="000000"/>
          <w:bdr w:val="nil"/>
        </w:rPr>
        <w:t xml:space="preserve"> que la norma general </w:t>
      </w:r>
      <w:r w:rsidR="00B603D9" w:rsidRPr="00A73ED7">
        <w:rPr>
          <w:sz w:val="27"/>
          <w:szCs w:val="27"/>
          <w:u w:color="000000"/>
          <w:bdr w:val="nil"/>
        </w:rPr>
        <w:t xml:space="preserve">es discriminatoria, </w:t>
      </w:r>
      <w:r w:rsidR="0029469A" w:rsidRPr="00A73ED7">
        <w:rPr>
          <w:sz w:val="27"/>
          <w:szCs w:val="27"/>
          <w:u w:color="000000"/>
          <w:bdr w:val="nil"/>
        </w:rPr>
        <w:t>y por otro,</w:t>
      </w:r>
      <w:r w:rsidR="00B603D9" w:rsidRPr="00A73ED7">
        <w:rPr>
          <w:sz w:val="27"/>
          <w:szCs w:val="27"/>
          <w:u w:color="000000"/>
          <w:bdr w:val="nil"/>
        </w:rPr>
        <w:t xml:space="preserve"> que </w:t>
      </w:r>
      <w:r w:rsidR="0094724D" w:rsidRPr="00A73ED7">
        <w:rPr>
          <w:sz w:val="27"/>
          <w:szCs w:val="27"/>
          <w:u w:color="000000"/>
          <w:bdr w:val="nil"/>
        </w:rPr>
        <w:t xml:space="preserve">da un mismo tratamiento a edulcorantes que a otros nutrimientos. </w:t>
      </w:r>
    </w:p>
    <w:p w14:paraId="795F4B98" w14:textId="371AFD46" w:rsidR="00C72EE4" w:rsidRPr="00A73ED7" w:rsidRDefault="00D1523B" w:rsidP="008E5705">
      <w:pPr>
        <w:pStyle w:val="Prrafodelista"/>
        <w:numPr>
          <w:ilvl w:val="0"/>
          <w:numId w:val="10"/>
        </w:numPr>
        <w:ind w:hanging="579"/>
        <w:rPr>
          <w:sz w:val="27"/>
          <w:szCs w:val="27"/>
        </w:rPr>
      </w:pPr>
      <w:r w:rsidRPr="00A73ED7">
        <w:rPr>
          <w:sz w:val="27"/>
          <w:szCs w:val="27"/>
          <w:u w:color="000000"/>
          <w:bdr w:val="nil"/>
        </w:rPr>
        <w:t xml:space="preserve">Aquí, yo voté por declarar infundadas las alegaciones estudiadas por consideraciones </w:t>
      </w:r>
      <w:r w:rsidR="00BF327D" w:rsidRPr="00A73ED7">
        <w:rPr>
          <w:sz w:val="27"/>
          <w:szCs w:val="27"/>
          <w:u w:color="000000"/>
          <w:bdr w:val="nil"/>
        </w:rPr>
        <w:t>distintas</w:t>
      </w:r>
      <w:r w:rsidRPr="00A73ED7">
        <w:rPr>
          <w:sz w:val="27"/>
          <w:szCs w:val="27"/>
          <w:u w:color="000000"/>
          <w:bdr w:val="nil"/>
        </w:rPr>
        <w:t>, que desarrollo a continuación.</w:t>
      </w:r>
    </w:p>
    <w:p w14:paraId="77ED06A4" w14:textId="1CD48DD0" w:rsidR="00C72EE4" w:rsidRPr="00A73ED7" w:rsidRDefault="00C72EE4" w:rsidP="00D20B2E">
      <w:pPr>
        <w:pStyle w:val="Prrafodelista"/>
        <w:numPr>
          <w:ilvl w:val="0"/>
          <w:numId w:val="10"/>
        </w:numPr>
        <w:ind w:hanging="579"/>
        <w:rPr>
          <w:sz w:val="27"/>
          <w:szCs w:val="27"/>
          <w:u w:color="000000"/>
          <w:bdr w:val="nil"/>
        </w:rPr>
      </w:pPr>
      <w:r w:rsidRPr="00A73ED7">
        <w:rPr>
          <w:sz w:val="27"/>
          <w:szCs w:val="27"/>
          <w:u w:color="000000"/>
          <w:bdr w:val="nil"/>
        </w:rPr>
        <w:lastRenderedPageBreak/>
        <w:t xml:space="preserve">En primer lugar, </w:t>
      </w:r>
      <w:r w:rsidR="000264EF" w:rsidRPr="00A73ED7">
        <w:rPr>
          <w:sz w:val="27"/>
          <w:szCs w:val="27"/>
          <w:u w:color="000000"/>
          <w:bdr w:val="nil"/>
        </w:rPr>
        <w:t xml:space="preserve">no estoy de acuerdo en </w:t>
      </w:r>
      <w:r w:rsidRPr="00A73ED7">
        <w:rPr>
          <w:sz w:val="27"/>
          <w:szCs w:val="27"/>
          <w:u w:color="000000"/>
          <w:bdr w:val="nil"/>
        </w:rPr>
        <w:t xml:space="preserve">que los argumentos de la quejosa </w:t>
      </w:r>
      <w:r w:rsidR="000264EF" w:rsidRPr="00A73ED7">
        <w:rPr>
          <w:sz w:val="27"/>
          <w:szCs w:val="27"/>
          <w:u w:color="000000"/>
          <w:bdr w:val="nil"/>
        </w:rPr>
        <w:t xml:space="preserve">fueran </w:t>
      </w:r>
      <w:r w:rsidRPr="00A73ED7">
        <w:rPr>
          <w:sz w:val="27"/>
          <w:szCs w:val="27"/>
          <w:u w:color="000000"/>
          <w:bdr w:val="nil"/>
        </w:rPr>
        <w:t>contradictorios. Me parece que lo que la quejosa alega son dos tratamientos desiguales diferentes. Por un lado, argumenta que a los productos con edulcorantes se les agrega un sello siempre que estos nutrimentos estén presentes, y no cuando estos se presenten en exceso, tal como ocurre con otros nutrimentos, como azúcares o sodio.</w:t>
      </w:r>
      <w:r w:rsidR="004A6C33" w:rsidRPr="00A73ED7">
        <w:rPr>
          <w:sz w:val="27"/>
          <w:szCs w:val="27"/>
          <w:u w:color="000000"/>
          <w:bdr w:val="nil"/>
        </w:rPr>
        <w:t xml:space="preserve"> </w:t>
      </w:r>
      <w:r w:rsidRPr="00A73ED7">
        <w:rPr>
          <w:sz w:val="27"/>
          <w:szCs w:val="27"/>
          <w:u w:color="000000"/>
          <w:bdr w:val="nil"/>
        </w:rPr>
        <w:t>Por otro lado, la quejosa argumenta que no hay evidencia científica concluyente de que los edulcorantes hagan un daño a la salud, en particular a niñas, niños y adolescentes, a diferencia del caso de los otros nutrimentos críticos, donde sí existe evidencia contundente de que su consumo en exceso es perjudicial. Estas dos razones generan un trato diferente a los edulcorantes de los otros nutrimentos críticos.</w:t>
      </w:r>
    </w:p>
    <w:p w14:paraId="49DA9D57" w14:textId="73333770" w:rsidR="000C5B98" w:rsidRPr="00A73ED7" w:rsidRDefault="00C72EE4" w:rsidP="00485C60">
      <w:pPr>
        <w:pStyle w:val="Prrafodelista"/>
        <w:numPr>
          <w:ilvl w:val="0"/>
          <w:numId w:val="10"/>
        </w:numPr>
        <w:ind w:hanging="579"/>
        <w:rPr>
          <w:sz w:val="27"/>
          <w:szCs w:val="27"/>
          <w:u w:color="000000"/>
          <w:bdr w:val="nil"/>
        </w:rPr>
      </w:pPr>
      <w:r w:rsidRPr="00A73ED7">
        <w:rPr>
          <w:sz w:val="27"/>
          <w:szCs w:val="27"/>
          <w:u w:color="000000"/>
          <w:bdr w:val="nil"/>
        </w:rPr>
        <w:t xml:space="preserve">Ahora bien, </w:t>
      </w:r>
      <w:r w:rsidR="004A6C33" w:rsidRPr="00A73ED7">
        <w:rPr>
          <w:sz w:val="27"/>
          <w:szCs w:val="27"/>
          <w:u w:color="000000"/>
          <w:bdr w:val="nil"/>
        </w:rPr>
        <w:t xml:space="preserve">en segundo lugar, </w:t>
      </w:r>
      <w:r w:rsidR="000C5B98" w:rsidRPr="00A73ED7">
        <w:rPr>
          <w:sz w:val="27"/>
          <w:szCs w:val="27"/>
          <w:u w:color="000000"/>
          <w:bdr w:val="nil"/>
        </w:rPr>
        <w:t>consideré</w:t>
      </w:r>
      <w:r w:rsidRPr="00A73ED7">
        <w:rPr>
          <w:sz w:val="27"/>
          <w:szCs w:val="27"/>
          <w:u w:color="000000"/>
          <w:bdr w:val="nil"/>
        </w:rPr>
        <w:t xml:space="preserve"> que </w:t>
      </w:r>
      <w:r w:rsidR="004A6C33" w:rsidRPr="00A73ED7">
        <w:rPr>
          <w:sz w:val="27"/>
          <w:szCs w:val="27"/>
          <w:u w:color="000000"/>
          <w:bdr w:val="nil"/>
        </w:rPr>
        <w:t xml:space="preserve">estos argumentos </w:t>
      </w:r>
      <w:r w:rsidR="003B7628" w:rsidRPr="00A73ED7">
        <w:rPr>
          <w:sz w:val="27"/>
          <w:szCs w:val="27"/>
          <w:u w:color="000000"/>
          <w:bdr w:val="nil"/>
        </w:rPr>
        <w:t>eran</w:t>
      </w:r>
      <w:r w:rsidR="004A6C33" w:rsidRPr="00A73ED7">
        <w:rPr>
          <w:sz w:val="27"/>
          <w:szCs w:val="27"/>
          <w:u w:color="000000"/>
          <w:bdr w:val="nil"/>
        </w:rPr>
        <w:t xml:space="preserve"> </w:t>
      </w:r>
      <w:r w:rsidRPr="00A73ED7">
        <w:rPr>
          <w:sz w:val="27"/>
          <w:szCs w:val="27"/>
          <w:u w:color="000000"/>
          <w:bdr w:val="nil"/>
        </w:rPr>
        <w:t>infundados por lo siguiente</w:t>
      </w:r>
      <w:r w:rsidR="000C5B98" w:rsidRPr="00A73ED7">
        <w:rPr>
          <w:sz w:val="27"/>
          <w:szCs w:val="27"/>
          <w:u w:color="000000"/>
          <w:bdr w:val="nil"/>
        </w:rPr>
        <w:t xml:space="preserve">. </w:t>
      </w:r>
      <w:r w:rsidRPr="00A73ED7">
        <w:rPr>
          <w:sz w:val="27"/>
          <w:szCs w:val="27"/>
          <w:u w:color="000000"/>
          <w:bdr w:val="nil"/>
        </w:rPr>
        <w:t xml:space="preserve">Por un lado, en el proceso de mejora regulatoria de la creación de la NOM, se consideró que la advertencia de los edulcorantes es necesaria precisamente porque su consumo no ha sido suficientemente examinado en niñas y niños. Además, </w:t>
      </w:r>
      <w:r w:rsidR="000C5B98" w:rsidRPr="00A73ED7">
        <w:rPr>
          <w:sz w:val="27"/>
          <w:szCs w:val="27"/>
          <w:u w:color="000000"/>
          <w:bdr w:val="nil"/>
        </w:rPr>
        <w:t xml:space="preserve">se </w:t>
      </w:r>
      <w:r w:rsidRPr="00A73ED7">
        <w:rPr>
          <w:sz w:val="27"/>
          <w:szCs w:val="27"/>
          <w:u w:color="000000"/>
          <w:bdr w:val="nil"/>
        </w:rPr>
        <w:t>refirió a la existencia de evidencia científica que demuestra un efecto en los hábitos alimenticios a largo plazo.</w:t>
      </w:r>
      <w:r w:rsidR="000C5B98" w:rsidRPr="00A73ED7">
        <w:rPr>
          <w:sz w:val="27"/>
          <w:szCs w:val="27"/>
          <w:u w:color="000000"/>
          <w:bdr w:val="nil"/>
        </w:rPr>
        <w:t xml:space="preserve"> </w:t>
      </w:r>
      <w:r w:rsidRPr="00A73ED7">
        <w:rPr>
          <w:sz w:val="27"/>
          <w:szCs w:val="27"/>
          <w:u w:color="000000"/>
          <w:bdr w:val="nil"/>
        </w:rPr>
        <w:t>Cabe destacar, además, que la medida no prohíbe el consumo, sino que, simplemente, no lo recomienda ante la falta de evidencia de que sea seguro en este grupo de edad.</w:t>
      </w:r>
      <w:r w:rsidR="008E5705" w:rsidRPr="00A73ED7">
        <w:rPr>
          <w:sz w:val="27"/>
          <w:szCs w:val="27"/>
          <w:u w:color="000000"/>
          <w:bdr w:val="nil"/>
        </w:rPr>
        <w:t xml:space="preserve"> </w:t>
      </w:r>
    </w:p>
    <w:p w14:paraId="61A87906" w14:textId="77777777" w:rsidR="003B7628" w:rsidRPr="00A73ED7" w:rsidRDefault="008E5705" w:rsidP="00485C60">
      <w:pPr>
        <w:pStyle w:val="Prrafodelista"/>
        <w:numPr>
          <w:ilvl w:val="0"/>
          <w:numId w:val="10"/>
        </w:numPr>
        <w:ind w:hanging="579"/>
        <w:rPr>
          <w:sz w:val="27"/>
          <w:szCs w:val="27"/>
          <w:u w:color="000000"/>
          <w:bdr w:val="nil"/>
        </w:rPr>
      </w:pPr>
      <w:r w:rsidRPr="00A73ED7">
        <w:rPr>
          <w:sz w:val="27"/>
          <w:szCs w:val="27"/>
          <w:u w:color="000000"/>
          <w:bdr w:val="nil"/>
        </w:rPr>
        <w:t>Por otro lado, y en ese mismo sentido, a diferencia de las etiquetas de otros nutrimentos críticos, la etiqueta de edulcorantes no busca advertir que su consumo en exceso tenga un efecto perjudicial a la salud, sino que, más bien, su consumo, de manera absoluta, no es recomendado en niñas, niños y adolescentes.</w:t>
      </w:r>
      <w:r w:rsidR="003B7628" w:rsidRPr="00A73ED7">
        <w:rPr>
          <w:sz w:val="27"/>
          <w:szCs w:val="27"/>
          <w:u w:color="000000"/>
          <w:bdr w:val="nil"/>
        </w:rPr>
        <w:t xml:space="preserve"> </w:t>
      </w:r>
    </w:p>
    <w:p w14:paraId="0871CB7C" w14:textId="75B952C0" w:rsidR="008E5705" w:rsidRPr="00A73ED7" w:rsidRDefault="003B7628" w:rsidP="00485C60">
      <w:pPr>
        <w:pStyle w:val="Prrafodelista"/>
        <w:numPr>
          <w:ilvl w:val="0"/>
          <w:numId w:val="10"/>
        </w:numPr>
        <w:ind w:hanging="579"/>
        <w:rPr>
          <w:sz w:val="27"/>
          <w:szCs w:val="27"/>
          <w:u w:color="000000"/>
          <w:bdr w:val="nil"/>
        </w:rPr>
      </w:pPr>
      <w:r w:rsidRPr="00A73ED7">
        <w:rPr>
          <w:sz w:val="27"/>
          <w:szCs w:val="27"/>
          <w:u w:color="000000"/>
          <w:bdr w:val="nil"/>
        </w:rPr>
        <w:t xml:space="preserve">Así pues, me parece que no asistía la razón a la quejosa en este respecto. </w:t>
      </w:r>
    </w:p>
    <w:p w14:paraId="6F4EC67A" w14:textId="1FEF6C9A" w:rsidR="00A51D26" w:rsidRPr="00A73ED7" w:rsidRDefault="000A3B2E" w:rsidP="00A51D26">
      <w:pPr>
        <w:pStyle w:val="Prrafodelista"/>
        <w:numPr>
          <w:ilvl w:val="0"/>
          <w:numId w:val="10"/>
        </w:numPr>
        <w:ind w:hanging="579"/>
        <w:rPr>
          <w:sz w:val="27"/>
          <w:szCs w:val="27"/>
        </w:rPr>
      </w:pPr>
      <w:r w:rsidRPr="00A73ED7">
        <w:rPr>
          <w:sz w:val="27"/>
          <w:szCs w:val="27"/>
        </w:rPr>
        <w:t>Finalmente</w:t>
      </w:r>
      <w:r w:rsidR="003431DE" w:rsidRPr="00A73ED7">
        <w:rPr>
          <w:sz w:val="27"/>
          <w:szCs w:val="27"/>
        </w:rPr>
        <w:t>,</w:t>
      </w:r>
      <w:r w:rsidR="000175B5" w:rsidRPr="00A73ED7">
        <w:rPr>
          <w:sz w:val="27"/>
          <w:szCs w:val="27"/>
        </w:rPr>
        <w:t xml:space="preserve"> en cuanto al </w:t>
      </w:r>
      <w:r w:rsidR="000175B5" w:rsidRPr="00A73ED7">
        <w:rPr>
          <w:b/>
          <w:bCs w:val="0"/>
          <w:sz w:val="27"/>
          <w:szCs w:val="27"/>
        </w:rPr>
        <w:t xml:space="preserve">estudio de </w:t>
      </w:r>
      <w:r w:rsidR="00D60BE1" w:rsidRPr="00A73ED7">
        <w:rPr>
          <w:b/>
          <w:bCs w:val="0"/>
          <w:sz w:val="27"/>
          <w:szCs w:val="27"/>
        </w:rPr>
        <w:t>“Obstáculos al comercio internacional</w:t>
      </w:r>
      <w:r w:rsidR="00D60BE1" w:rsidRPr="00A73ED7">
        <w:rPr>
          <w:sz w:val="27"/>
          <w:szCs w:val="27"/>
        </w:rPr>
        <w:t>”,</w:t>
      </w:r>
      <w:r w:rsidR="003431DE" w:rsidRPr="00A73ED7">
        <w:rPr>
          <w:sz w:val="27"/>
          <w:szCs w:val="27"/>
        </w:rPr>
        <w:t xml:space="preserve"> la mayoría calificó de inoperantes los argumentos </w:t>
      </w:r>
      <w:r w:rsidR="00E25829" w:rsidRPr="00A73ED7">
        <w:rPr>
          <w:sz w:val="27"/>
          <w:szCs w:val="27"/>
        </w:rPr>
        <w:t xml:space="preserve">de la quejosa en cuanto a que las disposiciones </w:t>
      </w:r>
      <w:r w:rsidR="00321E8B" w:rsidRPr="00A73ED7">
        <w:rPr>
          <w:sz w:val="27"/>
          <w:szCs w:val="27"/>
        </w:rPr>
        <w:t>estudiadas incumplen con</w:t>
      </w:r>
      <w:r w:rsidR="00A075ED" w:rsidRPr="00A73ED7">
        <w:rPr>
          <w:sz w:val="27"/>
          <w:szCs w:val="27"/>
        </w:rPr>
        <w:t xml:space="preserve"> </w:t>
      </w:r>
      <w:r w:rsidR="004C234E" w:rsidRPr="00A73ED7">
        <w:rPr>
          <w:sz w:val="27"/>
          <w:szCs w:val="27"/>
        </w:rPr>
        <w:t>el</w:t>
      </w:r>
      <w:r w:rsidR="004C234E" w:rsidRPr="00A73ED7">
        <w:rPr>
          <w:i/>
          <w:iCs/>
          <w:sz w:val="27"/>
          <w:szCs w:val="27"/>
        </w:rPr>
        <w:t xml:space="preserve"> Acuerdo Sobre Obstáculos Técnicos al Comercio; el</w:t>
      </w:r>
      <w:r w:rsidR="004C234E" w:rsidRPr="00A73ED7">
        <w:rPr>
          <w:sz w:val="27"/>
          <w:szCs w:val="27"/>
        </w:rPr>
        <w:t xml:space="preserve"> </w:t>
      </w:r>
      <w:r w:rsidR="004C234E" w:rsidRPr="00A73ED7">
        <w:rPr>
          <w:i/>
          <w:iCs/>
          <w:sz w:val="27"/>
          <w:szCs w:val="27"/>
        </w:rPr>
        <w:t>Acuerdo Sobre Aplicación de Medidas Sanitarias Fitosanitarias de la Organización Mundial del Comercio</w:t>
      </w:r>
      <w:r w:rsidR="00BD3CD2" w:rsidRPr="00A73ED7">
        <w:rPr>
          <w:i/>
          <w:iCs/>
          <w:sz w:val="27"/>
          <w:szCs w:val="27"/>
        </w:rPr>
        <w:t xml:space="preserve">, </w:t>
      </w:r>
      <w:r w:rsidR="00BD3CD2" w:rsidRPr="00A73ED7">
        <w:rPr>
          <w:sz w:val="27"/>
          <w:szCs w:val="27"/>
        </w:rPr>
        <w:t>y</w:t>
      </w:r>
      <w:r w:rsidR="00BD3CD2" w:rsidRPr="00A73ED7">
        <w:rPr>
          <w:i/>
          <w:iCs/>
          <w:sz w:val="27"/>
          <w:szCs w:val="27"/>
        </w:rPr>
        <w:t xml:space="preserve"> el</w:t>
      </w:r>
      <w:r w:rsidR="004C234E" w:rsidRPr="00A73ED7">
        <w:rPr>
          <w:i/>
          <w:iCs/>
          <w:sz w:val="27"/>
          <w:szCs w:val="27"/>
        </w:rPr>
        <w:t xml:space="preserve"> Tratado de Libre Comercio de América del </w:t>
      </w:r>
      <w:r w:rsidR="004C234E" w:rsidRPr="00A73ED7">
        <w:rPr>
          <w:i/>
          <w:iCs/>
          <w:sz w:val="27"/>
          <w:szCs w:val="27"/>
        </w:rPr>
        <w:lastRenderedPageBreak/>
        <w:t>Norte</w:t>
      </w:r>
      <w:r w:rsidR="00BD3CD2" w:rsidRPr="00A73ED7">
        <w:rPr>
          <w:i/>
          <w:iCs/>
          <w:sz w:val="27"/>
          <w:szCs w:val="27"/>
        </w:rPr>
        <w:t xml:space="preserve">. </w:t>
      </w:r>
      <w:r w:rsidR="00BD3CD2" w:rsidRPr="00A73ED7">
        <w:rPr>
          <w:sz w:val="27"/>
          <w:szCs w:val="27"/>
        </w:rPr>
        <w:t xml:space="preserve">Esto, pues los argumentos parten de </w:t>
      </w:r>
      <w:r w:rsidR="0086072A" w:rsidRPr="00A73ED7">
        <w:rPr>
          <w:sz w:val="27"/>
          <w:szCs w:val="27"/>
        </w:rPr>
        <w:t xml:space="preserve">una premisa errónea al considerar que el sistema de etiquetado constituye una barrera al comercio, pues la medida en cuestión no le impide a la recurrente dedicarse a la actividad que desee y tampoco se le restringe su participación en el mercado en beneficio de quien ejerce la misma actividad. Aquí, estuve de acuerdo con las razones de la mayoría, simplemente, me parece que estas conducen a declarar </w:t>
      </w:r>
      <w:r w:rsidR="000175B5" w:rsidRPr="00A73ED7">
        <w:rPr>
          <w:sz w:val="27"/>
          <w:szCs w:val="27"/>
        </w:rPr>
        <w:t>infundad</w:t>
      </w:r>
      <w:r w:rsidR="002D52BA" w:rsidRPr="00A73ED7">
        <w:rPr>
          <w:sz w:val="27"/>
          <w:szCs w:val="27"/>
        </w:rPr>
        <w:t>o</w:t>
      </w:r>
      <w:r w:rsidR="000175B5" w:rsidRPr="00A73ED7">
        <w:rPr>
          <w:sz w:val="27"/>
          <w:szCs w:val="27"/>
        </w:rPr>
        <w:t>s</w:t>
      </w:r>
      <w:r w:rsidR="002D52BA" w:rsidRPr="00A73ED7">
        <w:rPr>
          <w:sz w:val="27"/>
          <w:szCs w:val="27"/>
        </w:rPr>
        <w:t xml:space="preserve"> los argumentos de la quejosa</w:t>
      </w:r>
      <w:r w:rsidR="000175B5" w:rsidRPr="00A73ED7">
        <w:rPr>
          <w:sz w:val="27"/>
          <w:szCs w:val="27"/>
        </w:rPr>
        <w:t xml:space="preserve"> en lugar de inoperantes.</w:t>
      </w:r>
    </w:p>
    <w:p w14:paraId="592387EE" w14:textId="77777777" w:rsidR="00A51D26" w:rsidRPr="00A73ED7" w:rsidRDefault="00A51D26" w:rsidP="00A51D26">
      <w:pPr>
        <w:rPr>
          <w:sz w:val="27"/>
          <w:szCs w:val="27"/>
        </w:rPr>
      </w:pPr>
    </w:p>
    <w:p w14:paraId="16B7F8BD" w14:textId="77777777" w:rsidR="00757C65" w:rsidRPr="00A73ED7" w:rsidRDefault="00757C65" w:rsidP="00757C65">
      <w:pPr>
        <w:rPr>
          <w:sz w:val="27"/>
          <w:szCs w:val="27"/>
        </w:rPr>
      </w:pPr>
    </w:p>
    <w:p w14:paraId="7883D250" w14:textId="77777777" w:rsidR="00375C80" w:rsidRPr="00A73ED7" w:rsidRDefault="00375C80" w:rsidP="00757C65">
      <w:pPr>
        <w:rPr>
          <w:sz w:val="27"/>
          <w:szCs w:val="27"/>
        </w:rPr>
      </w:pPr>
    </w:p>
    <w:p w14:paraId="5F59FE59" w14:textId="595B4A06" w:rsidR="00486DC0" w:rsidRPr="00A73ED7" w:rsidRDefault="00486DC0" w:rsidP="00030C6E">
      <w:pPr>
        <w:jc w:val="center"/>
        <w:rPr>
          <w:rFonts w:eastAsia="Calibri"/>
          <w:b/>
          <w:bCs/>
          <w:sz w:val="27"/>
          <w:szCs w:val="27"/>
        </w:rPr>
      </w:pPr>
      <w:r w:rsidRPr="00A73ED7">
        <w:rPr>
          <w:rFonts w:eastAsia="Calibri"/>
          <w:b/>
          <w:bCs/>
          <w:sz w:val="27"/>
          <w:szCs w:val="27"/>
        </w:rPr>
        <w:t>__________________________________</w:t>
      </w:r>
      <w:r w:rsidR="00A73ED7">
        <w:rPr>
          <w:rFonts w:eastAsia="Calibri"/>
          <w:b/>
          <w:bCs/>
          <w:sz w:val="27"/>
          <w:szCs w:val="27"/>
        </w:rPr>
        <w:t>________________</w:t>
      </w:r>
      <w:r w:rsidRPr="00A73ED7">
        <w:rPr>
          <w:rFonts w:eastAsia="Calibri"/>
          <w:b/>
          <w:bCs/>
          <w:sz w:val="27"/>
          <w:szCs w:val="27"/>
        </w:rPr>
        <w:t>__</w:t>
      </w:r>
    </w:p>
    <w:p w14:paraId="2A57BFF4" w14:textId="41491342" w:rsidR="00486DC0" w:rsidRPr="00A73ED7" w:rsidRDefault="00486DC0" w:rsidP="00030C6E">
      <w:pPr>
        <w:jc w:val="center"/>
        <w:rPr>
          <w:rFonts w:eastAsia="Calibri"/>
          <w:b/>
          <w:bCs/>
          <w:sz w:val="27"/>
          <w:szCs w:val="27"/>
        </w:rPr>
      </w:pPr>
      <w:r w:rsidRPr="00A73ED7">
        <w:rPr>
          <w:rFonts w:eastAsia="Calibri"/>
          <w:b/>
          <w:bCs/>
          <w:sz w:val="27"/>
          <w:szCs w:val="27"/>
        </w:rPr>
        <w:t>MINISTRO JUAN LUIS GONZÁLEZ ALCÁNTARA</w:t>
      </w:r>
      <w:r w:rsidR="00A73ED7">
        <w:rPr>
          <w:rFonts w:eastAsia="Calibri"/>
          <w:b/>
          <w:bCs/>
          <w:sz w:val="27"/>
          <w:szCs w:val="27"/>
        </w:rPr>
        <w:t xml:space="preserve"> </w:t>
      </w:r>
      <w:r w:rsidRPr="00A73ED7">
        <w:rPr>
          <w:rFonts w:eastAsia="Calibri"/>
          <w:b/>
          <w:bCs/>
          <w:sz w:val="27"/>
          <w:szCs w:val="27"/>
        </w:rPr>
        <w:t>CARRANCÁ</w:t>
      </w:r>
    </w:p>
    <w:p w14:paraId="036BCDDC" w14:textId="77777777" w:rsidR="00486DC0" w:rsidRPr="00A73ED7" w:rsidRDefault="00486DC0" w:rsidP="00030C6E">
      <w:pPr>
        <w:jc w:val="center"/>
        <w:rPr>
          <w:rFonts w:eastAsia="Calibri"/>
          <w:b/>
          <w:bCs/>
          <w:sz w:val="27"/>
          <w:szCs w:val="27"/>
        </w:rPr>
      </w:pPr>
    </w:p>
    <w:p w14:paraId="7951C2E6" w14:textId="11A58E39" w:rsidR="00486DC0" w:rsidRPr="00A73ED7" w:rsidRDefault="00486DC0" w:rsidP="00030C6E">
      <w:pPr>
        <w:jc w:val="center"/>
        <w:rPr>
          <w:rFonts w:eastAsia="Calibri"/>
          <w:b/>
          <w:bCs/>
          <w:sz w:val="27"/>
          <w:szCs w:val="27"/>
        </w:rPr>
      </w:pPr>
    </w:p>
    <w:p w14:paraId="174DDF0D" w14:textId="4CDEA88F" w:rsidR="00971B17" w:rsidRPr="00A73ED7" w:rsidRDefault="00971B17" w:rsidP="00030C6E">
      <w:pPr>
        <w:jc w:val="center"/>
        <w:rPr>
          <w:rFonts w:eastAsia="Calibri"/>
          <w:b/>
          <w:bCs/>
          <w:sz w:val="27"/>
          <w:szCs w:val="27"/>
        </w:rPr>
      </w:pPr>
    </w:p>
    <w:p w14:paraId="50AEE804" w14:textId="77777777" w:rsidR="00486DC0" w:rsidRPr="00A73ED7" w:rsidRDefault="00486DC0" w:rsidP="00030C6E">
      <w:pPr>
        <w:jc w:val="center"/>
        <w:rPr>
          <w:rFonts w:eastAsia="Calibri"/>
          <w:b/>
          <w:bCs/>
          <w:sz w:val="27"/>
          <w:szCs w:val="27"/>
        </w:rPr>
      </w:pPr>
      <w:r w:rsidRPr="00A73ED7">
        <w:rPr>
          <w:rFonts w:eastAsia="Calibri"/>
          <w:b/>
          <w:bCs/>
          <w:sz w:val="27"/>
          <w:szCs w:val="27"/>
        </w:rPr>
        <w:t>____________________________________</w:t>
      </w:r>
    </w:p>
    <w:p w14:paraId="6107C209" w14:textId="77777777" w:rsidR="00486DC0" w:rsidRPr="00A73ED7" w:rsidRDefault="00486DC0" w:rsidP="00030C6E">
      <w:pPr>
        <w:jc w:val="center"/>
        <w:rPr>
          <w:rFonts w:eastAsia="Calibri"/>
          <w:b/>
          <w:bCs/>
          <w:sz w:val="27"/>
          <w:szCs w:val="27"/>
        </w:rPr>
      </w:pPr>
      <w:r w:rsidRPr="00A73ED7">
        <w:rPr>
          <w:rFonts w:eastAsia="Calibri"/>
          <w:b/>
          <w:bCs/>
          <w:sz w:val="27"/>
          <w:szCs w:val="27"/>
        </w:rPr>
        <w:t>LICENCIADO RAFAEL COELLO CETINA</w:t>
      </w:r>
    </w:p>
    <w:p w14:paraId="01ABB248" w14:textId="77777777" w:rsidR="00486DC0" w:rsidRPr="00A73ED7" w:rsidRDefault="00486DC0" w:rsidP="00030C6E">
      <w:pPr>
        <w:jc w:val="center"/>
        <w:rPr>
          <w:rFonts w:eastAsia="Calibri"/>
          <w:b/>
          <w:bCs/>
          <w:sz w:val="27"/>
          <w:szCs w:val="27"/>
        </w:rPr>
      </w:pPr>
      <w:r w:rsidRPr="00A73ED7">
        <w:rPr>
          <w:rFonts w:eastAsia="Calibri"/>
          <w:b/>
          <w:bCs/>
          <w:sz w:val="27"/>
          <w:szCs w:val="27"/>
        </w:rPr>
        <w:t>SECRETARIO GENERAL DE ACUERDOS</w:t>
      </w:r>
    </w:p>
    <w:p w14:paraId="5F6B3224" w14:textId="206D98D8" w:rsidR="00486DC0" w:rsidRPr="00676405" w:rsidRDefault="00486DC0" w:rsidP="0055650C"/>
    <w:p w14:paraId="76173B8F" w14:textId="77777777" w:rsidR="00971B17" w:rsidRPr="00676405" w:rsidRDefault="00971B17" w:rsidP="0055650C"/>
    <w:p w14:paraId="1DA17993" w14:textId="312FEE77" w:rsidR="00486DC0" w:rsidRPr="00676405" w:rsidRDefault="00486DC0" w:rsidP="00A73ED7">
      <w:pPr>
        <w:tabs>
          <w:tab w:val="left" w:pos="2127"/>
        </w:tabs>
        <w:jc w:val="right"/>
      </w:pPr>
      <w:r w:rsidRPr="00676405">
        <w:t>JCSV</w:t>
      </w:r>
    </w:p>
    <w:sectPr w:rsidR="00486DC0" w:rsidRPr="00676405" w:rsidSect="00975CDB">
      <w:headerReference w:type="default" r:id="rId8"/>
      <w:footerReference w:type="default" r:id="rId9"/>
      <w:footerReference w:type="first" r:id="rId10"/>
      <w:pgSz w:w="12242" w:h="19295" w:code="305"/>
      <w:pgMar w:top="1417" w:right="1701" w:bottom="1417"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773D2" w14:textId="77777777" w:rsidR="00DC68E7" w:rsidRDefault="00DC68E7" w:rsidP="0055650C">
      <w:r>
        <w:separator/>
      </w:r>
    </w:p>
  </w:endnote>
  <w:endnote w:type="continuationSeparator" w:id="0">
    <w:p w14:paraId="5C631C14" w14:textId="77777777" w:rsidR="00DC68E7" w:rsidRDefault="00DC68E7" w:rsidP="0055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766294"/>
      <w:docPartObj>
        <w:docPartGallery w:val="Page Numbers (Bottom of Page)"/>
        <w:docPartUnique/>
      </w:docPartObj>
    </w:sdtPr>
    <w:sdtContent>
      <w:p w14:paraId="6346DA36" w14:textId="4D7F2DBC" w:rsidR="00975CDB" w:rsidRDefault="00975CDB">
        <w:pPr>
          <w:pStyle w:val="Piedepgina"/>
          <w:jc w:val="center"/>
        </w:pPr>
        <w:r>
          <w:fldChar w:fldCharType="begin"/>
        </w:r>
        <w:r>
          <w:instrText>PAGE   \* MERGEFORMAT</w:instrText>
        </w:r>
        <w:r>
          <w:fldChar w:fldCharType="separate"/>
        </w:r>
        <w:r>
          <w:rPr>
            <w:lang w:val="es-ES"/>
          </w:rPr>
          <w:t>2</w:t>
        </w:r>
        <w:r>
          <w:fldChar w:fldCharType="end"/>
        </w:r>
      </w:p>
    </w:sdtContent>
  </w:sdt>
  <w:p w14:paraId="0174B01F" w14:textId="77777777" w:rsidR="00130573" w:rsidRDefault="00130573" w:rsidP="005565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7211371"/>
      <w:docPartObj>
        <w:docPartGallery w:val="Page Numbers (Bottom of Page)"/>
        <w:docPartUnique/>
      </w:docPartObj>
    </w:sdtPr>
    <w:sdtContent>
      <w:p w14:paraId="475F3849" w14:textId="2D742A3E" w:rsidR="00975CDB" w:rsidRDefault="00975CDB">
        <w:pPr>
          <w:pStyle w:val="Piedepgina"/>
          <w:jc w:val="center"/>
        </w:pPr>
        <w:r>
          <w:fldChar w:fldCharType="begin"/>
        </w:r>
        <w:r>
          <w:instrText>PAGE   \* MERGEFORMAT</w:instrText>
        </w:r>
        <w:r>
          <w:fldChar w:fldCharType="separate"/>
        </w:r>
        <w:r>
          <w:rPr>
            <w:lang w:val="es-ES"/>
          </w:rPr>
          <w:t>2</w:t>
        </w:r>
        <w:r>
          <w:fldChar w:fldCharType="end"/>
        </w:r>
      </w:p>
    </w:sdtContent>
  </w:sdt>
  <w:p w14:paraId="77DDAA6A" w14:textId="77777777" w:rsidR="00D563A5" w:rsidRDefault="00D563A5" w:rsidP="005565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38B51" w14:textId="77777777" w:rsidR="00DC68E7" w:rsidRDefault="00DC68E7" w:rsidP="0055650C">
      <w:r>
        <w:separator/>
      </w:r>
    </w:p>
  </w:footnote>
  <w:footnote w:type="continuationSeparator" w:id="0">
    <w:p w14:paraId="3392060B" w14:textId="77777777" w:rsidR="00DC68E7" w:rsidRDefault="00DC68E7" w:rsidP="00556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DB850" w14:textId="56636898" w:rsidR="00971B18" w:rsidRPr="00F159A8" w:rsidRDefault="00390393" w:rsidP="00975CDB">
    <w:pPr>
      <w:pStyle w:val="Encabezado"/>
      <w:jc w:val="right"/>
      <w:rPr>
        <w:b/>
        <w:bCs/>
      </w:rPr>
    </w:pPr>
    <w:r>
      <w:rPr>
        <w:b/>
        <w:bCs/>
      </w:rPr>
      <w:t>AMPARO EN REVISIÓN</w:t>
    </w:r>
    <w:r w:rsidR="00971B18" w:rsidRPr="00F159A8">
      <w:rPr>
        <w:b/>
        <w:bCs/>
      </w:rPr>
      <w:t xml:space="preserve"> </w:t>
    </w:r>
    <w:r>
      <w:rPr>
        <w:b/>
        <w:bCs/>
      </w:rPr>
      <w:t>227</w:t>
    </w:r>
    <w:r w:rsidR="00971B18" w:rsidRPr="00F159A8">
      <w:rPr>
        <w:b/>
        <w:bCs/>
      </w:rPr>
      <w:t>/20</w:t>
    </w:r>
    <w:r>
      <w:rPr>
        <w:b/>
        <w:bCs/>
      </w:rPr>
      <w:t>22</w:t>
    </w:r>
  </w:p>
  <w:p w14:paraId="3225B992" w14:textId="367B1DD1" w:rsidR="00810687" w:rsidRPr="00F159A8" w:rsidRDefault="00810687" w:rsidP="00975CDB">
    <w:pPr>
      <w:pStyle w:val="Encabezado"/>
      <w:jc w:val="right"/>
      <w:rPr>
        <w:b/>
        <w:bCs/>
      </w:rPr>
    </w:pPr>
    <w:r w:rsidRPr="00F159A8">
      <w:rPr>
        <w:b/>
        <w:bCs/>
      </w:rPr>
      <w:t>VOTO</w:t>
    </w:r>
    <w:r w:rsidR="00D05110" w:rsidRPr="00F159A8">
      <w:rPr>
        <w:b/>
        <w:bCs/>
      </w:rPr>
      <w:t xml:space="preserve"> </w:t>
    </w:r>
    <w:r w:rsidRPr="00F159A8">
      <w:rPr>
        <w:b/>
        <w:bCs/>
      </w:rPr>
      <w:t>CONCURRENTE</w:t>
    </w:r>
  </w:p>
  <w:p w14:paraId="0403EA28" w14:textId="77777777" w:rsidR="00810687" w:rsidRDefault="00810687" w:rsidP="005565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97314"/>
    <w:multiLevelType w:val="hybridMultilevel"/>
    <w:tmpl w:val="85A69144"/>
    <w:lvl w:ilvl="0" w:tplc="5BF4F95A">
      <w:start w:val="1"/>
      <w:numFmt w:val="decimal"/>
      <w:pStyle w:val="Prrafodelista"/>
      <w:lvlText w:val="%1."/>
      <w:lvlJc w:val="left"/>
      <w:pPr>
        <w:ind w:left="153" w:hanging="360"/>
      </w:pPr>
    </w:lvl>
    <w:lvl w:ilvl="1" w:tplc="080A0019">
      <w:start w:val="1"/>
      <w:numFmt w:val="lowerLetter"/>
      <w:lvlText w:val="%2."/>
      <w:lvlJc w:val="left"/>
      <w:pPr>
        <w:ind w:left="873" w:hanging="360"/>
      </w:pPr>
    </w:lvl>
    <w:lvl w:ilvl="2" w:tplc="080A001B">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 w15:restartNumberingAfterBreak="0">
    <w:nsid w:val="122662E8"/>
    <w:multiLevelType w:val="hybridMultilevel"/>
    <w:tmpl w:val="A3D804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B235D1"/>
    <w:multiLevelType w:val="hybridMultilevel"/>
    <w:tmpl w:val="CA1E7FF4"/>
    <w:lvl w:ilvl="0" w:tplc="31D655AA">
      <w:start w:val="137"/>
      <w:numFmt w:val="decimal"/>
      <w:lvlText w:val="%1."/>
      <w:lvlJc w:val="left"/>
      <w:pPr>
        <w:ind w:left="930" w:hanging="57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C27B01"/>
    <w:multiLevelType w:val="multilevel"/>
    <w:tmpl w:val="CEB21688"/>
    <w:styleLink w:val="Estilo1"/>
    <w:lvl w:ilvl="0">
      <w:start w:val="1"/>
      <w:numFmt w:val="decimal"/>
      <w:lvlText w:val="%1."/>
      <w:lvlJc w:val="left"/>
      <w:pPr>
        <w:ind w:left="567" w:hanging="1134"/>
      </w:pPr>
      <w:rPr>
        <w:rFonts w:hint="default"/>
        <w:color w:val="auto"/>
      </w:rPr>
    </w:lvl>
    <w:lvl w:ilvl="1">
      <w:start w:val="1"/>
      <w:numFmt w:val="lowerLetter"/>
      <w:lvlText w:val="%2."/>
      <w:lvlJc w:val="left"/>
      <w:pPr>
        <w:ind w:left="873" w:hanging="36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4" w15:restartNumberingAfterBreak="0">
    <w:nsid w:val="292416C8"/>
    <w:multiLevelType w:val="hybridMultilevel"/>
    <w:tmpl w:val="F2428DB6"/>
    <w:lvl w:ilvl="0" w:tplc="537E994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7C5238"/>
    <w:multiLevelType w:val="hybridMultilevel"/>
    <w:tmpl w:val="2FD20010"/>
    <w:lvl w:ilvl="0" w:tplc="BD561C9A">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4370C13"/>
    <w:multiLevelType w:val="hybridMultilevel"/>
    <w:tmpl w:val="F8E408E0"/>
    <w:lvl w:ilvl="0" w:tplc="1230154C">
      <w:start w:val="1"/>
      <w:numFmt w:val="decimal"/>
      <w:lvlText w:val="%1."/>
      <w:lvlJc w:val="left"/>
      <w:pPr>
        <w:ind w:left="643" w:hanging="360"/>
      </w:pPr>
      <w:rPr>
        <w:rFonts w:hint="default"/>
        <w:b w:val="0"/>
        <w:bCs/>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5349422">
    <w:abstractNumId w:val="4"/>
  </w:num>
  <w:num w:numId="2" w16cid:durableId="557782497">
    <w:abstractNumId w:val="0"/>
  </w:num>
  <w:num w:numId="3" w16cid:durableId="335769269">
    <w:abstractNumId w:val="1"/>
  </w:num>
  <w:num w:numId="4" w16cid:durableId="1883975445">
    <w:abstractNumId w:val="5"/>
  </w:num>
  <w:num w:numId="5" w16cid:durableId="128785444">
    <w:abstractNumId w:val="3"/>
  </w:num>
  <w:num w:numId="6" w16cid:durableId="458186498">
    <w:abstractNumId w:val="6"/>
  </w:num>
  <w:num w:numId="7" w16cid:durableId="229467802">
    <w:abstractNumId w:val="2"/>
  </w:num>
  <w:num w:numId="8" w16cid:durableId="2028091615">
    <w:abstractNumId w:val="5"/>
    <w:lvlOverride w:ilvl="0">
      <w:startOverride w:val="1"/>
    </w:lvlOverride>
  </w:num>
  <w:num w:numId="9" w16cid:durableId="838425182">
    <w:abstractNumId w:val="0"/>
    <w:lvlOverride w:ilvl="0">
      <w:startOverride w:val="1"/>
    </w:lvlOverride>
    <w:lvlOverride w:ilvl="1">
      <w:startOverride w:val="2"/>
    </w:lvlOverride>
  </w:num>
  <w:num w:numId="10" w16cid:durableId="717553806">
    <w:abstractNumId w:val="0"/>
    <w:lvlOverride w:ilvl="0">
      <w:startOverride w:val="1"/>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39C"/>
    <w:rsid w:val="0000203E"/>
    <w:rsid w:val="00002C2F"/>
    <w:rsid w:val="00004073"/>
    <w:rsid w:val="0001170F"/>
    <w:rsid w:val="00014BC7"/>
    <w:rsid w:val="000175B5"/>
    <w:rsid w:val="00017D76"/>
    <w:rsid w:val="000219EC"/>
    <w:rsid w:val="00021C46"/>
    <w:rsid w:val="000227E4"/>
    <w:rsid w:val="00023005"/>
    <w:rsid w:val="000234DA"/>
    <w:rsid w:val="000264EF"/>
    <w:rsid w:val="00030C6E"/>
    <w:rsid w:val="00031547"/>
    <w:rsid w:val="00033FA2"/>
    <w:rsid w:val="000357CF"/>
    <w:rsid w:val="000376B7"/>
    <w:rsid w:val="000402EB"/>
    <w:rsid w:val="00045016"/>
    <w:rsid w:val="000451F1"/>
    <w:rsid w:val="000474A4"/>
    <w:rsid w:val="00051866"/>
    <w:rsid w:val="000518B2"/>
    <w:rsid w:val="0005325A"/>
    <w:rsid w:val="00055130"/>
    <w:rsid w:val="0005607E"/>
    <w:rsid w:val="0006212B"/>
    <w:rsid w:val="0006309D"/>
    <w:rsid w:val="00066773"/>
    <w:rsid w:val="0007190D"/>
    <w:rsid w:val="00071A9B"/>
    <w:rsid w:val="00072879"/>
    <w:rsid w:val="000730DD"/>
    <w:rsid w:val="00074D53"/>
    <w:rsid w:val="00076CA9"/>
    <w:rsid w:val="0008163A"/>
    <w:rsid w:val="000941A0"/>
    <w:rsid w:val="00095F4E"/>
    <w:rsid w:val="000A1524"/>
    <w:rsid w:val="000A24F5"/>
    <w:rsid w:val="000A3B2E"/>
    <w:rsid w:val="000A59A0"/>
    <w:rsid w:val="000A7D35"/>
    <w:rsid w:val="000A7FE8"/>
    <w:rsid w:val="000B321A"/>
    <w:rsid w:val="000B4BE2"/>
    <w:rsid w:val="000B6AC5"/>
    <w:rsid w:val="000C30F0"/>
    <w:rsid w:val="000C5B98"/>
    <w:rsid w:val="000D3418"/>
    <w:rsid w:val="000D5747"/>
    <w:rsid w:val="000E3C28"/>
    <w:rsid w:val="000E5813"/>
    <w:rsid w:val="000F3857"/>
    <w:rsid w:val="000F3D52"/>
    <w:rsid w:val="000F3E58"/>
    <w:rsid w:val="000F52F0"/>
    <w:rsid w:val="00101EB0"/>
    <w:rsid w:val="00105A7E"/>
    <w:rsid w:val="001122D9"/>
    <w:rsid w:val="00112D7E"/>
    <w:rsid w:val="00112F48"/>
    <w:rsid w:val="0011470E"/>
    <w:rsid w:val="00115517"/>
    <w:rsid w:val="00115919"/>
    <w:rsid w:val="00116A01"/>
    <w:rsid w:val="00120F09"/>
    <w:rsid w:val="001225BE"/>
    <w:rsid w:val="001244BC"/>
    <w:rsid w:val="00124650"/>
    <w:rsid w:val="001261D6"/>
    <w:rsid w:val="00130573"/>
    <w:rsid w:val="00130672"/>
    <w:rsid w:val="00130A62"/>
    <w:rsid w:val="00130CF0"/>
    <w:rsid w:val="00131419"/>
    <w:rsid w:val="00137C62"/>
    <w:rsid w:val="00140BC8"/>
    <w:rsid w:val="0014670C"/>
    <w:rsid w:val="00146A42"/>
    <w:rsid w:val="001543A2"/>
    <w:rsid w:val="00154AF1"/>
    <w:rsid w:val="00160BBC"/>
    <w:rsid w:val="00162D72"/>
    <w:rsid w:val="00163609"/>
    <w:rsid w:val="001646BE"/>
    <w:rsid w:val="001646F6"/>
    <w:rsid w:val="00167AF3"/>
    <w:rsid w:val="00172DEC"/>
    <w:rsid w:val="0017384C"/>
    <w:rsid w:val="00173DE6"/>
    <w:rsid w:val="00175951"/>
    <w:rsid w:val="00175C1F"/>
    <w:rsid w:val="00176C6B"/>
    <w:rsid w:val="00177631"/>
    <w:rsid w:val="0018218C"/>
    <w:rsid w:val="001925A6"/>
    <w:rsid w:val="00192DBA"/>
    <w:rsid w:val="001937FD"/>
    <w:rsid w:val="00194BB5"/>
    <w:rsid w:val="00195183"/>
    <w:rsid w:val="0019579D"/>
    <w:rsid w:val="001976DF"/>
    <w:rsid w:val="001A00E8"/>
    <w:rsid w:val="001A2ACC"/>
    <w:rsid w:val="001A352F"/>
    <w:rsid w:val="001A6053"/>
    <w:rsid w:val="001A74C3"/>
    <w:rsid w:val="001B188A"/>
    <w:rsid w:val="001B1F51"/>
    <w:rsid w:val="001B4D3F"/>
    <w:rsid w:val="001B55C2"/>
    <w:rsid w:val="001B6C92"/>
    <w:rsid w:val="001C4D32"/>
    <w:rsid w:val="001C5F2B"/>
    <w:rsid w:val="001C6272"/>
    <w:rsid w:val="001C7732"/>
    <w:rsid w:val="001D515B"/>
    <w:rsid w:val="001D65ED"/>
    <w:rsid w:val="001E038D"/>
    <w:rsid w:val="001E239C"/>
    <w:rsid w:val="001E762F"/>
    <w:rsid w:val="001E7C04"/>
    <w:rsid w:val="001F0D2B"/>
    <w:rsid w:val="001F25DB"/>
    <w:rsid w:val="001F29F1"/>
    <w:rsid w:val="00207EF1"/>
    <w:rsid w:val="00211BCD"/>
    <w:rsid w:val="00213094"/>
    <w:rsid w:val="002168AD"/>
    <w:rsid w:val="002216EE"/>
    <w:rsid w:val="002229BF"/>
    <w:rsid w:val="002233ED"/>
    <w:rsid w:val="0022774F"/>
    <w:rsid w:val="00231236"/>
    <w:rsid w:val="00232F35"/>
    <w:rsid w:val="002355F9"/>
    <w:rsid w:val="0023607F"/>
    <w:rsid w:val="00236779"/>
    <w:rsid w:val="0024090A"/>
    <w:rsid w:val="00251090"/>
    <w:rsid w:val="002517AB"/>
    <w:rsid w:val="0025523E"/>
    <w:rsid w:val="00257660"/>
    <w:rsid w:val="0026274D"/>
    <w:rsid w:val="002651C2"/>
    <w:rsid w:val="002654A5"/>
    <w:rsid w:val="002662AA"/>
    <w:rsid w:val="0026639A"/>
    <w:rsid w:val="00267743"/>
    <w:rsid w:val="002747D8"/>
    <w:rsid w:val="00276EBB"/>
    <w:rsid w:val="00277DBB"/>
    <w:rsid w:val="00280088"/>
    <w:rsid w:val="002829F5"/>
    <w:rsid w:val="002833CF"/>
    <w:rsid w:val="002836CE"/>
    <w:rsid w:val="00283ACD"/>
    <w:rsid w:val="00284B70"/>
    <w:rsid w:val="00290AED"/>
    <w:rsid w:val="002915CC"/>
    <w:rsid w:val="00292147"/>
    <w:rsid w:val="0029319B"/>
    <w:rsid w:val="0029353B"/>
    <w:rsid w:val="00293CFF"/>
    <w:rsid w:val="0029469A"/>
    <w:rsid w:val="002958D0"/>
    <w:rsid w:val="00297270"/>
    <w:rsid w:val="002A6DF7"/>
    <w:rsid w:val="002B159B"/>
    <w:rsid w:val="002B4309"/>
    <w:rsid w:val="002B4977"/>
    <w:rsid w:val="002B5319"/>
    <w:rsid w:val="002C1413"/>
    <w:rsid w:val="002C36B7"/>
    <w:rsid w:val="002C62A4"/>
    <w:rsid w:val="002C799E"/>
    <w:rsid w:val="002D0638"/>
    <w:rsid w:val="002D0B87"/>
    <w:rsid w:val="002D217D"/>
    <w:rsid w:val="002D3373"/>
    <w:rsid w:val="002D39CF"/>
    <w:rsid w:val="002D52BA"/>
    <w:rsid w:val="002D6261"/>
    <w:rsid w:val="002D633A"/>
    <w:rsid w:val="002E267B"/>
    <w:rsid w:val="002E56C3"/>
    <w:rsid w:val="002E5A4A"/>
    <w:rsid w:val="002F69A2"/>
    <w:rsid w:val="002F77B0"/>
    <w:rsid w:val="00300733"/>
    <w:rsid w:val="00300D9C"/>
    <w:rsid w:val="00301FA0"/>
    <w:rsid w:val="00303423"/>
    <w:rsid w:val="003059AF"/>
    <w:rsid w:val="00310F73"/>
    <w:rsid w:val="003117B3"/>
    <w:rsid w:val="003154C4"/>
    <w:rsid w:val="003209E9"/>
    <w:rsid w:val="00321120"/>
    <w:rsid w:val="00321E8B"/>
    <w:rsid w:val="00324123"/>
    <w:rsid w:val="00324C03"/>
    <w:rsid w:val="00325C3F"/>
    <w:rsid w:val="00326434"/>
    <w:rsid w:val="00334EB9"/>
    <w:rsid w:val="003425C1"/>
    <w:rsid w:val="00342C25"/>
    <w:rsid w:val="003431DE"/>
    <w:rsid w:val="003436C7"/>
    <w:rsid w:val="00344805"/>
    <w:rsid w:val="0035064F"/>
    <w:rsid w:val="003545CA"/>
    <w:rsid w:val="0036009D"/>
    <w:rsid w:val="00360B69"/>
    <w:rsid w:val="003622EF"/>
    <w:rsid w:val="00366241"/>
    <w:rsid w:val="00366AA2"/>
    <w:rsid w:val="003675D3"/>
    <w:rsid w:val="00367D09"/>
    <w:rsid w:val="00373A11"/>
    <w:rsid w:val="00375C80"/>
    <w:rsid w:val="003801AC"/>
    <w:rsid w:val="003812A8"/>
    <w:rsid w:val="00383AFA"/>
    <w:rsid w:val="00385FB8"/>
    <w:rsid w:val="00390393"/>
    <w:rsid w:val="0039242B"/>
    <w:rsid w:val="00392589"/>
    <w:rsid w:val="00393FFD"/>
    <w:rsid w:val="00395884"/>
    <w:rsid w:val="00396BCD"/>
    <w:rsid w:val="003A2771"/>
    <w:rsid w:val="003A3DA5"/>
    <w:rsid w:val="003B4557"/>
    <w:rsid w:val="003B553F"/>
    <w:rsid w:val="003B6398"/>
    <w:rsid w:val="003B7628"/>
    <w:rsid w:val="003B77FD"/>
    <w:rsid w:val="003C0956"/>
    <w:rsid w:val="003C1DFE"/>
    <w:rsid w:val="003C22DB"/>
    <w:rsid w:val="003C33D4"/>
    <w:rsid w:val="003C519B"/>
    <w:rsid w:val="003D24C8"/>
    <w:rsid w:val="003D3834"/>
    <w:rsid w:val="003D6E02"/>
    <w:rsid w:val="003E1B6A"/>
    <w:rsid w:val="003E2D72"/>
    <w:rsid w:val="003E4B38"/>
    <w:rsid w:val="003E4E3A"/>
    <w:rsid w:val="003E680F"/>
    <w:rsid w:val="003F065F"/>
    <w:rsid w:val="003F4DDA"/>
    <w:rsid w:val="003F4FFD"/>
    <w:rsid w:val="003F628E"/>
    <w:rsid w:val="003F706A"/>
    <w:rsid w:val="00401D0A"/>
    <w:rsid w:val="00403809"/>
    <w:rsid w:val="00404CC8"/>
    <w:rsid w:val="004061AB"/>
    <w:rsid w:val="00412667"/>
    <w:rsid w:val="00412AC1"/>
    <w:rsid w:val="00412E87"/>
    <w:rsid w:val="00413A7F"/>
    <w:rsid w:val="00413D0A"/>
    <w:rsid w:val="0041564C"/>
    <w:rsid w:val="004168F0"/>
    <w:rsid w:val="004202E3"/>
    <w:rsid w:val="004214AA"/>
    <w:rsid w:val="004232BA"/>
    <w:rsid w:val="00426C4A"/>
    <w:rsid w:val="004279AA"/>
    <w:rsid w:val="0043448B"/>
    <w:rsid w:val="00435E02"/>
    <w:rsid w:val="00436850"/>
    <w:rsid w:val="00436A99"/>
    <w:rsid w:val="00440AFB"/>
    <w:rsid w:val="00440AFC"/>
    <w:rsid w:val="00450344"/>
    <w:rsid w:val="0045096D"/>
    <w:rsid w:val="00453603"/>
    <w:rsid w:val="00453FF7"/>
    <w:rsid w:val="00456B71"/>
    <w:rsid w:val="004570F8"/>
    <w:rsid w:val="004634ED"/>
    <w:rsid w:val="00463F0C"/>
    <w:rsid w:val="00470253"/>
    <w:rsid w:val="00470760"/>
    <w:rsid w:val="00471153"/>
    <w:rsid w:val="00471996"/>
    <w:rsid w:val="00471DEF"/>
    <w:rsid w:val="00472BD0"/>
    <w:rsid w:val="00473101"/>
    <w:rsid w:val="0047583E"/>
    <w:rsid w:val="0048090F"/>
    <w:rsid w:val="00485BB3"/>
    <w:rsid w:val="00486DC0"/>
    <w:rsid w:val="004912C4"/>
    <w:rsid w:val="004A04A7"/>
    <w:rsid w:val="004A0E14"/>
    <w:rsid w:val="004A1B66"/>
    <w:rsid w:val="004A21B6"/>
    <w:rsid w:val="004A5C7E"/>
    <w:rsid w:val="004A5D10"/>
    <w:rsid w:val="004A67CE"/>
    <w:rsid w:val="004A6C33"/>
    <w:rsid w:val="004A6F1F"/>
    <w:rsid w:val="004A7A39"/>
    <w:rsid w:val="004B0117"/>
    <w:rsid w:val="004B185B"/>
    <w:rsid w:val="004B2676"/>
    <w:rsid w:val="004B5A1E"/>
    <w:rsid w:val="004B5C50"/>
    <w:rsid w:val="004B5EB7"/>
    <w:rsid w:val="004C0049"/>
    <w:rsid w:val="004C234E"/>
    <w:rsid w:val="004C3148"/>
    <w:rsid w:val="004C522D"/>
    <w:rsid w:val="004C7613"/>
    <w:rsid w:val="004D07C7"/>
    <w:rsid w:val="004D19C8"/>
    <w:rsid w:val="004D332A"/>
    <w:rsid w:val="004E0AC3"/>
    <w:rsid w:val="004E6D99"/>
    <w:rsid w:val="004E7F5E"/>
    <w:rsid w:val="004F0162"/>
    <w:rsid w:val="005015E2"/>
    <w:rsid w:val="005019AB"/>
    <w:rsid w:val="00506674"/>
    <w:rsid w:val="005067D8"/>
    <w:rsid w:val="00506F45"/>
    <w:rsid w:val="00511E55"/>
    <w:rsid w:val="005133A8"/>
    <w:rsid w:val="0051375C"/>
    <w:rsid w:val="005144D3"/>
    <w:rsid w:val="00515F00"/>
    <w:rsid w:val="0052093B"/>
    <w:rsid w:val="00520CC7"/>
    <w:rsid w:val="00525158"/>
    <w:rsid w:val="0052677B"/>
    <w:rsid w:val="00527257"/>
    <w:rsid w:val="00527A75"/>
    <w:rsid w:val="0053269E"/>
    <w:rsid w:val="005332E5"/>
    <w:rsid w:val="00535504"/>
    <w:rsid w:val="00537797"/>
    <w:rsid w:val="00540EDB"/>
    <w:rsid w:val="00541D98"/>
    <w:rsid w:val="005438DA"/>
    <w:rsid w:val="0054394C"/>
    <w:rsid w:val="00544402"/>
    <w:rsid w:val="00546148"/>
    <w:rsid w:val="005501B4"/>
    <w:rsid w:val="005562FC"/>
    <w:rsid w:val="005563D7"/>
    <w:rsid w:val="0055650C"/>
    <w:rsid w:val="00556BB8"/>
    <w:rsid w:val="0056433B"/>
    <w:rsid w:val="00567319"/>
    <w:rsid w:val="0057308C"/>
    <w:rsid w:val="00574B52"/>
    <w:rsid w:val="00581E49"/>
    <w:rsid w:val="00583951"/>
    <w:rsid w:val="005853ED"/>
    <w:rsid w:val="005855A2"/>
    <w:rsid w:val="00585FFB"/>
    <w:rsid w:val="005863D5"/>
    <w:rsid w:val="005907ED"/>
    <w:rsid w:val="005959DE"/>
    <w:rsid w:val="00595AC7"/>
    <w:rsid w:val="005A2D81"/>
    <w:rsid w:val="005A4867"/>
    <w:rsid w:val="005B3A0C"/>
    <w:rsid w:val="005B43C7"/>
    <w:rsid w:val="005B5012"/>
    <w:rsid w:val="005B5B5C"/>
    <w:rsid w:val="005B63DB"/>
    <w:rsid w:val="005C1DCD"/>
    <w:rsid w:val="005C2125"/>
    <w:rsid w:val="005C2DF1"/>
    <w:rsid w:val="005C3405"/>
    <w:rsid w:val="005C37B5"/>
    <w:rsid w:val="005C4784"/>
    <w:rsid w:val="005C7E1F"/>
    <w:rsid w:val="005D04BA"/>
    <w:rsid w:val="005D0C15"/>
    <w:rsid w:val="005D6959"/>
    <w:rsid w:val="005D6AF8"/>
    <w:rsid w:val="005E1B8B"/>
    <w:rsid w:val="005E1C6D"/>
    <w:rsid w:val="005E68C5"/>
    <w:rsid w:val="005F0844"/>
    <w:rsid w:val="005F08B6"/>
    <w:rsid w:val="005F12F4"/>
    <w:rsid w:val="005F418B"/>
    <w:rsid w:val="005F55C8"/>
    <w:rsid w:val="005F79F5"/>
    <w:rsid w:val="00601855"/>
    <w:rsid w:val="00601EE1"/>
    <w:rsid w:val="006048F1"/>
    <w:rsid w:val="0060756C"/>
    <w:rsid w:val="00610567"/>
    <w:rsid w:val="006105B2"/>
    <w:rsid w:val="006122F1"/>
    <w:rsid w:val="0061516C"/>
    <w:rsid w:val="00621E87"/>
    <w:rsid w:val="00625289"/>
    <w:rsid w:val="00625308"/>
    <w:rsid w:val="00627292"/>
    <w:rsid w:val="0063268B"/>
    <w:rsid w:val="0063387E"/>
    <w:rsid w:val="00634045"/>
    <w:rsid w:val="00634700"/>
    <w:rsid w:val="00634F72"/>
    <w:rsid w:val="00635BF8"/>
    <w:rsid w:val="00636C2B"/>
    <w:rsid w:val="00636EC6"/>
    <w:rsid w:val="00637150"/>
    <w:rsid w:val="006374F6"/>
    <w:rsid w:val="00637E64"/>
    <w:rsid w:val="00643114"/>
    <w:rsid w:val="006454D7"/>
    <w:rsid w:val="00651444"/>
    <w:rsid w:val="0065328E"/>
    <w:rsid w:val="0065608E"/>
    <w:rsid w:val="00663E9D"/>
    <w:rsid w:val="00667906"/>
    <w:rsid w:val="00675420"/>
    <w:rsid w:val="006755E1"/>
    <w:rsid w:val="00676405"/>
    <w:rsid w:val="00676655"/>
    <w:rsid w:val="006779CD"/>
    <w:rsid w:val="00677B75"/>
    <w:rsid w:val="00677EE8"/>
    <w:rsid w:val="006811A5"/>
    <w:rsid w:val="006814E5"/>
    <w:rsid w:val="00683102"/>
    <w:rsid w:val="00683A5A"/>
    <w:rsid w:val="0068462B"/>
    <w:rsid w:val="00684E0E"/>
    <w:rsid w:val="00690A1F"/>
    <w:rsid w:val="00690D5F"/>
    <w:rsid w:val="0069187E"/>
    <w:rsid w:val="00691EBE"/>
    <w:rsid w:val="00695D58"/>
    <w:rsid w:val="0069765A"/>
    <w:rsid w:val="00697EBF"/>
    <w:rsid w:val="006A5410"/>
    <w:rsid w:val="006A5A8D"/>
    <w:rsid w:val="006A5EC2"/>
    <w:rsid w:val="006A606D"/>
    <w:rsid w:val="006A7F7E"/>
    <w:rsid w:val="006B0521"/>
    <w:rsid w:val="006B422E"/>
    <w:rsid w:val="006B6072"/>
    <w:rsid w:val="006C2E0C"/>
    <w:rsid w:val="006C35A8"/>
    <w:rsid w:val="006C5515"/>
    <w:rsid w:val="006C63FD"/>
    <w:rsid w:val="006D385B"/>
    <w:rsid w:val="006D6039"/>
    <w:rsid w:val="006E2C00"/>
    <w:rsid w:val="006E432F"/>
    <w:rsid w:val="006E5361"/>
    <w:rsid w:val="006E57E4"/>
    <w:rsid w:val="006E7674"/>
    <w:rsid w:val="006F2E9C"/>
    <w:rsid w:val="006F4C5E"/>
    <w:rsid w:val="006F4DE8"/>
    <w:rsid w:val="006F5BA2"/>
    <w:rsid w:val="006F731A"/>
    <w:rsid w:val="006F7938"/>
    <w:rsid w:val="00701D2B"/>
    <w:rsid w:val="0070608D"/>
    <w:rsid w:val="007113F5"/>
    <w:rsid w:val="007122A5"/>
    <w:rsid w:val="00725C8E"/>
    <w:rsid w:val="00727D9A"/>
    <w:rsid w:val="0073104A"/>
    <w:rsid w:val="0073132E"/>
    <w:rsid w:val="00731517"/>
    <w:rsid w:val="00731768"/>
    <w:rsid w:val="007331B8"/>
    <w:rsid w:val="00736B17"/>
    <w:rsid w:val="007432D3"/>
    <w:rsid w:val="007440CD"/>
    <w:rsid w:val="00745AE6"/>
    <w:rsid w:val="007468D9"/>
    <w:rsid w:val="0074772F"/>
    <w:rsid w:val="007514A7"/>
    <w:rsid w:val="00757C65"/>
    <w:rsid w:val="00760B33"/>
    <w:rsid w:val="00770801"/>
    <w:rsid w:val="00770862"/>
    <w:rsid w:val="007729D7"/>
    <w:rsid w:val="0077436B"/>
    <w:rsid w:val="00774B3F"/>
    <w:rsid w:val="007752CD"/>
    <w:rsid w:val="00776245"/>
    <w:rsid w:val="007852E2"/>
    <w:rsid w:val="0079094F"/>
    <w:rsid w:val="00792933"/>
    <w:rsid w:val="00794E5D"/>
    <w:rsid w:val="00796581"/>
    <w:rsid w:val="00797223"/>
    <w:rsid w:val="007A1532"/>
    <w:rsid w:val="007A1815"/>
    <w:rsid w:val="007A1966"/>
    <w:rsid w:val="007A19D6"/>
    <w:rsid w:val="007A71E0"/>
    <w:rsid w:val="007B23A9"/>
    <w:rsid w:val="007B464C"/>
    <w:rsid w:val="007C0870"/>
    <w:rsid w:val="007C1EBF"/>
    <w:rsid w:val="007C3D90"/>
    <w:rsid w:val="007C4CA8"/>
    <w:rsid w:val="007C7C29"/>
    <w:rsid w:val="007D13B9"/>
    <w:rsid w:val="007D372E"/>
    <w:rsid w:val="007D5119"/>
    <w:rsid w:val="007E142A"/>
    <w:rsid w:val="007E744B"/>
    <w:rsid w:val="007F1391"/>
    <w:rsid w:val="007F32F6"/>
    <w:rsid w:val="007F346C"/>
    <w:rsid w:val="007F3BB2"/>
    <w:rsid w:val="007F4CE2"/>
    <w:rsid w:val="007F67D1"/>
    <w:rsid w:val="007F6962"/>
    <w:rsid w:val="007F702F"/>
    <w:rsid w:val="0080015B"/>
    <w:rsid w:val="00801AE3"/>
    <w:rsid w:val="008039DE"/>
    <w:rsid w:val="00803A9D"/>
    <w:rsid w:val="00804933"/>
    <w:rsid w:val="00804A40"/>
    <w:rsid w:val="0080589F"/>
    <w:rsid w:val="00810687"/>
    <w:rsid w:val="00811609"/>
    <w:rsid w:val="008116C2"/>
    <w:rsid w:val="00812FF1"/>
    <w:rsid w:val="0081432F"/>
    <w:rsid w:val="008165E7"/>
    <w:rsid w:val="00817F58"/>
    <w:rsid w:val="008205E1"/>
    <w:rsid w:val="00823041"/>
    <w:rsid w:val="00824F92"/>
    <w:rsid w:val="0082605D"/>
    <w:rsid w:val="00827FC2"/>
    <w:rsid w:val="00830804"/>
    <w:rsid w:val="00832672"/>
    <w:rsid w:val="008341C5"/>
    <w:rsid w:val="00834E34"/>
    <w:rsid w:val="008429E3"/>
    <w:rsid w:val="00845FDD"/>
    <w:rsid w:val="008467BD"/>
    <w:rsid w:val="00850815"/>
    <w:rsid w:val="00851B91"/>
    <w:rsid w:val="00852F34"/>
    <w:rsid w:val="00855ABC"/>
    <w:rsid w:val="00855DCA"/>
    <w:rsid w:val="0086072A"/>
    <w:rsid w:val="00861A0F"/>
    <w:rsid w:val="00861B52"/>
    <w:rsid w:val="00863FCA"/>
    <w:rsid w:val="00864AE6"/>
    <w:rsid w:val="00864F14"/>
    <w:rsid w:val="00872994"/>
    <w:rsid w:val="008749F9"/>
    <w:rsid w:val="00875D11"/>
    <w:rsid w:val="00875FF3"/>
    <w:rsid w:val="00877774"/>
    <w:rsid w:val="00881CA5"/>
    <w:rsid w:val="00886B22"/>
    <w:rsid w:val="00886D1C"/>
    <w:rsid w:val="00887767"/>
    <w:rsid w:val="008915DD"/>
    <w:rsid w:val="00891889"/>
    <w:rsid w:val="00892A1B"/>
    <w:rsid w:val="0089339F"/>
    <w:rsid w:val="00894015"/>
    <w:rsid w:val="00895605"/>
    <w:rsid w:val="008962E1"/>
    <w:rsid w:val="008963B8"/>
    <w:rsid w:val="008A156A"/>
    <w:rsid w:val="008A2103"/>
    <w:rsid w:val="008A22BE"/>
    <w:rsid w:val="008A2CCC"/>
    <w:rsid w:val="008A306C"/>
    <w:rsid w:val="008A5948"/>
    <w:rsid w:val="008A794D"/>
    <w:rsid w:val="008B39D5"/>
    <w:rsid w:val="008C08AD"/>
    <w:rsid w:val="008C2D3E"/>
    <w:rsid w:val="008C5D62"/>
    <w:rsid w:val="008C6767"/>
    <w:rsid w:val="008D129F"/>
    <w:rsid w:val="008D178A"/>
    <w:rsid w:val="008D24F8"/>
    <w:rsid w:val="008E4493"/>
    <w:rsid w:val="008E5705"/>
    <w:rsid w:val="008F1826"/>
    <w:rsid w:val="008F45BC"/>
    <w:rsid w:val="008F562A"/>
    <w:rsid w:val="008F618F"/>
    <w:rsid w:val="008F72CD"/>
    <w:rsid w:val="00900890"/>
    <w:rsid w:val="00903288"/>
    <w:rsid w:val="009128FB"/>
    <w:rsid w:val="009145E7"/>
    <w:rsid w:val="00914628"/>
    <w:rsid w:val="009213AD"/>
    <w:rsid w:val="00923824"/>
    <w:rsid w:val="0092455F"/>
    <w:rsid w:val="00930413"/>
    <w:rsid w:val="00930E7D"/>
    <w:rsid w:val="00931909"/>
    <w:rsid w:val="009319C2"/>
    <w:rsid w:val="00931FA3"/>
    <w:rsid w:val="0093276A"/>
    <w:rsid w:val="009330AE"/>
    <w:rsid w:val="00942367"/>
    <w:rsid w:val="00943CBE"/>
    <w:rsid w:val="0094724D"/>
    <w:rsid w:val="009475EA"/>
    <w:rsid w:val="00950736"/>
    <w:rsid w:val="009534D0"/>
    <w:rsid w:val="00956A57"/>
    <w:rsid w:val="00956BE5"/>
    <w:rsid w:val="00957D0D"/>
    <w:rsid w:val="00960C98"/>
    <w:rsid w:val="00965564"/>
    <w:rsid w:val="00966E0C"/>
    <w:rsid w:val="009671B6"/>
    <w:rsid w:val="00967FA5"/>
    <w:rsid w:val="00971444"/>
    <w:rsid w:val="00971B17"/>
    <w:rsid w:val="00971B18"/>
    <w:rsid w:val="00973A27"/>
    <w:rsid w:val="00975CDB"/>
    <w:rsid w:val="00975F31"/>
    <w:rsid w:val="00977E23"/>
    <w:rsid w:val="0098238B"/>
    <w:rsid w:val="00983870"/>
    <w:rsid w:val="00984FC2"/>
    <w:rsid w:val="0098613B"/>
    <w:rsid w:val="00991860"/>
    <w:rsid w:val="00991A93"/>
    <w:rsid w:val="0099215E"/>
    <w:rsid w:val="00995626"/>
    <w:rsid w:val="00995E02"/>
    <w:rsid w:val="009A146D"/>
    <w:rsid w:val="009A1889"/>
    <w:rsid w:val="009A2E65"/>
    <w:rsid w:val="009A2E9D"/>
    <w:rsid w:val="009A4796"/>
    <w:rsid w:val="009A4DF7"/>
    <w:rsid w:val="009A6209"/>
    <w:rsid w:val="009B0067"/>
    <w:rsid w:val="009B1930"/>
    <w:rsid w:val="009B2E6B"/>
    <w:rsid w:val="009B4D4D"/>
    <w:rsid w:val="009C1EB2"/>
    <w:rsid w:val="009C3022"/>
    <w:rsid w:val="009C3991"/>
    <w:rsid w:val="009D02C4"/>
    <w:rsid w:val="009E10DD"/>
    <w:rsid w:val="009E2337"/>
    <w:rsid w:val="009E42A3"/>
    <w:rsid w:val="009E4469"/>
    <w:rsid w:val="009E48A9"/>
    <w:rsid w:val="009E5C6E"/>
    <w:rsid w:val="009E5D4F"/>
    <w:rsid w:val="009E5FBF"/>
    <w:rsid w:val="009E6B9B"/>
    <w:rsid w:val="009F1E85"/>
    <w:rsid w:val="009F206A"/>
    <w:rsid w:val="009F2CF6"/>
    <w:rsid w:val="009F589D"/>
    <w:rsid w:val="009F7F99"/>
    <w:rsid w:val="00A03547"/>
    <w:rsid w:val="00A062BE"/>
    <w:rsid w:val="00A075ED"/>
    <w:rsid w:val="00A112C8"/>
    <w:rsid w:val="00A11FAC"/>
    <w:rsid w:val="00A12E2A"/>
    <w:rsid w:val="00A15E03"/>
    <w:rsid w:val="00A17238"/>
    <w:rsid w:val="00A228BE"/>
    <w:rsid w:val="00A319EC"/>
    <w:rsid w:val="00A33C1A"/>
    <w:rsid w:val="00A343D9"/>
    <w:rsid w:val="00A37243"/>
    <w:rsid w:val="00A37826"/>
    <w:rsid w:val="00A40E64"/>
    <w:rsid w:val="00A411F9"/>
    <w:rsid w:val="00A43CB5"/>
    <w:rsid w:val="00A43F35"/>
    <w:rsid w:val="00A46A06"/>
    <w:rsid w:val="00A47ECE"/>
    <w:rsid w:val="00A51D26"/>
    <w:rsid w:val="00A5219F"/>
    <w:rsid w:val="00A52AD3"/>
    <w:rsid w:val="00A542B8"/>
    <w:rsid w:val="00A6113D"/>
    <w:rsid w:val="00A61B8A"/>
    <w:rsid w:val="00A61CF6"/>
    <w:rsid w:val="00A636FF"/>
    <w:rsid w:val="00A67937"/>
    <w:rsid w:val="00A67978"/>
    <w:rsid w:val="00A7176C"/>
    <w:rsid w:val="00A719FF"/>
    <w:rsid w:val="00A73ED7"/>
    <w:rsid w:val="00A751D5"/>
    <w:rsid w:val="00A759F8"/>
    <w:rsid w:val="00A76383"/>
    <w:rsid w:val="00A7772A"/>
    <w:rsid w:val="00A81665"/>
    <w:rsid w:val="00A81759"/>
    <w:rsid w:val="00A839A1"/>
    <w:rsid w:val="00A84198"/>
    <w:rsid w:val="00A84D7B"/>
    <w:rsid w:val="00A853DA"/>
    <w:rsid w:val="00A85CBD"/>
    <w:rsid w:val="00A92CE8"/>
    <w:rsid w:val="00A950E8"/>
    <w:rsid w:val="00AA2422"/>
    <w:rsid w:val="00AA24A8"/>
    <w:rsid w:val="00AA24F7"/>
    <w:rsid w:val="00AA4296"/>
    <w:rsid w:val="00AB0277"/>
    <w:rsid w:val="00AB31A0"/>
    <w:rsid w:val="00AB38AC"/>
    <w:rsid w:val="00AB7936"/>
    <w:rsid w:val="00AC05B4"/>
    <w:rsid w:val="00AC0E52"/>
    <w:rsid w:val="00AC1871"/>
    <w:rsid w:val="00AC5F04"/>
    <w:rsid w:val="00AD238F"/>
    <w:rsid w:val="00AD2D12"/>
    <w:rsid w:val="00AE0F16"/>
    <w:rsid w:val="00AE3AC7"/>
    <w:rsid w:val="00AF4439"/>
    <w:rsid w:val="00AF5155"/>
    <w:rsid w:val="00AF73D3"/>
    <w:rsid w:val="00AF7604"/>
    <w:rsid w:val="00B007E6"/>
    <w:rsid w:val="00B00C73"/>
    <w:rsid w:val="00B012A1"/>
    <w:rsid w:val="00B024CE"/>
    <w:rsid w:val="00B121DB"/>
    <w:rsid w:val="00B1332E"/>
    <w:rsid w:val="00B13750"/>
    <w:rsid w:val="00B21714"/>
    <w:rsid w:val="00B21BF8"/>
    <w:rsid w:val="00B26931"/>
    <w:rsid w:val="00B31796"/>
    <w:rsid w:val="00B366DD"/>
    <w:rsid w:val="00B446F7"/>
    <w:rsid w:val="00B4478D"/>
    <w:rsid w:val="00B464BA"/>
    <w:rsid w:val="00B47E52"/>
    <w:rsid w:val="00B50079"/>
    <w:rsid w:val="00B53D82"/>
    <w:rsid w:val="00B564FE"/>
    <w:rsid w:val="00B603D9"/>
    <w:rsid w:val="00B60C66"/>
    <w:rsid w:val="00B62C55"/>
    <w:rsid w:val="00B63D29"/>
    <w:rsid w:val="00B6439A"/>
    <w:rsid w:val="00B700DF"/>
    <w:rsid w:val="00B70CD1"/>
    <w:rsid w:val="00B73175"/>
    <w:rsid w:val="00B735DA"/>
    <w:rsid w:val="00B73D44"/>
    <w:rsid w:val="00B7473A"/>
    <w:rsid w:val="00B76043"/>
    <w:rsid w:val="00B76BC0"/>
    <w:rsid w:val="00B772D1"/>
    <w:rsid w:val="00B77993"/>
    <w:rsid w:val="00B87FD1"/>
    <w:rsid w:val="00B93631"/>
    <w:rsid w:val="00B95288"/>
    <w:rsid w:val="00B95658"/>
    <w:rsid w:val="00B95829"/>
    <w:rsid w:val="00B96867"/>
    <w:rsid w:val="00BA46F3"/>
    <w:rsid w:val="00BA47D8"/>
    <w:rsid w:val="00BA648A"/>
    <w:rsid w:val="00BA6B7F"/>
    <w:rsid w:val="00BA6F11"/>
    <w:rsid w:val="00BC20E6"/>
    <w:rsid w:val="00BC397C"/>
    <w:rsid w:val="00BC64D3"/>
    <w:rsid w:val="00BC6632"/>
    <w:rsid w:val="00BC750B"/>
    <w:rsid w:val="00BD2572"/>
    <w:rsid w:val="00BD3293"/>
    <w:rsid w:val="00BD34D4"/>
    <w:rsid w:val="00BD3839"/>
    <w:rsid w:val="00BD3CD2"/>
    <w:rsid w:val="00BD7C16"/>
    <w:rsid w:val="00BE2298"/>
    <w:rsid w:val="00BE22A0"/>
    <w:rsid w:val="00BE2F49"/>
    <w:rsid w:val="00BE77E1"/>
    <w:rsid w:val="00BF0D8F"/>
    <w:rsid w:val="00BF327D"/>
    <w:rsid w:val="00BF337C"/>
    <w:rsid w:val="00BF361E"/>
    <w:rsid w:val="00C06AE3"/>
    <w:rsid w:val="00C07B7C"/>
    <w:rsid w:val="00C2100C"/>
    <w:rsid w:val="00C215C9"/>
    <w:rsid w:val="00C21FBC"/>
    <w:rsid w:val="00C26AA0"/>
    <w:rsid w:val="00C3200B"/>
    <w:rsid w:val="00C335C9"/>
    <w:rsid w:val="00C36C28"/>
    <w:rsid w:val="00C37C15"/>
    <w:rsid w:val="00C40ED2"/>
    <w:rsid w:val="00C415AB"/>
    <w:rsid w:val="00C42C2F"/>
    <w:rsid w:val="00C438BA"/>
    <w:rsid w:val="00C447B8"/>
    <w:rsid w:val="00C4697F"/>
    <w:rsid w:val="00C47181"/>
    <w:rsid w:val="00C471C5"/>
    <w:rsid w:val="00C515A4"/>
    <w:rsid w:val="00C5333F"/>
    <w:rsid w:val="00C571C3"/>
    <w:rsid w:val="00C614B9"/>
    <w:rsid w:val="00C63A44"/>
    <w:rsid w:val="00C63F0F"/>
    <w:rsid w:val="00C6413D"/>
    <w:rsid w:val="00C64794"/>
    <w:rsid w:val="00C66E58"/>
    <w:rsid w:val="00C67798"/>
    <w:rsid w:val="00C706CF"/>
    <w:rsid w:val="00C71868"/>
    <w:rsid w:val="00C72EE4"/>
    <w:rsid w:val="00C73DFC"/>
    <w:rsid w:val="00C7424D"/>
    <w:rsid w:val="00C8374A"/>
    <w:rsid w:val="00C91A60"/>
    <w:rsid w:val="00C94571"/>
    <w:rsid w:val="00C973A0"/>
    <w:rsid w:val="00CA3077"/>
    <w:rsid w:val="00CA551E"/>
    <w:rsid w:val="00CA7F3C"/>
    <w:rsid w:val="00CB0ADA"/>
    <w:rsid w:val="00CB2E24"/>
    <w:rsid w:val="00CB507F"/>
    <w:rsid w:val="00CB5931"/>
    <w:rsid w:val="00CB7047"/>
    <w:rsid w:val="00CB751A"/>
    <w:rsid w:val="00CC26E0"/>
    <w:rsid w:val="00CC60CF"/>
    <w:rsid w:val="00CC6551"/>
    <w:rsid w:val="00CC6626"/>
    <w:rsid w:val="00CC748F"/>
    <w:rsid w:val="00CD4153"/>
    <w:rsid w:val="00CE2BD3"/>
    <w:rsid w:val="00CE2BE8"/>
    <w:rsid w:val="00CE561D"/>
    <w:rsid w:val="00CE7534"/>
    <w:rsid w:val="00CE7882"/>
    <w:rsid w:val="00CF044E"/>
    <w:rsid w:val="00CF2284"/>
    <w:rsid w:val="00CF5BAE"/>
    <w:rsid w:val="00CF6CED"/>
    <w:rsid w:val="00CF720D"/>
    <w:rsid w:val="00CF7E3F"/>
    <w:rsid w:val="00D02812"/>
    <w:rsid w:val="00D02C60"/>
    <w:rsid w:val="00D0314B"/>
    <w:rsid w:val="00D05110"/>
    <w:rsid w:val="00D117CB"/>
    <w:rsid w:val="00D135BB"/>
    <w:rsid w:val="00D140FC"/>
    <w:rsid w:val="00D1523B"/>
    <w:rsid w:val="00D1554C"/>
    <w:rsid w:val="00D15DB0"/>
    <w:rsid w:val="00D178A4"/>
    <w:rsid w:val="00D17CC8"/>
    <w:rsid w:val="00D219D6"/>
    <w:rsid w:val="00D26E97"/>
    <w:rsid w:val="00D30181"/>
    <w:rsid w:val="00D338AE"/>
    <w:rsid w:val="00D3633E"/>
    <w:rsid w:val="00D366E9"/>
    <w:rsid w:val="00D3771B"/>
    <w:rsid w:val="00D408E4"/>
    <w:rsid w:val="00D4164B"/>
    <w:rsid w:val="00D41E29"/>
    <w:rsid w:val="00D45DD5"/>
    <w:rsid w:val="00D5261D"/>
    <w:rsid w:val="00D537F1"/>
    <w:rsid w:val="00D563A5"/>
    <w:rsid w:val="00D57CE1"/>
    <w:rsid w:val="00D601E8"/>
    <w:rsid w:val="00D60BE1"/>
    <w:rsid w:val="00D62249"/>
    <w:rsid w:val="00D63FCC"/>
    <w:rsid w:val="00D65007"/>
    <w:rsid w:val="00D7152A"/>
    <w:rsid w:val="00D71B05"/>
    <w:rsid w:val="00D71F65"/>
    <w:rsid w:val="00D76575"/>
    <w:rsid w:val="00D813E4"/>
    <w:rsid w:val="00D854E5"/>
    <w:rsid w:val="00D87CF2"/>
    <w:rsid w:val="00D90323"/>
    <w:rsid w:val="00D95000"/>
    <w:rsid w:val="00DA1E0C"/>
    <w:rsid w:val="00DA2871"/>
    <w:rsid w:val="00DA2B8F"/>
    <w:rsid w:val="00DA33E8"/>
    <w:rsid w:val="00DB07FE"/>
    <w:rsid w:val="00DB1083"/>
    <w:rsid w:val="00DB6356"/>
    <w:rsid w:val="00DC19ED"/>
    <w:rsid w:val="00DC3536"/>
    <w:rsid w:val="00DC5A2A"/>
    <w:rsid w:val="00DC68E7"/>
    <w:rsid w:val="00DD1BDA"/>
    <w:rsid w:val="00DD2160"/>
    <w:rsid w:val="00DD4DD4"/>
    <w:rsid w:val="00DD6872"/>
    <w:rsid w:val="00DD7EAF"/>
    <w:rsid w:val="00DE015B"/>
    <w:rsid w:val="00DE0982"/>
    <w:rsid w:val="00DE0BE5"/>
    <w:rsid w:val="00DE213F"/>
    <w:rsid w:val="00DE5059"/>
    <w:rsid w:val="00DE53E7"/>
    <w:rsid w:val="00DE6FC9"/>
    <w:rsid w:val="00DF53F7"/>
    <w:rsid w:val="00DF5647"/>
    <w:rsid w:val="00DF5829"/>
    <w:rsid w:val="00DF5866"/>
    <w:rsid w:val="00DF5D30"/>
    <w:rsid w:val="00DF62DF"/>
    <w:rsid w:val="00DF6E53"/>
    <w:rsid w:val="00DF7FD9"/>
    <w:rsid w:val="00E0176F"/>
    <w:rsid w:val="00E03F54"/>
    <w:rsid w:val="00E04EF5"/>
    <w:rsid w:val="00E06ACC"/>
    <w:rsid w:val="00E06B44"/>
    <w:rsid w:val="00E12531"/>
    <w:rsid w:val="00E132D6"/>
    <w:rsid w:val="00E138A0"/>
    <w:rsid w:val="00E152CE"/>
    <w:rsid w:val="00E15A3F"/>
    <w:rsid w:val="00E161EF"/>
    <w:rsid w:val="00E21446"/>
    <w:rsid w:val="00E22D35"/>
    <w:rsid w:val="00E25829"/>
    <w:rsid w:val="00E3047C"/>
    <w:rsid w:val="00E30C17"/>
    <w:rsid w:val="00E331F9"/>
    <w:rsid w:val="00E3485E"/>
    <w:rsid w:val="00E424E3"/>
    <w:rsid w:val="00E42AFF"/>
    <w:rsid w:val="00E4538B"/>
    <w:rsid w:val="00E4546B"/>
    <w:rsid w:val="00E464B4"/>
    <w:rsid w:val="00E5280B"/>
    <w:rsid w:val="00E52BC4"/>
    <w:rsid w:val="00E53600"/>
    <w:rsid w:val="00E54218"/>
    <w:rsid w:val="00E554EE"/>
    <w:rsid w:val="00E55C2A"/>
    <w:rsid w:val="00E56B6D"/>
    <w:rsid w:val="00E65953"/>
    <w:rsid w:val="00E67C54"/>
    <w:rsid w:val="00E703B3"/>
    <w:rsid w:val="00E70A0F"/>
    <w:rsid w:val="00E71259"/>
    <w:rsid w:val="00E72684"/>
    <w:rsid w:val="00E74374"/>
    <w:rsid w:val="00E75D06"/>
    <w:rsid w:val="00E76588"/>
    <w:rsid w:val="00E81B79"/>
    <w:rsid w:val="00E8444D"/>
    <w:rsid w:val="00E854ED"/>
    <w:rsid w:val="00E91D60"/>
    <w:rsid w:val="00E93C92"/>
    <w:rsid w:val="00E96A0A"/>
    <w:rsid w:val="00E96EBD"/>
    <w:rsid w:val="00E97198"/>
    <w:rsid w:val="00EA00AB"/>
    <w:rsid w:val="00EA5B1C"/>
    <w:rsid w:val="00EA5FFA"/>
    <w:rsid w:val="00EA7642"/>
    <w:rsid w:val="00EB0C24"/>
    <w:rsid w:val="00EB0DB9"/>
    <w:rsid w:val="00EB0DFB"/>
    <w:rsid w:val="00EB4C82"/>
    <w:rsid w:val="00EB6889"/>
    <w:rsid w:val="00EC2D06"/>
    <w:rsid w:val="00EC34A0"/>
    <w:rsid w:val="00EC4C85"/>
    <w:rsid w:val="00ED0A13"/>
    <w:rsid w:val="00ED1B19"/>
    <w:rsid w:val="00ED36C6"/>
    <w:rsid w:val="00ED64FB"/>
    <w:rsid w:val="00ED6C21"/>
    <w:rsid w:val="00EE01DA"/>
    <w:rsid w:val="00EE031F"/>
    <w:rsid w:val="00EE2D5B"/>
    <w:rsid w:val="00EE3A86"/>
    <w:rsid w:val="00EE4329"/>
    <w:rsid w:val="00EE7C1B"/>
    <w:rsid w:val="00EF0D12"/>
    <w:rsid w:val="00EF3806"/>
    <w:rsid w:val="00EF7F7E"/>
    <w:rsid w:val="00F002F4"/>
    <w:rsid w:val="00F01214"/>
    <w:rsid w:val="00F029B4"/>
    <w:rsid w:val="00F05020"/>
    <w:rsid w:val="00F06F42"/>
    <w:rsid w:val="00F07426"/>
    <w:rsid w:val="00F07B7E"/>
    <w:rsid w:val="00F07BDA"/>
    <w:rsid w:val="00F1036A"/>
    <w:rsid w:val="00F11FF0"/>
    <w:rsid w:val="00F159A8"/>
    <w:rsid w:val="00F15A4C"/>
    <w:rsid w:val="00F1641C"/>
    <w:rsid w:val="00F17CD4"/>
    <w:rsid w:val="00F205E3"/>
    <w:rsid w:val="00F2211A"/>
    <w:rsid w:val="00F244E2"/>
    <w:rsid w:val="00F2480B"/>
    <w:rsid w:val="00F25429"/>
    <w:rsid w:val="00F276C8"/>
    <w:rsid w:val="00F278B0"/>
    <w:rsid w:val="00F3017E"/>
    <w:rsid w:val="00F33F57"/>
    <w:rsid w:val="00F47460"/>
    <w:rsid w:val="00F50891"/>
    <w:rsid w:val="00F50D49"/>
    <w:rsid w:val="00F52B78"/>
    <w:rsid w:val="00F54C7E"/>
    <w:rsid w:val="00F63A3F"/>
    <w:rsid w:val="00F7007B"/>
    <w:rsid w:val="00F724CA"/>
    <w:rsid w:val="00F77AC2"/>
    <w:rsid w:val="00F8045D"/>
    <w:rsid w:val="00F8158D"/>
    <w:rsid w:val="00F82B82"/>
    <w:rsid w:val="00F846EB"/>
    <w:rsid w:val="00F8790B"/>
    <w:rsid w:val="00F90735"/>
    <w:rsid w:val="00F91D69"/>
    <w:rsid w:val="00F92EBC"/>
    <w:rsid w:val="00F934D7"/>
    <w:rsid w:val="00F93DC7"/>
    <w:rsid w:val="00F96D4F"/>
    <w:rsid w:val="00FA12AA"/>
    <w:rsid w:val="00FB21E7"/>
    <w:rsid w:val="00FB4CDE"/>
    <w:rsid w:val="00FB6846"/>
    <w:rsid w:val="00FB726A"/>
    <w:rsid w:val="00FC03BD"/>
    <w:rsid w:val="00FC17C2"/>
    <w:rsid w:val="00FC1A88"/>
    <w:rsid w:val="00FC3340"/>
    <w:rsid w:val="00FC50C8"/>
    <w:rsid w:val="00FD0D0B"/>
    <w:rsid w:val="00FD186F"/>
    <w:rsid w:val="00FD378F"/>
    <w:rsid w:val="00FD53E7"/>
    <w:rsid w:val="00FD566A"/>
    <w:rsid w:val="00FD7061"/>
    <w:rsid w:val="00FD7F0E"/>
    <w:rsid w:val="00FE1888"/>
    <w:rsid w:val="00FE21B0"/>
    <w:rsid w:val="00FE3163"/>
    <w:rsid w:val="00FE5C0F"/>
    <w:rsid w:val="00FF219E"/>
    <w:rsid w:val="00FF34BD"/>
    <w:rsid w:val="00FF64AE"/>
    <w:rsid w:val="00FF72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F63BD"/>
  <w15:chartTrackingRefBased/>
  <w15:docId w15:val="{3781C0CC-45AE-454B-8751-B2EEDF4A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50C"/>
    <w:pPr>
      <w:spacing w:after="0" w:line="360" w:lineRule="auto"/>
      <w:jc w:val="both"/>
    </w:pPr>
    <w:rPr>
      <w:rFonts w:ascii="Arial" w:eastAsia="Times New Roman" w:hAnsi="Arial" w:cs="Arial"/>
      <w:sz w:val="28"/>
      <w:szCs w:val="28"/>
      <w:lang w:val="es-ES_tradnl" w:eastAsia="es-MX"/>
    </w:rPr>
  </w:style>
  <w:style w:type="paragraph" w:styleId="Ttulo1">
    <w:name w:val="heading 1"/>
    <w:basedOn w:val="Normal"/>
    <w:next w:val="Normal"/>
    <w:link w:val="Ttulo1Car"/>
    <w:uiPriority w:val="9"/>
    <w:qFormat/>
    <w:rsid w:val="0069187E"/>
    <w:pPr>
      <w:spacing w:before="480" w:after="24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numerado,Footnote,Cita texto,TEXTO GENERAL SENTENCIAS,Lista vistosa - Énfasis 11,Párrafo de lista2,Párrafo de lista1,List Paragraph1,Colorful List - Accent 11,Lista multicolor - Énfasis 11,Cuadrícula clara - Énfasis 31,PARRAFO,D"/>
    <w:basedOn w:val="Normal"/>
    <w:link w:val="PrrafodelistaCar"/>
    <w:qFormat/>
    <w:rsid w:val="00BD3293"/>
    <w:pPr>
      <w:numPr>
        <w:numId w:val="2"/>
      </w:numPr>
      <w:spacing w:after="240"/>
      <w:ind w:left="147" w:hanging="573"/>
    </w:pPr>
    <w:rPr>
      <w:bCs/>
    </w:rPr>
  </w:style>
  <w:style w:type="paragraph" w:styleId="Encabezado">
    <w:name w:val="header"/>
    <w:basedOn w:val="Normal"/>
    <w:link w:val="EncabezadoCar"/>
    <w:uiPriority w:val="99"/>
    <w:unhideWhenUsed/>
    <w:rsid w:val="0081068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10687"/>
  </w:style>
  <w:style w:type="paragraph" w:styleId="Piedepgina">
    <w:name w:val="footer"/>
    <w:basedOn w:val="Normal"/>
    <w:link w:val="PiedepginaCar"/>
    <w:uiPriority w:val="99"/>
    <w:unhideWhenUsed/>
    <w:rsid w:val="0081068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10687"/>
  </w:style>
  <w:style w:type="character" w:customStyle="1" w:styleId="PrrafodelistaCar">
    <w:name w:val="Párrafo de lista Car"/>
    <w:aliases w:val="Párrafo numerado Car,Footnote Car,Cita texto Car,TEXTO GENERAL SENTENCIAS Car,Lista vistosa - Énfasis 11 Car,Párrafo de lista2 Car,Párrafo de lista1 Car,List Paragraph1 Car,Colorful List - Accent 11 Car,PARRAFO Car,D Car"/>
    <w:link w:val="Prrafodelista"/>
    <w:qFormat/>
    <w:rsid w:val="00BD3293"/>
    <w:rPr>
      <w:rFonts w:ascii="Arial" w:eastAsia="Times New Roman" w:hAnsi="Arial" w:cs="Arial"/>
      <w:bCs/>
      <w:sz w:val="28"/>
      <w:szCs w:val="28"/>
      <w:lang w:val="es-ES_tradnl" w:eastAsia="es-MX"/>
    </w:rPr>
  </w:style>
  <w:style w:type="paragraph" w:styleId="Textonotapie">
    <w:name w:val="footnote text"/>
    <w:basedOn w:val="Normal"/>
    <w:link w:val="TextonotapieCar"/>
    <w:uiPriority w:val="99"/>
    <w:unhideWhenUsed/>
    <w:rsid w:val="009A2E9D"/>
    <w:pPr>
      <w:spacing w:line="240" w:lineRule="auto"/>
    </w:pPr>
    <w:rPr>
      <w:sz w:val="20"/>
      <w:szCs w:val="20"/>
    </w:rPr>
  </w:style>
  <w:style w:type="character" w:customStyle="1" w:styleId="TextonotapieCar">
    <w:name w:val="Texto nota pie Car"/>
    <w:basedOn w:val="Fuentedeprrafopredeter"/>
    <w:link w:val="Textonotapie"/>
    <w:uiPriority w:val="99"/>
    <w:rsid w:val="009A2E9D"/>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ftref,Ref,ft,julio,R,f1"/>
    <w:basedOn w:val="Fuentedeprrafopredeter"/>
    <w:link w:val="Piedepagina"/>
    <w:uiPriority w:val="99"/>
    <w:unhideWhenUsed/>
    <w:qFormat/>
    <w:rsid w:val="009A2E9D"/>
    <w:rPr>
      <w:vertAlign w:val="superscript"/>
    </w:rPr>
  </w:style>
  <w:style w:type="paragraph" w:customStyle="1" w:styleId="Piedepagina">
    <w:name w:val="Pie de pagina"/>
    <w:basedOn w:val="Normal"/>
    <w:link w:val="Refdenotaalpie"/>
    <w:rsid w:val="009A2E9D"/>
    <w:pPr>
      <w:spacing w:line="240" w:lineRule="exact"/>
    </w:pPr>
    <w:rPr>
      <w:vertAlign w:val="superscript"/>
    </w:rPr>
  </w:style>
  <w:style w:type="paragraph" w:styleId="Revisin">
    <w:name w:val="Revision"/>
    <w:hidden/>
    <w:uiPriority w:val="99"/>
    <w:semiHidden/>
    <w:rsid w:val="00A40E64"/>
    <w:pPr>
      <w:spacing w:after="0" w:line="240" w:lineRule="auto"/>
    </w:pPr>
  </w:style>
  <w:style w:type="character" w:styleId="Refdecomentario">
    <w:name w:val="annotation reference"/>
    <w:basedOn w:val="Fuentedeprrafopredeter"/>
    <w:uiPriority w:val="99"/>
    <w:semiHidden/>
    <w:unhideWhenUsed/>
    <w:rsid w:val="00CC6551"/>
    <w:rPr>
      <w:sz w:val="16"/>
      <w:szCs w:val="16"/>
    </w:rPr>
  </w:style>
  <w:style w:type="paragraph" w:styleId="Textocomentario">
    <w:name w:val="annotation text"/>
    <w:basedOn w:val="Normal"/>
    <w:link w:val="TextocomentarioCar"/>
    <w:uiPriority w:val="99"/>
    <w:unhideWhenUsed/>
    <w:rsid w:val="00CC6551"/>
    <w:pPr>
      <w:spacing w:line="240" w:lineRule="auto"/>
    </w:pPr>
    <w:rPr>
      <w:sz w:val="20"/>
      <w:szCs w:val="20"/>
    </w:rPr>
  </w:style>
  <w:style w:type="character" w:customStyle="1" w:styleId="TextocomentarioCar">
    <w:name w:val="Texto comentario Car"/>
    <w:basedOn w:val="Fuentedeprrafopredeter"/>
    <w:link w:val="Textocomentario"/>
    <w:uiPriority w:val="99"/>
    <w:rsid w:val="00CC6551"/>
    <w:rPr>
      <w:sz w:val="20"/>
      <w:szCs w:val="20"/>
    </w:rPr>
  </w:style>
  <w:style w:type="paragraph" w:styleId="Asuntodelcomentario">
    <w:name w:val="annotation subject"/>
    <w:basedOn w:val="Textocomentario"/>
    <w:next w:val="Textocomentario"/>
    <w:link w:val="AsuntodelcomentarioCar"/>
    <w:uiPriority w:val="99"/>
    <w:semiHidden/>
    <w:unhideWhenUsed/>
    <w:rsid w:val="00CC6551"/>
    <w:rPr>
      <w:b/>
      <w:bCs/>
    </w:rPr>
  </w:style>
  <w:style w:type="character" w:customStyle="1" w:styleId="AsuntodelcomentarioCar">
    <w:name w:val="Asunto del comentario Car"/>
    <w:basedOn w:val="TextocomentarioCar"/>
    <w:link w:val="Asuntodelcomentario"/>
    <w:uiPriority w:val="99"/>
    <w:semiHidden/>
    <w:rsid w:val="00CC6551"/>
    <w:rPr>
      <w:b/>
      <w:bCs/>
      <w:sz w:val="20"/>
      <w:szCs w:val="20"/>
    </w:rPr>
  </w:style>
  <w:style w:type="paragraph" w:styleId="NormalWeb">
    <w:name w:val="Normal (Web)"/>
    <w:basedOn w:val="Normal"/>
    <w:uiPriority w:val="99"/>
    <w:semiHidden/>
    <w:unhideWhenUsed/>
    <w:rsid w:val="001A00E8"/>
    <w:pPr>
      <w:spacing w:before="100" w:beforeAutospacing="1" w:after="100" w:afterAutospacing="1" w:line="240" w:lineRule="auto"/>
    </w:pPr>
    <w:rPr>
      <w:rFonts w:ascii="Times New Roman" w:hAnsi="Times New Roman" w:cs="Times New Roman"/>
      <w:sz w:val="24"/>
      <w:szCs w:val="24"/>
      <w:lang w:val="es-MX"/>
    </w:rPr>
  </w:style>
  <w:style w:type="character" w:customStyle="1" w:styleId="Ttulo1Car">
    <w:name w:val="Título 1 Car"/>
    <w:basedOn w:val="Fuentedeprrafopredeter"/>
    <w:link w:val="Ttulo1"/>
    <w:uiPriority w:val="9"/>
    <w:rsid w:val="0069187E"/>
    <w:rPr>
      <w:rFonts w:ascii="Arial" w:eastAsia="Times New Roman" w:hAnsi="Arial" w:cs="Arial"/>
      <w:b/>
      <w:bCs/>
      <w:sz w:val="28"/>
      <w:szCs w:val="28"/>
      <w:lang w:val="es-ES_tradnl" w:eastAsia="es-MX"/>
    </w:rPr>
  </w:style>
  <w:style w:type="paragraph" w:styleId="Ttulo">
    <w:name w:val="Title"/>
    <w:basedOn w:val="Normal"/>
    <w:next w:val="Normal"/>
    <w:link w:val="TtuloCar"/>
    <w:uiPriority w:val="10"/>
    <w:qFormat/>
    <w:rsid w:val="00855ABC"/>
    <w:rPr>
      <w:b/>
      <w:bCs/>
    </w:rPr>
  </w:style>
  <w:style w:type="character" w:customStyle="1" w:styleId="TtuloCar">
    <w:name w:val="Título Car"/>
    <w:basedOn w:val="Fuentedeprrafopredeter"/>
    <w:link w:val="Ttulo"/>
    <w:uiPriority w:val="10"/>
    <w:rsid w:val="00855ABC"/>
    <w:rPr>
      <w:rFonts w:ascii="Arial" w:eastAsia="Times New Roman" w:hAnsi="Arial" w:cs="Arial"/>
      <w:b/>
      <w:bCs/>
      <w:sz w:val="28"/>
      <w:szCs w:val="28"/>
      <w:lang w:val="es-ES_tradnl" w:eastAsia="es-MX"/>
    </w:rPr>
  </w:style>
  <w:style w:type="paragraph" w:customStyle="1" w:styleId="Notapie">
    <w:name w:val="Nota pie"/>
    <w:basedOn w:val="Textonotapie"/>
    <w:link w:val="NotapieCar"/>
    <w:qFormat/>
    <w:rsid w:val="0089339F"/>
    <w:rPr>
      <w:sz w:val="24"/>
      <w:szCs w:val="28"/>
    </w:rPr>
  </w:style>
  <w:style w:type="paragraph" w:customStyle="1" w:styleId="AsuntoyPromovente">
    <w:name w:val="Asunto y Promovente"/>
    <w:basedOn w:val="Normal"/>
    <w:link w:val="AsuntoyPromoventeCar"/>
    <w:uiPriority w:val="2"/>
    <w:semiHidden/>
    <w:qFormat/>
    <w:rsid w:val="004A5D10"/>
    <w:pPr>
      <w:spacing w:after="360" w:line="240" w:lineRule="auto"/>
      <w:ind w:left="2835"/>
    </w:pPr>
    <w:rPr>
      <w:rFonts w:eastAsiaTheme="minorHAnsi" w:cstheme="minorBidi"/>
      <w:b/>
      <w:caps/>
      <w:sz w:val="32"/>
      <w:szCs w:val="22"/>
      <w:lang w:val="es-MX" w:eastAsia="en-US"/>
    </w:rPr>
  </w:style>
  <w:style w:type="character" w:customStyle="1" w:styleId="NotapieCar">
    <w:name w:val="Nota pie Car"/>
    <w:basedOn w:val="TextonotapieCar"/>
    <w:link w:val="Notapie"/>
    <w:rsid w:val="0089339F"/>
    <w:rPr>
      <w:rFonts w:ascii="Arial" w:eastAsia="Times New Roman" w:hAnsi="Arial" w:cs="Arial"/>
      <w:sz w:val="24"/>
      <w:szCs w:val="28"/>
      <w:lang w:val="es-ES_tradnl" w:eastAsia="es-MX"/>
    </w:rPr>
  </w:style>
  <w:style w:type="paragraph" w:customStyle="1" w:styleId="Participacinnumerada">
    <w:name w:val="Participación numerada"/>
    <w:basedOn w:val="Prrafodelista"/>
    <w:link w:val="ParticipacinnumeradaCar"/>
    <w:uiPriority w:val="1"/>
    <w:qFormat/>
    <w:rsid w:val="004A5D10"/>
    <w:pPr>
      <w:spacing w:after="360" w:line="480" w:lineRule="auto"/>
      <w:ind w:left="0" w:hanging="567"/>
    </w:pPr>
    <w:rPr>
      <w:rFonts w:eastAsiaTheme="minorHAnsi" w:cstheme="minorBidi"/>
      <w:b/>
      <w:bCs w:val="0"/>
      <w:sz w:val="32"/>
      <w:szCs w:val="22"/>
      <w:lang w:val="es-ES" w:eastAsia="en-US"/>
    </w:rPr>
  </w:style>
  <w:style w:type="numbering" w:customStyle="1" w:styleId="Estilo1">
    <w:name w:val="Estilo1"/>
    <w:uiPriority w:val="99"/>
    <w:rsid w:val="004A5D10"/>
    <w:pPr>
      <w:numPr>
        <w:numId w:val="5"/>
      </w:numPr>
    </w:pPr>
  </w:style>
  <w:style w:type="character" w:customStyle="1" w:styleId="ParticipacinnumeradaCar">
    <w:name w:val="Participación numerada Car"/>
    <w:basedOn w:val="Fuentedeprrafopredeter"/>
    <w:link w:val="Participacinnumerada"/>
    <w:uiPriority w:val="1"/>
    <w:rsid w:val="004A5D10"/>
    <w:rPr>
      <w:rFonts w:ascii="Arial" w:hAnsi="Arial"/>
      <w:b/>
      <w:sz w:val="32"/>
      <w:lang w:val="es-ES"/>
    </w:rPr>
  </w:style>
  <w:style w:type="character" w:customStyle="1" w:styleId="AsuntoyPromoventeCar">
    <w:name w:val="Asunto y Promovente Car"/>
    <w:basedOn w:val="Fuentedeprrafopredeter"/>
    <w:link w:val="AsuntoyPromovente"/>
    <w:uiPriority w:val="2"/>
    <w:semiHidden/>
    <w:rsid w:val="004A5D10"/>
    <w:rPr>
      <w:rFonts w:ascii="Arial" w:hAnsi="Arial"/>
      <w:b/>
      <w:caps/>
      <w:sz w:val="32"/>
    </w:rPr>
  </w:style>
  <w:style w:type="paragraph" w:customStyle="1" w:styleId="Anexonormal">
    <w:name w:val="Anexo normal"/>
    <w:basedOn w:val="Normal"/>
    <w:link w:val="AnexonormalCar"/>
    <w:uiPriority w:val="3"/>
    <w:qFormat/>
    <w:rsid w:val="000F52F0"/>
    <w:pPr>
      <w:spacing w:after="120" w:line="240" w:lineRule="auto"/>
    </w:pPr>
    <w:rPr>
      <w:rFonts w:eastAsiaTheme="minorHAnsi" w:cstheme="minorBidi"/>
      <w:sz w:val="26"/>
      <w:szCs w:val="22"/>
      <w:lang w:val="es-MX" w:eastAsia="en-US"/>
    </w:rPr>
  </w:style>
  <w:style w:type="character" w:customStyle="1" w:styleId="AnexonormalCar">
    <w:name w:val="Anexo normal Car"/>
    <w:basedOn w:val="Fuentedeprrafopredeter"/>
    <w:link w:val="Anexonormal"/>
    <w:uiPriority w:val="3"/>
    <w:rsid w:val="000F52F0"/>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431270">
      <w:bodyDiv w:val="1"/>
      <w:marLeft w:val="0"/>
      <w:marRight w:val="0"/>
      <w:marTop w:val="0"/>
      <w:marBottom w:val="0"/>
      <w:divBdr>
        <w:top w:val="none" w:sz="0" w:space="0" w:color="auto"/>
        <w:left w:val="none" w:sz="0" w:space="0" w:color="auto"/>
        <w:bottom w:val="none" w:sz="0" w:space="0" w:color="auto"/>
        <w:right w:val="none" w:sz="0" w:space="0" w:color="auto"/>
      </w:divBdr>
      <w:divsChild>
        <w:div w:id="1663385483">
          <w:marLeft w:val="0"/>
          <w:marRight w:val="0"/>
          <w:marTop w:val="0"/>
          <w:marBottom w:val="0"/>
          <w:divBdr>
            <w:top w:val="none" w:sz="0" w:space="0" w:color="auto"/>
            <w:left w:val="none" w:sz="0" w:space="0" w:color="auto"/>
            <w:bottom w:val="none" w:sz="0" w:space="0" w:color="auto"/>
            <w:right w:val="none" w:sz="0" w:space="0" w:color="auto"/>
          </w:divBdr>
          <w:divsChild>
            <w:div w:id="1070008009">
              <w:marLeft w:val="0"/>
              <w:marRight w:val="0"/>
              <w:marTop w:val="0"/>
              <w:marBottom w:val="0"/>
              <w:divBdr>
                <w:top w:val="none" w:sz="0" w:space="0" w:color="auto"/>
                <w:left w:val="none" w:sz="0" w:space="0" w:color="auto"/>
                <w:bottom w:val="none" w:sz="0" w:space="0" w:color="auto"/>
                <w:right w:val="none" w:sz="0" w:space="0" w:color="auto"/>
              </w:divBdr>
              <w:divsChild>
                <w:div w:id="1181972417">
                  <w:marLeft w:val="0"/>
                  <w:marRight w:val="0"/>
                  <w:marTop w:val="0"/>
                  <w:marBottom w:val="0"/>
                  <w:divBdr>
                    <w:top w:val="none" w:sz="0" w:space="0" w:color="auto"/>
                    <w:left w:val="none" w:sz="0" w:space="0" w:color="auto"/>
                    <w:bottom w:val="none" w:sz="0" w:space="0" w:color="auto"/>
                    <w:right w:val="none" w:sz="0" w:space="0" w:color="auto"/>
                  </w:divBdr>
                  <w:divsChild>
                    <w:div w:id="1006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578207">
      <w:bodyDiv w:val="1"/>
      <w:marLeft w:val="0"/>
      <w:marRight w:val="0"/>
      <w:marTop w:val="0"/>
      <w:marBottom w:val="0"/>
      <w:divBdr>
        <w:top w:val="none" w:sz="0" w:space="0" w:color="auto"/>
        <w:left w:val="none" w:sz="0" w:space="0" w:color="auto"/>
        <w:bottom w:val="none" w:sz="0" w:space="0" w:color="auto"/>
        <w:right w:val="none" w:sz="0" w:space="0" w:color="auto"/>
      </w:divBdr>
      <w:divsChild>
        <w:div w:id="1732998412">
          <w:marLeft w:val="0"/>
          <w:marRight w:val="0"/>
          <w:marTop w:val="0"/>
          <w:marBottom w:val="0"/>
          <w:divBdr>
            <w:top w:val="none" w:sz="0" w:space="0" w:color="auto"/>
            <w:left w:val="none" w:sz="0" w:space="0" w:color="auto"/>
            <w:bottom w:val="none" w:sz="0" w:space="0" w:color="auto"/>
            <w:right w:val="none" w:sz="0" w:space="0" w:color="auto"/>
          </w:divBdr>
          <w:divsChild>
            <w:div w:id="502816994">
              <w:marLeft w:val="0"/>
              <w:marRight w:val="0"/>
              <w:marTop w:val="0"/>
              <w:marBottom w:val="0"/>
              <w:divBdr>
                <w:top w:val="none" w:sz="0" w:space="0" w:color="auto"/>
                <w:left w:val="none" w:sz="0" w:space="0" w:color="auto"/>
                <w:bottom w:val="none" w:sz="0" w:space="0" w:color="auto"/>
                <w:right w:val="none" w:sz="0" w:space="0" w:color="auto"/>
              </w:divBdr>
              <w:divsChild>
                <w:div w:id="1244528901">
                  <w:marLeft w:val="0"/>
                  <w:marRight w:val="0"/>
                  <w:marTop w:val="0"/>
                  <w:marBottom w:val="0"/>
                  <w:divBdr>
                    <w:top w:val="none" w:sz="0" w:space="0" w:color="auto"/>
                    <w:left w:val="none" w:sz="0" w:space="0" w:color="auto"/>
                    <w:bottom w:val="none" w:sz="0" w:space="0" w:color="auto"/>
                    <w:right w:val="none" w:sz="0" w:space="0" w:color="auto"/>
                  </w:divBdr>
                  <w:divsChild>
                    <w:div w:id="125135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EA1BC-4A37-4944-A381-5B02AC85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2289</Words>
  <Characters>12595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SALAMANCA VAZQUEZ</dc:creator>
  <cp:keywords/>
  <dc:description/>
  <cp:lastModifiedBy>MIGUEL ANGEL ANDRADE SOLANA</cp:lastModifiedBy>
  <cp:revision>3</cp:revision>
  <dcterms:created xsi:type="dcterms:W3CDTF">2024-08-17T14:38:00Z</dcterms:created>
  <dcterms:modified xsi:type="dcterms:W3CDTF">2024-08-17T14:43:00Z</dcterms:modified>
</cp:coreProperties>
</file>