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312FE" w14:textId="0C14290C" w:rsidR="000F1566" w:rsidRPr="00661AEF" w:rsidRDefault="002E6C66" w:rsidP="000F1566">
      <w:pPr>
        <w:pStyle w:val="corte1datos"/>
        <w:tabs>
          <w:tab w:val="left" w:pos="2977"/>
        </w:tabs>
        <w:ind w:left="2977" w:firstLine="4"/>
        <w:jc w:val="both"/>
        <w:rPr>
          <w:rFonts w:cs="Arial"/>
          <w:szCs w:val="30"/>
        </w:rPr>
      </w:pPr>
      <w:r w:rsidRPr="00661AEF">
        <w:rPr>
          <w:rFonts w:cs="Arial"/>
          <w:bCs/>
          <w:szCs w:val="30"/>
        </w:rPr>
        <w:t>VOTO</w:t>
      </w:r>
      <w:r w:rsidR="000F1566" w:rsidRPr="00661AEF">
        <w:rPr>
          <w:rFonts w:cs="Arial"/>
          <w:b w:val="0"/>
          <w:bCs/>
          <w:szCs w:val="30"/>
        </w:rPr>
        <w:t xml:space="preserve"> </w:t>
      </w:r>
      <w:r w:rsidR="000F1566" w:rsidRPr="00661AEF">
        <w:rPr>
          <w:rFonts w:cs="Arial"/>
          <w:szCs w:val="30"/>
        </w:rPr>
        <w:t>CONCURRENTE</w:t>
      </w:r>
      <w:r w:rsidRPr="00661AEF">
        <w:rPr>
          <w:rFonts w:cs="Arial"/>
          <w:bCs/>
          <w:szCs w:val="30"/>
        </w:rPr>
        <w:t xml:space="preserve"> QUE FORMULA LA MINISTRA YASMÍN ESQUIVEL MOSSA EN</w:t>
      </w:r>
      <w:r w:rsidR="00B54879" w:rsidRPr="00661AEF">
        <w:rPr>
          <w:rFonts w:cs="Arial"/>
          <w:bCs/>
          <w:szCs w:val="30"/>
        </w:rPr>
        <w:t xml:space="preserve"> EL</w:t>
      </w:r>
      <w:r w:rsidRPr="00661AEF">
        <w:rPr>
          <w:rFonts w:cs="Arial"/>
          <w:bCs/>
          <w:szCs w:val="30"/>
        </w:rPr>
        <w:t xml:space="preserve"> </w:t>
      </w:r>
      <w:r w:rsidR="00751BD5" w:rsidRPr="00661AEF">
        <w:rPr>
          <w:rFonts w:cs="Arial"/>
          <w:bCs/>
          <w:szCs w:val="30"/>
        </w:rPr>
        <w:t>Amparo en revisión 227/2022</w:t>
      </w:r>
      <w:r w:rsidR="00BA3FD0" w:rsidRPr="00661AEF">
        <w:rPr>
          <w:rFonts w:cs="Arial"/>
          <w:szCs w:val="30"/>
        </w:rPr>
        <w:t>.</w:t>
      </w:r>
    </w:p>
    <w:p w14:paraId="18F2B8DC" w14:textId="60EC79E1" w:rsidR="002E6C66" w:rsidRDefault="002E6C66" w:rsidP="00590C7D">
      <w:pPr>
        <w:spacing w:line="240" w:lineRule="auto"/>
        <w:jc w:val="both"/>
        <w:rPr>
          <w:rFonts w:ascii="Arial" w:hAnsi="Arial" w:cs="Arial"/>
          <w:sz w:val="30"/>
          <w:szCs w:val="30"/>
        </w:rPr>
      </w:pPr>
    </w:p>
    <w:p w14:paraId="579C2E43" w14:textId="77777777" w:rsidR="001E419C" w:rsidRPr="00661AEF" w:rsidRDefault="001E419C" w:rsidP="00590C7D">
      <w:pPr>
        <w:spacing w:line="240" w:lineRule="auto"/>
        <w:jc w:val="both"/>
        <w:rPr>
          <w:rFonts w:ascii="Arial" w:hAnsi="Arial" w:cs="Arial"/>
          <w:sz w:val="30"/>
          <w:szCs w:val="30"/>
        </w:rPr>
      </w:pPr>
    </w:p>
    <w:p w14:paraId="5AF10469" w14:textId="64310552" w:rsidR="00BE54ED" w:rsidRDefault="002E6C66" w:rsidP="00CB1D78">
      <w:pPr>
        <w:pStyle w:val="Prrafodelista"/>
        <w:numPr>
          <w:ilvl w:val="0"/>
          <w:numId w:val="19"/>
        </w:numPr>
        <w:spacing w:line="360" w:lineRule="auto"/>
        <w:ind w:left="0"/>
        <w:jc w:val="both"/>
        <w:rPr>
          <w:rFonts w:ascii="Arial" w:hAnsi="Arial" w:cs="Arial"/>
          <w:sz w:val="30"/>
          <w:szCs w:val="30"/>
        </w:rPr>
      </w:pPr>
      <w:r w:rsidRPr="00BE54ED">
        <w:rPr>
          <w:rFonts w:ascii="Arial" w:hAnsi="Arial" w:cs="Arial"/>
          <w:sz w:val="30"/>
          <w:szCs w:val="30"/>
        </w:rPr>
        <w:t>En la</w:t>
      </w:r>
      <w:r w:rsidR="00A064C5" w:rsidRPr="00BE54ED">
        <w:rPr>
          <w:rFonts w:ascii="Arial" w:hAnsi="Arial" w:cs="Arial"/>
          <w:sz w:val="30"/>
          <w:szCs w:val="30"/>
        </w:rPr>
        <w:t xml:space="preserve"> </w:t>
      </w:r>
      <w:r w:rsidR="00E84ECF" w:rsidRPr="00BE54ED">
        <w:rPr>
          <w:rFonts w:ascii="Arial" w:hAnsi="Arial" w:cs="Arial"/>
          <w:sz w:val="30"/>
          <w:szCs w:val="30"/>
        </w:rPr>
        <w:t>s</w:t>
      </w:r>
      <w:r w:rsidR="00A064C5" w:rsidRPr="00BE54ED">
        <w:rPr>
          <w:rFonts w:ascii="Arial" w:hAnsi="Arial" w:cs="Arial"/>
          <w:sz w:val="30"/>
          <w:szCs w:val="30"/>
        </w:rPr>
        <w:t>esión de ocho de abril</w:t>
      </w:r>
      <w:r w:rsidR="008D6347" w:rsidRPr="00BE54ED">
        <w:rPr>
          <w:rFonts w:ascii="Arial" w:hAnsi="Arial" w:cs="Arial"/>
          <w:sz w:val="30"/>
          <w:szCs w:val="30"/>
        </w:rPr>
        <w:t xml:space="preserve"> de dos mil veinticuatro</w:t>
      </w:r>
      <w:r w:rsidRPr="00BE54ED">
        <w:rPr>
          <w:rFonts w:ascii="Arial" w:hAnsi="Arial" w:cs="Arial"/>
          <w:sz w:val="30"/>
          <w:szCs w:val="30"/>
        </w:rPr>
        <w:t>, el Tribunal Pleno de esta Suprema Corte de Justicia de la Nación resolvió</w:t>
      </w:r>
      <w:r w:rsidR="001C4FFC" w:rsidRPr="00BE54ED">
        <w:rPr>
          <w:rFonts w:ascii="Arial" w:hAnsi="Arial" w:cs="Arial"/>
          <w:sz w:val="30"/>
          <w:szCs w:val="30"/>
        </w:rPr>
        <w:t xml:space="preserve"> </w:t>
      </w:r>
      <w:r w:rsidR="004D7ECB" w:rsidRPr="00BE54ED">
        <w:rPr>
          <w:rFonts w:ascii="Arial" w:hAnsi="Arial" w:cs="Arial"/>
          <w:sz w:val="30"/>
          <w:szCs w:val="30"/>
        </w:rPr>
        <w:t xml:space="preserve">el </w:t>
      </w:r>
      <w:r w:rsidR="00751BD5" w:rsidRPr="00BE54ED">
        <w:rPr>
          <w:rFonts w:ascii="Arial" w:hAnsi="Arial" w:cs="Arial"/>
          <w:sz w:val="30"/>
          <w:szCs w:val="30"/>
        </w:rPr>
        <w:t>amparo en revisión 227/2022</w:t>
      </w:r>
      <w:r w:rsidR="00E52E6E" w:rsidRPr="00BE54ED">
        <w:rPr>
          <w:rFonts w:ascii="Arial" w:hAnsi="Arial" w:cs="Arial"/>
          <w:sz w:val="30"/>
          <w:szCs w:val="30"/>
        </w:rPr>
        <w:t>,</w:t>
      </w:r>
      <w:r w:rsidR="008829DA" w:rsidRPr="00BE54ED">
        <w:rPr>
          <w:rFonts w:ascii="Arial" w:hAnsi="Arial" w:cs="Arial"/>
          <w:sz w:val="30"/>
          <w:szCs w:val="30"/>
        </w:rPr>
        <w:t xml:space="preserve"> </w:t>
      </w:r>
      <w:r w:rsidR="003B3F4E" w:rsidRPr="00BE54ED">
        <w:rPr>
          <w:rFonts w:ascii="Arial" w:hAnsi="Arial" w:cs="Arial"/>
          <w:sz w:val="30"/>
          <w:szCs w:val="30"/>
        </w:rPr>
        <w:t>interpuesto</w:t>
      </w:r>
      <w:r w:rsidR="00E52E6E" w:rsidRPr="00BE54ED">
        <w:rPr>
          <w:rFonts w:ascii="Arial" w:hAnsi="Arial" w:cs="Arial"/>
          <w:sz w:val="30"/>
          <w:szCs w:val="30"/>
        </w:rPr>
        <w:t xml:space="preserve"> por </w:t>
      </w:r>
      <w:r w:rsidR="00537AB1">
        <w:rPr>
          <w:rFonts w:ascii="Arial" w:hAnsi="Arial" w:cs="Arial"/>
          <w:sz w:val="30"/>
          <w:szCs w:val="30"/>
        </w:rPr>
        <w:t>la parte quejosa</w:t>
      </w:r>
      <w:r w:rsidR="00E52E6E" w:rsidRPr="00BE54ED">
        <w:rPr>
          <w:rFonts w:ascii="Arial" w:hAnsi="Arial" w:cs="Arial"/>
          <w:sz w:val="30"/>
          <w:szCs w:val="30"/>
        </w:rPr>
        <w:t>,</w:t>
      </w:r>
      <w:r w:rsidR="002B5FD6" w:rsidRPr="00BE54ED">
        <w:rPr>
          <w:rFonts w:ascii="Arial" w:hAnsi="Arial" w:cs="Arial"/>
          <w:sz w:val="30"/>
          <w:szCs w:val="30"/>
        </w:rPr>
        <w:t xml:space="preserve"> </w:t>
      </w:r>
      <w:r w:rsidR="00853E80" w:rsidRPr="00BE54ED">
        <w:rPr>
          <w:rFonts w:ascii="Arial" w:hAnsi="Arial" w:cs="Arial"/>
          <w:sz w:val="30"/>
          <w:szCs w:val="30"/>
        </w:rPr>
        <w:t>en contra</w:t>
      </w:r>
      <w:r w:rsidR="00CE15AE" w:rsidRPr="00BE54ED">
        <w:rPr>
          <w:rFonts w:ascii="Arial" w:hAnsi="Arial" w:cs="Arial"/>
          <w:sz w:val="30"/>
          <w:szCs w:val="30"/>
        </w:rPr>
        <w:t xml:space="preserve"> de la sentencia</w:t>
      </w:r>
      <w:r w:rsidR="001356EE" w:rsidRPr="00BE54ED">
        <w:rPr>
          <w:rFonts w:ascii="Arial" w:hAnsi="Arial" w:cs="Arial"/>
          <w:sz w:val="30"/>
          <w:szCs w:val="30"/>
        </w:rPr>
        <w:t xml:space="preserve"> de</w:t>
      </w:r>
      <w:r w:rsidR="00D459AC" w:rsidRPr="00BE54ED">
        <w:rPr>
          <w:rFonts w:ascii="Arial" w:hAnsi="Arial" w:cs="Arial"/>
          <w:sz w:val="30"/>
          <w:szCs w:val="30"/>
        </w:rPr>
        <w:t xml:space="preserve"> treinta</w:t>
      </w:r>
      <w:r w:rsidR="001356EE" w:rsidRPr="00BE54ED">
        <w:rPr>
          <w:rFonts w:ascii="Arial" w:hAnsi="Arial" w:cs="Arial"/>
          <w:sz w:val="30"/>
          <w:szCs w:val="30"/>
        </w:rPr>
        <w:t xml:space="preserve"> de noviembre de dos mil veintiuno, </w:t>
      </w:r>
      <w:r w:rsidR="001A790F" w:rsidRPr="00BE54ED">
        <w:rPr>
          <w:rFonts w:ascii="Arial" w:hAnsi="Arial" w:cs="Arial"/>
          <w:sz w:val="30"/>
          <w:szCs w:val="30"/>
        </w:rPr>
        <w:t>en el juicio de amparo 966/2020</w:t>
      </w:r>
      <w:r w:rsidR="00537945" w:rsidRPr="00BE54ED">
        <w:rPr>
          <w:rFonts w:ascii="Arial" w:hAnsi="Arial" w:cs="Arial"/>
          <w:sz w:val="30"/>
          <w:szCs w:val="30"/>
        </w:rPr>
        <w:t xml:space="preserve"> por el Juez Primero de Distrito en Materia Administrativa en la Ciudad de México</w:t>
      </w:r>
      <w:r w:rsidR="00445F47" w:rsidRPr="00BE54ED">
        <w:rPr>
          <w:rFonts w:ascii="Arial" w:hAnsi="Arial" w:cs="Arial"/>
          <w:sz w:val="30"/>
          <w:szCs w:val="30"/>
        </w:rPr>
        <w:t>.</w:t>
      </w:r>
    </w:p>
    <w:p w14:paraId="0710ACA5" w14:textId="77777777" w:rsidR="00BE54ED" w:rsidRDefault="00BE54ED" w:rsidP="00B4637B">
      <w:pPr>
        <w:pStyle w:val="Prrafodelista"/>
        <w:spacing w:line="240" w:lineRule="auto"/>
        <w:ind w:left="0"/>
        <w:jc w:val="both"/>
        <w:rPr>
          <w:rFonts w:ascii="Arial" w:hAnsi="Arial" w:cs="Arial"/>
          <w:sz w:val="30"/>
          <w:szCs w:val="30"/>
        </w:rPr>
      </w:pPr>
    </w:p>
    <w:p w14:paraId="57BF4EF5" w14:textId="77777777" w:rsidR="00BE54ED" w:rsidRDefault="005B6BF3" w:rsidP="00CB1D78">
      <w:pPr>
        <w:pStyle w:val="Prrafodelista"/>
        <w:numPr>
          <w:ilvl w:val="0"/>
          <w:numId w:val="19"/>
        </w:numPr>
        <w:spacing w:line="360" w:lineRule="auto"/>
        <w:ind w:left="0"/>
        <w:jc w:val="both"/>
        <w:rPr>
          <w:rFonts w:ascii="Arial" w:hAnsi="Arial" w:cs="Arial"/>
          <w:sz w:val="30"/>
          <w:szCs w:val="30"/>
        </w:rPr>
      </w:pPr>
      <w:r w:rsidRPr="00BE54ED">
        <w:rPr>
          <w:rFonts w:ascii="Arial" w:hAnsi="Arial" w:cs="Arial"/>
          <w:sz w:val="30"/>
          <w:szCs w:val="30"/>
        </w:rPr>
        <w:t>En dicha sesi</w:t>
      </w:r>
      <w:r w:rsidR="00A042F9" w:rsidRPr="00BE54ED">
        <w:rPr>
          <w:rFonts w:ascii="Arial" w:hAnsi="Arial" w:cs="Arial"/>
          <w:sz w:val="30"/>
          <w:szCs w:val="30"/>
        </w:rPr>
        <w:t>ón</w:t>
      </w:r>
      <w:r w:rsidR="00285793" w:rsidRPr="00BE54ED">
        <w:rPr>
          <w:rFonts w:ascii="Arial" w:hAnsi="Arial" w:cs="Arial"/>
          <w:sz w:val="30"/>
          <w:szCs w:val="30"/>
        </w:rPr>
        <w:t>, el Pleno de este Máximo Tribunal de</w:t>
      </w:r>
      <w:r w:rsidR="00707506" w:rsidRPr="00BE54ED">
        <w:rPr>
          <w:rFonts w:ascii="Arial" w:hAnsi="Arial" w:cs="Arial"/>
          <w:sz w:val="30"/>
          <w:szCs w:val="30"/>
        </w:rPr>
        <w:t xml:space="preserve">terminó, en la materia de la revisión, negar el amparo y protección de la Justicia de la Unión, respecto de los artículos </w:t>
      </w:r>
      <w:r w:rsidR="00707506" w:rsidRPr="00BE54ED">
        <w:rPr>
          <w:rFonts w:ascii="Arial" w:hAnsi="Arial" w:cs="Arial"/>
          <w:b/>
          <w:bCs/>
          <w:sz w:val="30"/>
          <w:szCs w:val="30"/>
        </w:rPr>
        <w:t>212, párrafos tercero y cuarto, y 215, fracciones VI y VII, de la Ley General de Salud</w:t>
      </w:r>
      <w:r w:rsidR="00707506" w:rsidRPr="00BE54ED">
        <w:rPr>
          <w:rFonts w:ascii="Arial" w:hAnsi="Arial" w:cs="Arial"/>
          <w:sz w:val="30"/>
          <w:szCs w:val="30"/>
        </w:rPr>
        <w:t xml:space="preserve">, así como de la </w:t>
      </w:r>
      <w:r w:rsidR="00707506" w:rsidRPr="00BE54ED">
        <w:rPr>
          <w:rFonts w:ascii="Arial" w:hAnsi="Arial" w:cs="Arial"/>
          <w:b/>
          <w:bCs/>
          <w:sz w:val="30"/>
          <w:szCs w:val="30"/>
        </w:rPr>
        <w:t>“Modificación a la Norma Oficial Mexicana NOM-051-SCFI/SSA1- 2010</w:t>
      </w:r>
      <w:r w:rsidR="00707506" w:rsidRPr="00BE54ED">
        <w:rPr>
          <w:rFonts w:ascii="Arial" w:hAnsi="Arial" w:cs="Arial"/>
          <w:sz w:val="30"/>
          <w:szCs w:val="30"/>
        </w:rPr>
        <w:t>, Especificaciones generales de etiquetado para alimentos y bebidas no alcohólicas preenvasados-información comercial y sanitaria”, publicada en el Diario Oficial de la Federación el veintisiete de marzo de dos mil veinte, particularmente, los numerales 3.38., 4.5.3.4., 4.5.3.4.1., 7.1.3. y 7.1.4., así como los Transitorios Primero a Cuarto.</w:t>
      </w:r>
    </w:p>
    <w:p w14:paraId="6144E545" w14:textId="77777777" w:rsidR="00BE54ED" w:rsidRPr="00BE54ED" w:rsidRDefault="00BE54ED" w:rsidP="00667C42">
      <w:pPr>
        <w:pStyle w:val="Prrafodelista"/>
        <w:spacing w:after="0"/>
        <w:rPr>
          <w:rFonts w:ascii="Arial" w:hAnsi="Arial" w:cs="Arial"/>
          <w:sz w:val="30"/>
          <w:szCs w:val="30"/>
          <w:lang w:val="es-ES" w:eastAsia="es-ES"/>
        </w:rPr>
      </w:pPr>
    </w:p>
    <w:p w14:paraId="2584D269" w14:textId="77777777" w:rsidR="00BE54ED" w:rsidRPr="00BE54ED" w:rsidRDefault="00E83F26" w:rsidP="00667C42">
      <w:pPr>
        <w:pStyle w:val="Prrafodelista"/>
        <w:numPr>
          <w:ilvl w:val="0"/>
          <w:numId w:val="19"/>
        </w:numPr>
        <w:spacing w:after="0" w:line="360" w:lineRule="auto"/>
        <w:ind w:left="0"/>
        <w:jc w:val="both"/>
        <w:rPr>
          <w:rFonts w:ascii="Arial" w:hAnsi="Arial" w:cs="Arial"/>
          <w:sz w:val="30"/>
          <w:szCs w:val="30"/>
        </w:rPr>
      </w:pPr>
      <w:r w:rsidRPr="00BE54ED">
        <w:rPr>
          <w:rFonts w:ascii="Arial" w:hAnsi="Arial" w:cs="Arial"/>
          <w:sz w:val="30"/>
          <w:szCs w:val="30"/>
          <w:lang w:val="es-ES" w:eastAsia="es-ES"/>
        </w:rPr>
        <w:t>Ahora</w:t>
      </w:r>
      <w:r w:rsidR="00942EA0" w:rsidRPr="00BE54ED">
        <w:rPr>
          <w:rFonts w:ascii="Arial" w:hAnsi="Arial" w:cs="Arial"/>
          <w:sz w:val="30"/>
          <w:szCs w:val="30"/>
          <w:lang w:val="es-ES" w:eastAsia="es-ES"/>
        </w:rPr>
        <w:t>,</w:t>
      </w:r>
      <w:r w:rsidR="00537945" w:rsidRPr="00BE54ED">
        <w:rPr>
          <w:rFonts w:ascii="Arial" w:hAnsi="Arial" w:cs="Arial"/>
          <w:sz w:val="30"/>
          <w:szCs w:val="30"/>
          <w:lang w:val="es-ES" w:eastAsia="es-ES"/>
        </w:rPr>
        <w:t xml:space="preserve"> si bien comparto el sentido y la mayoría de las consideraciones del fallo, me aparto de diversas de ellas, por los motivos siguientes:</w:t>
      </w:r>
    </w:p>
    <w:p w14:paraId="30EAB67E" w14:textId="77777777" w:rsidR="00667C42" w:rsidRDefault="00667C42" w:rsidP="00BE54ED">
      <w:pPr>
        <w:rPr>
          <w:rFonts w:ascii="Arial" w:hAnsi="Arial" w:cs="Arial"/>
          <w:b/>
          <w:bCs/>
          <w:sz w:val="30"/>
          <w:szCs w:val="30"/>
          <w:bdr w:val="none" w:sz="0" w:space="0" w:color="auto" w:frame="1"/>
          <w:lang w:eastAsia="es-MX"/>
        </w:rPr>
      </w:pPr>
    </w:p>
    <w:p w14:paraId="7388C575" w14:textId="7AC34994" w:rsidR="00BE54ED" w:rsidRPr="00BE54ED" w:rsidRDefault="00BE54ED" w:rsidP="00BE54ED">
      <w:pPr>
        <w:rPr>
          <w:rFonts w:ascii="Arial" w:hAnsi="Arial" w:cs="Arial"/>
          <w:b/>
          <w:bCs/>
          <w:sz w:val="30"/>
          <w:szCs w:val="30"/>
          <w:bdr w:val="none" w:sz="0" w:space="0" w:color="auto" w:frame="1"/>
          <w:lang w:eastAsia="es-MX"/>
        </w:rPr>
      </w:pPr>
      <w:r w:rsidRPr="00BE54ED">
        <w:rPr>
          <w:rFonts w:ascii="Arial" w:hAnsi="Arial" w:cs="Arial"/>
          <w:b/>
          <w:bCs/>
          <w:sz w:val="30"/>
          <w:szCs w:val="30"/>
          <w:bdr w:val="none" w:sz="0" w:space="0" w:color="auto" w:frame="1"/>
          <w:lang w:eastAsia="es-MX"/>
        </w:rPr>
        <w:t>Motivos del voto concurrente.</w:t>
      </w:r>
    </w:p>
    <w:p w14:paraId="279D90CA" w14:textId="77777777" w:rsidR="00BE54ED" w:rsidRPr="00BE54ED" w:rsidRDefault="00BE54ED" w:rsidP="00BE54ED">
      <w:pPr>
        <w:rPr>
          <w:rFonts w:ascii="Arial" w:hAnsi="Arial" w:cs="Arial"/>
          <w:sz w:val="30"/>
          <w:szCs w:val="30"/>
          <w:bdr w:val="none" w:sz="0" w:space="0" w:color="auto" w:frame="1"/>
          <w:lang w:eastAsia="es-MX"/>
        </w:rPr>
      </w:pPr>
    </w:p>
    <w:p w14:paraId="7ED848D0" w14:textId="1E1C9E5F" w:rsidR="00BE54ED" w:rsidRPr="00BE54ED" w:rsidRDefault="00537945" w:rsidP="00537945">
      <w:pPr>
        <w:pStyle w:val="Prrafodelista"/>
        <w:numPr>
          <w:ilvl w:val="0"/>
          <w:numId w:val="19"/>
        </w:numPr>
        <w:spacing w:line="360" w:lineRule="auto"/>
        <w:ind w:left="0"/>
        <w:jc w:val="both"/>
        <w:rPr>
          <w:rFonts w:ascii="Arial" w:hAnsi="Arial" w:cs="Arial"/>
          <w:sz w:val="30"/>
          <w:szCs w:val="30"/>
        </w:rPr>
      </w:pPr>
      <w:r w:rsidRPr="00BE54ED">
        <w:rPr>
          <w:rFonts w:ascii="Arial" w:hAnsi="Arial" w:cs="Arial"/>
          <w:sz w:val="30"/>
          <w:szCs w:val="30"/>
          <w:bdr w:val="none" w:sz="0" w:space="0" w:color="auto" w:frame="1"/>
          <w:lang w:eastAsia="es-MX"/>
        </w:rPr>
        <w:t xml:space="preserve">En el considerando IV. </w:t>
      </w:r>
      <w:r w:rsidR="00456539" w:rsidRPr="00BE54ED">
        <w:rPr>
          <w:rFonts w:ascii="Arial" w:hAnsi="Arial" w:cs="Arial"/>
          <w:sz w:val="30"/>
          <w:szCs w:val="30"/>
        </w:rPr>
        <w:t>ESTUDIO DE FONDO</w:t>
      </w:r>
      <w:r w:rsidR="000D186A">
        <w:rPr>
          <w:rFonts w:ascii="Arial" w:hAnsi="Arial" w:cs="Arial"/>
          <w:sz w:val="30"/>
          <w:szCs w:val="30"/>
        </w:rPr>
        <w:t>. Apartados</w:t>
      </w:r>
      <w:r w:rsidR="00456539" w:rsidRPr="00BE54ED">
        <w:rPr>
          <w:rFonts w:ascii="Arial" w:hAnsi="Arial" w:cs="Arial"/>
          <w:color w:val="000000" w:themeColor="text1"/>
          <w:sz w:val="30"/>
          <w:szCs w:val="30"/>
          <w:lang w:val="es-ES"/>
        </w:rPr>
        <w:t xml:space="preserve"> I</w:t>
      </w:r>
      <w:r w:rsidR="0006417D" w:rsidRPr="00BE54ED">
        <w:rPr>
          <w:rFonts w:ascii="Arial" w:hAnsi="Arial" w:cs="Arial"/>
          <w:color w:val="000000" w:themeColor="text1"/>
          <w:sz w:val="30"/>
          <w:szCs w:val="30"/>
          <w:lang w:val="es-ES"/>
        </w:rPr>
        <w:t xml:space="preserve"> y II, relativos a la</w:t>
      </w:r>
      <w:r w:rsidR="00C3240D" w:rsidRPr="00BE54ED">
        <w:rPr>
          <w:rFonts w:ascii="Arial" w:hAnsi="Arial" w:cs="Arial"/>
          <w:color w:val="000000" w:themeColor="text1"/>
          <w:sz w:val="30"/>
          <w:szCs w:val="30"/>
          <w:lang w:val="es-ES"/>
        </w:rPr>
        <w:t xml:space="preserve"> Ley General de Salud y</w:t>
      </w:r>
      <w:r w:rsidR="00456539" w:rsidRPr="00BE54ED">
        <w:rPr>
          <w:rFonts w:ascii="Arial" w:hAnsi="Arial" w:cs="Arial"/>
          <w:color w:val="000000" w:themeColor="text1"/>
          <w:sz w:val="30"/>
          <w:szCs w:val="30"/>
          <w:lang w:val="es-ES"/>
        </w:rPr>
        <w:t xml:space="preserve"> </w:t>
      </w:r>
      <w:r w:rsidR="00C3240D" w:rsidRPr="00BE54ED">
        <w:rPr>
          <w:rFonts w:ascii="Arial" w:hAnsi="Arial" w:cs="Arial"/>
          <w:color w:val="000000" w:themeColor="text1"/>
          <w:sz w:val="30"/>
          <w:szCs w:val="30"/>
        </w:rPr>
        <w:t xml:space="preserve">Modificación a la Norma </w:t>
      </w:r>
      <w:r w:rsidR="00C3240D" w:rsidRPr="00BE54ED">
        <w:rPr>
          <w:rFonts w:ascii="Arial" w:hAnsi="Arial" w:cs="Arial"/>
          <w:color w:val="000000" w:themeColor="text1"/>
          <w:sz w:val="30"/>
          <w:szCs w:val="30"/>
        </w:rPr>
        <w:lastRenderedPageBreak/>
        <w:t>Oficial Mexicana NOM-051-SCFI/SSA1-2010. Inciso</w:t>
      </w:r>
      <w:r w:rsidR="00057CC5" w:rsidRPr="00BE54ED">
        <w:rPr>
          <w:rFonts w:ascii="Arial" w:hAnsi="Arial" w:cs="Arial"/>
          <w:color w:val="000000" w:themeColor="text1"/>
          <w:sz w:val="30"/>
          <w:szCs w:val="30"/>
        </w:rPr>
        <w:t>s</w:t>
      </w:r>
      <w:r w:rsidR="00C3240D" w:rsidRPr="00BE54ED">
        <w:rPr>
          <w:rFonts w:ascii="Arial" w:hAnsi="Arial" w:cs="Arial"/>
          <w:color w:val="000000" w:themeColor="text1"/>
          <w:sz w:val="30"/>
          <w:szCs w:val="30"/>
        </w:rPr>
        <w:t xml:space="preserve"> a) y b),</w:t>
      </w:r>
      <w:r w:rsidR="009170E5" w:rsidRPr="00BE54ED">
        <w:rPr>
          <w:rFonts w:ascii="Arial" w:hAnsi="Arial" w:cs="Arial"/>
          <w:color w:val="000000" w:themeColor="text1"/>
          <w:sz w:val="30"/>
          <w:szCs w:val="30"/>
        </w:rPr>
        <w:t xml:space="preserve"> respectivamente, re</w:t>
      </w:r>
      <w:r w:rsidR="009B2585" w:rsidRPr="00BE54ED">
        <w:rPr>
          <w:rFonts w:ascii="Arial" w:hAnsi="Arial" w:cs="Arial"/>
          <w:color w:val="000000" w:themeColor="text1"/>
          <w:sz w:val="30"/>
          <w:szCs w:val="30"/>
        </w:rPr>
        <w:t xml:space="preserve">lativos </w:t>
      </w:r>
      <w:r w:rsidR="009170E5" w:rsidRPr="00BE54ED">
        <w:rPr>
          <w:rFonts w:ascii="Arial" w:hAnsi="Arial" w:cs="Arial"/>
          <w:color w:val="000000" w:themeColor="text1"/>
          <w:sz w:val="30"/>
          <w:szCs w:val="30"/>
        </w:rPr>
        <w:t>al tema de la motivación reforzada</w:t>
      </w:r>
      <w:r w:rsidR="009B2585" w:rsidRPr="00BE54ED">
        <w:rPr>
          <w:rFonts w:ascii="Arial" w:hAnsi="Arial" w:cs="Arial"/>
          <w:color w:val="000000" w:themeColor="text1"/>
          <w:sz w:val="30"/>
          <w:szCs w:val="30"/>
        </w:rPr>
        <w:t>;</w:t>
      </w:r>
      <w:r w:rsidR="009170E5" w:rsidRPr="00BE54ED">
        <w:rPr>
          <w:rFonts w:ascii="Arial" w:hAnsi="Arial" w:cs="Arial"/>
          <w:b/>
          <w:bCs/>
          <w:color w:val="000000" w:themeColor="text1"/>
          <w:sz w:val="30"/>
          <w:szCs w:val="30"/>
        </w:rPr>
        <w:t xml:space="preserve"> </w:t>
      </w:r>
      <w:r w:rsidRPr="00BE54ED">
        <w:rPr>
          <w:rFonts w:ascii="Arial" w:hAnsi="Arial" w:cs="Arial"/>
          <w:b/>
          <w:color w:val="000000" w:themeColor="text1"/>
          <w:sz w:val="30"/>
          <w:szCs w:val="30"/>
          <w:lang w:val="es-ES"/>
        </w:rPr>
        <w:t>no comparto la inoperan</w:t>
      </w:r>
      <w:r w:rsidR="00F336DA" w:rsidRPr="00BE54ED">
        <w:rPr>
          <w:rFonts w:ascii="Arial" w:hAnsi="Arial" w:cs="Arial"/>
          <w:b/>
          <w:color w:val="000000" w:themeColor="text1"/>
          <w:sz w:val="30"/>
          <w:szCs w:val="30"/>
          <w:lang w:val="es-ES"/>
        </w:rPr>
        <w:t>cia</w:t>
      </w:r>
      <w:r w:rsidRPr="00BE54ED">
        <w:rPr>
          <w:rFonts w:ascii="Arial" w:hAnsi="Arial" w:cs="Arial"/>
          <w:b/>
          <w:color w:val="000000" w:themeColor="text1"/>
          <w:sz w:val="30"/>
          <w:szCs w:val="30"/>
          <w:lang w:val="es-ES"/>
        </w:rPr>
        <w:t xml:space="preserve"> de</w:t>
      </w:r>
      <w:r w:rsidR="00661AEF" w:rsidRPr="00BE54ED">
        <w:rPr>
          <w:rFonts w:ascii="Arial" w:hAnsi="Arial" w:cs="Arial"/>
          <w:b/>
          <w:color w:val="000000" w:themeColor="text1"/>
          <w:sz w:val="30"/>
          <w:szCs w:val="30"/>
          <w:lang w:val="es-ES"/>
        </w:rPr>
        <w:t xml:space="preserve"> </w:t>
      </w:r>
      <w:r w:rsidRPr="00BE54ED">
        <w:rPr>
          <w:rFonts w:ascii="Arial" w:hAnsi="Arial" w:cs="Arial"/>
          <w:b/>
          <w:color w:val="000000" w:themeColor="text1"/>
          <w:sz w:val="30"/>
          <w:szCs w:val="30"/>
          <w:lang w:val="es-ES"/>
        </w:rPr>
        <w:t>l</w:t>
      </w:r>
      <w:r w:rsidR="00661AEF" w:rsidRPr="00BE54ED">
        <w:rPr>
          <w:rFonts w:ascii="Arial" w:hAnsi="Arial" w:cs="Arial"/>
          <w:b/>
          <w:color w:val="000000" w:themeColor="text1"/>
          <w:sz w:val="30"/>
          <w:szCs w:val="30"/>
          <w:lang w:val="es-ES"/>
        </w:rPr>
        <w:t>os</w:t>
      </w:r>
      <w:r w:rsidRPr="00BE54ED">
        <w:rPr>
          <w:rFonts w:ascii="Arial" w:hAnsi="Arial" w:cs="Arial"/>
          <w:b/>
          <w:color w:val="000000" w:themeColor="text1"/>
          <w:sz w:val="30"/>
          <w:szCs w:val="30"/>
          <w:lang w:val="es-ES"/>
        </w:rPr>
        <w:t xml:space="preserve"> agravio</w:t>
      </w:r>
      <w:r w:rsidR="00661AEF" w:rsidRPr="00BE54ED">
        <w:rPr>
          <w:rFonts w:ascii="Arial" w:hAnsi="Arial" w:cs="Arial"/>
          <w:b/>
          <w:color w:val="000000" w:themeColor="text1"/>
          <w:sz w:val="30"/>
          <w:szCs w:val="30"/>
          <w:lang w:val="es-ES"/>
        </w:rPr>
        <w:t>s</w:t>
      </w:r>
      <w:r w:rsidRPr="00BE54ED">
        <w:rPr>
          <w:rFonts w:ascii="Arial" w:hAnsi="Arial" w:cs="Arial"/>
          <w:b/>
          <w:color w:val="000000" w:themeColor="text1"/>
          <w:sz w:val="30"/>
          <w:szCs w:val="30"/>
          <w:lang w:val="es-ES"/>
        </w:rPr>
        <w:t xml:space="preserve">. </w:t>
      </w:r>
      <w:r w:rsidR="00456539" w:rsidRPr="00BE54ED">
        <w:rPr>
          <w:rFonts w:ascii="Arial" w:hAnsi="Arial" w:cs="Arial"/>
          <w:b/>
          <w:color w:val="000000" w:themeColor="text1"/>
          <w:sz w:val="30"/>
          <w:szCs w:val="30"/>
          <w:lang w:val="es-ES"/>
        </w:rPr>
        <w:t xml:space="preserve"> </w:t>
      </w:r>
    </w:p>
    <w:p w14:paraId="06E388B1" w14:textId="77777777" w:rsidR="00BE54ED" w:rsidRDefault="00BE54ED" w:rsidP="00B4637B">
      <w:pPr>
        <w:pStyle w:val="Prrafodelista"/>
        <w:spacing w:line="240" w:lineRule="auto"/>
        <w:ind w:left="0"/>
        <w:jc w:val="both"/>
        <w:rPr>
          <w:rFonts w:ascii="Arial" w:hAnsi="Arial" w:cs="Arial"/>
          <w:sz w:val="30"/>
          <w:szCs w:val="30"/>
        </w:rPr>
      </w:pPr>
    </w:p>
    <w:p w14:paraId="642A2105" w14:textId="01E10ED0" w:rsidR="007C630B" w:rsidRPr="007C630B" w:rsidRDefault="007C630B" w:rsidP="00B4637B">
      <w:pPr>
        <w:pStyle w:val="Prrafodelista"/>
        <w:spacing w:line="240" w:lineRule="auto"/>
        <w:ind w:left="0"/>
        <w:jc w:val="both"/>
        <w:rPr>
          <w:rFonts w:ascii="Arial" w:hAnsi="Arial" w:cs="Arial"/>
          <w:b/>
          <w:bCs/>
          <w:sz w:val="30"/>
          <w:szCs w:val="30"/>
        </w:rPr>
      </w:pPr>
      <w:r w:rsidRPr="007C630B">
        <w:rPr>
          <w:rFonts w:ascii="Arial" w:hAnsi="Arial" w:cs="Arial"/>
          <w:b/>
          <w:bCs/>
          <w:sz w:val="30"/>
          <w:szCs w:val="30"/>
        </w:rPr>
        <w:t>a) Motivación reforzada.</w:t>
      </w:r>
    </w:p>
    <w:p w14:paraId="727F6EB2" w14:textId="77777777" w:rsidR="007C630B" w:rsidRPr="00BE54ED" w:rsidRDefault="007C630B" w:rsidP="00B4637B">
      <w:pPr>
        <w:pStyle w:val="Prrafodelista"/>
        <w:spacing w:line="240" w:lineRule="auto"/>
        <w:ind w:left="0"/>
        <w:jc w:val="both"/>
        <w:rPr>
          <w:rFonts w:ascii="Arial" w:hAnsi="Arial" w:cs="Arial"/>
          <w:sz w:val="30"/>
          <w:szCs w:val="30"/>
        </w:rPr>
      </w:pPr>
    </w:p>
    <w:p w14:paraId="3558A588" w14:textId="57E71B56" w:rsidR="00BE54ED" w:rsidRPr="00BE54ED" w:rsidRDefault="00456539" w:rsidP="002D16BA">
      <w:pPr>
        <w:pStyle w:val="Prrafodelista"/>
        <w:numPr>
          <w:ilvl w:val="0"/>
          <w:numId w:val="19"/>
        </w:numPr>
        <w:spacing w:line="360" w:lineRule="auto"/>
        <w:ind w:left="0"/>
        <w:jc w:val="both"/>
        <w:rPr>
          <w:rFonts w:ascii="Arial" w:hAnsi="Arial" w:cs="Arial"/>
          <w:sz w:val="30"/>
          <w:szCs w:val="30"/>
        </w:rPr>
      </w:pPr>
      <w:r w:rsidRPr="00BE54ED">
        <w:rPr>
          <w:rFonts w:ascii="Arial" w:hAnsi="Arial" w:cs="Arial"/>
          <w:bCs/>
          <w:iCs/>
          <w:color w:val="000000" w:themeColor="text1"/>
          <w:sz w:val="30"/>
          <w:szCs w:val="30"/>
        </w:rPr>
        <w:t>El</w:t>
      </w:r>
      <w:r w:rsidR="00537945" w:rsidRPr="00BE54ED">
        <w:rPr>
          <w:rFonts w:ascii="Arial" w:hAnsi="Arial" w:cs="Arial"/>
          <w:bCs/>
          <w:iCs/>
          <w:color w:val="000000" w:themeColor="text1"/>
          <w:sz w:val="30"/>
          <w:szCs w:val="30"/>
        </w:rPr>
        <w:t xml:space="preserve"> engrose</w:t>
      </w:r>
      <w:r w:rsidRPr="00BE54ED">
        <w:rPr>
          <w:rFonts w:ascii="Arial" w:hAnsi="Arial" w:cs="Arial"/>
          <w:b/>
          <w:iCs/>
          <w:color w:val="000000" w:themeColor="text1"/>
          <w:sz w:val="30"/>
          <w:szCs w:val="30"/>
        </w:rPr>
        <w:t xml:space="preserve"> </w:t>
      </w:r>
      <w:r w:rsidR="00BD4427" w:rsidRPr="00BE54ED">
        <w:rPr>
          <w:rFonts w:ascii="Arial" w:hAnsi="Arial" w:cs="Arial"/>
          <w:b/>
          <w:iCs/>
          <w:color w:val="000000" w:themeColor="text1"/>
          <w:sz w:val="30"/>
          <w:szCs w:val="30"/>
        </w:rPr>
        <w:t>establece</w:t>
      </w:r>
      <w:r w:rsidR="00F336DA" w:rsidRPr="00BE54ED">
        <w:rPr>
          <w:rFonts w:ascii="Arial" w:hAnsi="Arial" w:cs="Arial"/>
          <w:b/>
          <w:iCs/>
          <w:color w:val="000000" w:themeColor="text1"/>
          <w:sz w:val="30"/>
          <w:szCs w:val="30"/>
        </w:rPr>
        <w:t xml:space="preserve"> </w:t>
      </w:r>
      <w:r w:rsidR="00F336DA" w:rsidRPr="00BE54ED">
        <w:rPr>
          <w:rFonts w:ascii="Arial" w:hAnsi="Arial" w:cs="Arial"/>
          <w:bCs/>
          <w:color w:val="000000" w:themeColor="text1"/>
          <w:sz w:val="30"/>
          <w:szCs w:val="30"/>
          <w:lang w:val="es-ES"/>
        </w:rPr>
        <w:t xml:space="preserve">que </w:t>
      </w:r>
      <w:r w:rsidRPr="00BE54ED">
        <w:rPr>
          <w:rFonts w:ascii="Arial" w:hAnsi="Arial" w:cs="Arial"/>
          <w:bCs/>
          <w:color w:val="000000" w:themeColor="text1"/>
          <w:sz w:val="30"/>
          <w:szCs w:val="30"/>
          <w:lang w:val="es-ES"/>
        </w:rPr>
        <w:t>la quejosa no</w:t>
      </w:r>
      <w:r w:rsidR="006350F3" w:rsidRPr="00BE54ED">
        <w:rPr>
          <w:rFonts w:ascii="Arial" w:hAnsi="Arial" w:cs="Arial"/>
          <w:bCs/>
          <w:color w:val="000000" w:themeColor="text1"/>
          <w:sz w:val="30"/>
          <w:szCs w:val="30"/>
          <w:lang w:val="es-ES"/>
        </w:rPr>
        <w:t xml:space="preserve"> puede solicitar una motivación reforzada, porque no</w:t>
      </w:r>
      <w:r w:rsidRPr="00BE54ED">
        <w:rPr>
          <w:rFonts w:ascii="Arial" w:hAnsi="Arial" w:cs="Arial"/>
          <w:bCs/>
          <w:color w:val="000000" w:themeColor="text1"/>
          <w:sz w:val="30"/>
          <w:szCs w:val="30"/>
          <w:lang w:val="es-ES"/>
        </w:rPr>
        <w:t xml:space="preserve"> es titular del derecho de protección a la salud, habida cuenta que constituye un ente ficticio y</w:t>
      </w:r>
      <w:r w:rsidR="00E713EA">
        <w:rPr>
          <w:rFonts w:ascii="Arial" w:hAnsi="Arial" w:cs="Arial"/>
          <w:bCs/>
          <w:color w:val="000000" w:themeColor="text1"/>
          <w:sz w:val="30"/>
          <w:szCs w:val="30"/>
          <w:lang w:val="es-ES"/>
        </w:rPr>
        <w:t>,</w:t>
      </w:r>
      <w:r w:rsidRPr="00BE54ED">
        <w:rPr>
          <w:rFonts w:ascii="Arial" w:hAnsi="Arial" w:cs="Arial"/>
          <w:bCs/>
          <w:color w:val="000000" w:themeColor="text1"/>
          <w:sz w:val="30"/>
          <w:szCs w:val="30"/>
          <w:lang w:val="es-ES"/>
        </w:rPr>
        <w:t xml:space="preserve"> por ende, carente del factor relativo a la dignidad humana, siendo éste el origen, la esencia y el fin de todos los derechos humanos. </w:t>
      </w:r>
      <w:r w:rsidR="006350F3" w:rsidRPr="00BE54ED">
        <w:rPr>
          <w:rFonts w:ascii="Arial" w:hAnsi="Arial" w:cs="Arial"/>
          <w:bCs/>
          <w:color w:val="000000" w:themeColor="text1"/>
          <w:sz w:val="30"/>
          <w:szCs w:val="30"/>
          <w:lang w:val="es-ES"/>
        </w:rPr>
        <w:t xml:space="preserve"> Además, tampoco puede reclamar derechos del consumidor, porque acudió a la instancia constitucional como</w:t>
      </w:r>
      <w:r w:rsidR="00F85D5C" w:rsidRPr="00BE54ED">
        <w:rPr>
          <w:rFonts w:ascii="Arial" w:hAnsi="Arial" w:cs="Arial"/>
          <w:bCs/>
          <w:color w:val="000000" w:themeColor="text1"/>
          <w:sz w:val="30"/>
          <w:szCs w:val="30"/>
          <w:lang w:val="es-ES"/>
        </w:rPr>
        <w:t xml:space="preserve"> productora y comercializadora de alimentos preenvasados.</w:t>
      </w:r>
      <w:r w:rsidR="003F1E01" w:rsidRPr="00BE54ED">
        <w:rPr>
          <w:rFonts w:ascii="Arial" w:hAnsi="Arial" w:cs="Arial"/>
          <w:bCs/>
          <w:color w:val="000000" w:themeColor="text1"/>
          <w:sz w:val="30"/>
          <w:szCs w:val="30"/>
          <w:lang w:val="es-ES"/>
        </w:rPr>
        <w:t xml:space="preserve"> </w:t>
      </w:r>
      <w:r w:rsidR="003F1E01" w:rsidRPr="00BE54ED">
        <w:rPr>
          <w:rFonts w:ascii="Arial" w:hAnsi="Arial" w:cs="Arial"/>
          <w:bCs/>
          <w:color w:val="000000" w:themeColor="text1"/>
          <w:sz w:val="30"/>
          <w:szCs w:val="30"/>
        </w:rPr>
        <w:t>De ahí que, sus planteamientos part</w:t>
      </w:r>
      <w:r w:rsidR="00E75991" w:rsidRPr="00BE54ED">
        <w:rPr>
          <w:rFonts w:ascii="Arial" w:hAnsi="Arial" w:cs="Arial"/>
          <w:bCs/>
          <w:color w:val="000000" w:themeColor="text1"/>
          <w:sz w:val="30"/>
          <w:szCs w:val="30"/>
        </w:rPr>
        <w:t>e</w:t>
      </w:r>
      <w:r w:rsidR="003F1E01" w:rsidRPr="00BE54ED">
        <w:rPr>
          <w:rFonts w:ascii="Arial" w:hAnsi="Arial" w:cs="Arial"/>
          <w:bCs/>
          <w:color w:val="000000" w:themeColor="text1"/>
          <w:sz w:val="30"/>
          <w:szCs w:val="30"/>
        </w:rPr>
        <w:t xml:space="preserve"> de una premisa incorrecta.</w:t>
      </w:r>
    </w:p>
    <w:p w14:paraId="24D31E76" w14:textId="77777777" w:rsidR="00BE54ED" w:rsidRPr="00BE54ED" w:rsidRDefault="00BE54ED" w:rsidP="00BE54ED">
      <w:pPr>
        <w:pStyle w:val="Prrafodelista"/>
        <w:rPr>
          <w:rFonts w:ascii="Arial" w:hAnsi="Arial" w:cs="Arial"/>
          <w:bCs/>
          <w:color w:val="000000" w:themeColor="text1"/>
          <w:sz w:val="30"/>
          <w:szCs w:val="30"/>
        </w:rPr>
      </w:pPr>
    </w:p>
    <w:p w14:paraId="5209A048" w14:textId="77777777" w:rsidR="00BE54ED" w:rsidRPr="00BE54ED" w:rsidRDefault="00CB7359" w:rsidP="00B725BC">
      <w:pPr>
        <w:pStyle w:val="Prrafodelista"/>
        <w:numPr>
          <w:ilvl w:val="0"/>
          <w:numId w:val="19"/>
        </w:numPr>
        <w:spacing w:line="360" w:lineRule="auto"/>
        <w:ind w:left="0"/>
        <w:jc w:val="both"/>
        <w:rPr>
          <w:rFonts w:ascii="Arial" w:hAnsi="Arial" w:cs="Arial"/>
          <w:sz w:val="30"/>
          <w:szCs w:val="30"/>
        </w:rPr>
      </w:pPr>
      <w:r w:rsidRPr="00BE54ED">
        <w:rPr>
          <w:rFonts w:ascii="Arial" w:hAnsi="Arial" w:cs="Arial"/>
          <w:bCs/>
          <w:color w:val="000000" w:themeColor="text1"/>
          <w:sz w:val="30"/>
          <w:szCs w:val="30"/>
        </w:rPr>
        <w:t xml:space="preserve">Ahora, no comparto dichas consideraciones porque </w:t>
      </w:r>
      <w:r w:rsidR="00373958" w:rsidRPr="00BE54ED">
        <w:rPr>
          <w:rFonts w:ascii="Arial" w:hAnsi="Arial" w:cs="Arial"/>
          <w:bCs/>
          <w:color w:val="000000" w:themeColor="text1"/>
          <w:sz w:val="30"/>
          <w:szCs w:val="30"/>
        </w:rPr>
        <w:t xml:space="preserve">tal </w:t>
      </w:r>
      <w:r w:rsidR="00456539" w:rsidRPr="00BE54ED">
        <w:rPr>
          <w:rFonts w:ascii="Arial" w:hAnsi="Arial" w:cs="Arial"/>
          <w:bCs/>
          <w:color w:val="000000" w:themeColor="text1"/>
          <w:sz w:val="30"/>
          <w:szCs w:val="30"/>
          <w:lang w:val="es-ES"/>
        </w:rPr>
        <w:t>argumento deb</w:t>
      </w:r>
      <w:r w:rsidR="00373958" w:rsidRPr="00BE54ED">
        <w:rPr>
          <w:rFonts w:ascii="Arial" w:hAnsi="Arial" w:cs="Arial"/>
          <w:bCs/>
          <w:color w:val="000000" w:themeColor="text1"/>
          <w:sz w:val="30"/>
          <w:szCs w:val="30"/>
          <w:lang w:val="es-ES"/>
        </w:rPr>
        <w:t>ió</w:t>
      </w:r>
      <w:r w:rsidR="00456539" w:rsidRPr="00BE54ED">
        <w:rPr>
          <w:rFonts w:ascii="Arial" w:hAnsi="Arial" w:cs="Arial"/>
          <w:bCs/>
          <w:color w:val="000000" w:themeColor="text1"/>
          <w:sz w:val="30"/>
          <w:szCs w:val="30"/>
          <w:lang w:val="es-ES"/>
        </w:rPr>
        <w:t xml:space="preserve"> analizar</w:t>
      </w:r>
      <w:r w:rsidR="00373958" w:rsidRPr="00BE54ED">
        <w:rPr>
          <w:rFonts w:ascii="Arial" w:hAnsi="Arial" w:cs="Arial"/>
          <w:bCs/>
          <w:color w:val="000000" w:themeColor="text1"/>
          <w:sz w:val="30"/>
          <w:szCs w:val="30"/>
          <w:lang w:val="es-ES"/>
        </w:rPr>
        <w:t>se</w:t>
      </w:r>
      <w:r w:rsidR="00456539" w:rsidRPr="00BE54ED">
        <w:rPr>
          <w:rFonts w:ascii="Arial" w:hAnsi="Arial" w:cs="Arial"/>
          <w:bCs/>
          <w:color w:val="000000" w:themeColor="text1"/>
          <w:sz w:val="30"/>
          <w:szCs w:val="30"/>
          <w:lang w:val="es-ES"/>
        </w:rPr>
        <w:t xml:space="preserve"> de </w:t>
      </w:r>
      <w:r w:rsidR="00456539" w:rsidRPr="00BE54ED">
        <w:rPr>
          <w:rFonts w:ascii="Arial" w:hAnsi="Arial" w:cs="Arial"/>
          <w:b/>
          <w:color w:val="000000" w:themeColor="text1"/>
          <w:sz w:val="30"/>
          <w:szCs w:val="30"/>
          <w:lang w:val="es-ES"/>
        </w:rPr>
        <w:t>fondo y declarar</w:t>
      </w:r>
      <w:r w:rsidR="00E75991" w:rsidRPr="00BE54ED">
        <w:rPr>
          <w:rFonts w:ascii="Arial" w:hAnsi="Arial" w:cs="Arial"/>
          <w:b/>
          <w:color w:val="000000" w:themeColor="text1"/>
          <w:sz w:val="30"/>
          <w:szCs w:val="30"/>
          <w:lang w:val="es-ES"/>
        </w:rPr>
        <w:t>se</w:t>
      </w:r>
      <w:r w:rsidR="00456539" w:rsidRPr="00BE54ED">
        <w:rPr>
          <w:rFonts w:ascii="Arial" w:hAnsi="Arial" w:cs="Arial"/>
          <w:b/>
          <w:color w:val="000000" w:themeColor="text1"/>
          <w:sz w:val="30"/>
          <w:szCs w:val="30"/>
          <w:lang w:val="es-ES"/>
        </w:rPr>
        <w:t xml:space="preserve"> infundado</w:t>
      </w:r>
      <w:r w:rsidR="00456539" w:rsidRPr="00BE54ED">
        <w:rPr>
          <w:rFonts w:ascii="Arial" w:hAnsi="Arial" w:cs="Arial"/>
          <w:bCs/>
          <w:color w:val="000000" w:themeColor="text1"/>
          <w:sz w:val="30"/>
          <w:szCs w:val="30"/>
          <w:lang w:val="es-ES"/>
        </w:rPr>
        <w:t>.</w:t>
      </w:r>
    </w:p>
    <w:p w14:paraId="5656D9CC" w14:textId="77777777" w:rsidR="00BE54ED" w:rsidRPr="00BE54ED" w:rsidRDefault="00BE54ED" w:rsidP="00BE54ED">
      <w:pPr>
        <w:pStyle w:val="Prrafodelista"/>
        <w:rPr>
          <w:rFonts w:ascii="Arial" w:hAnsi="Arial" w:cs="Arial"/>
          <w:bCs/>
          <w:color w:val="000000" w:themeColor="text1"/>
          <w:sz w:val="30"/>
          <w:szCs w:val="30"/>
          <w:lang w:val="es-ES"/>
        </w:rPr>
      </w:pPr>
    </w:p>
    <w:p w14:paraId="5DEEF1DF" w14:textId="77777777" w:rsidR="00FA5F50" w:rsidRPr="00FA5F50" w:rsidRDefault="002D16BA" w:rsidP="00B725BC">
      <w:pPr>
        <w:pStyle w:val="Prrafodelista"/>
        <w:numPr>
          <w:ilvl w:val="0"/>
          <w:numId w:val="19"/>
        </w:numPr>
        <w:spacing w:line="360" w:lineRule="auto"/>
        <w:ind w:left="0"/>
        <w:jc w:val="both"/>
        <w:rPr>
          <w:rFonts w:ascii="Arial" w:hAnsi="Arial" w:cs="Arial"/>
          <w:sz w:val="30"/>
          <w:szCs w:val="30"/>
        </w:rPr>
      </w:pPr>
      <w:r w:rsidRPr="00BE54ED">
        <w:rPr>
          <w:rFonts w:ascii="Arial" w:hAnsi="Arial" w:cs="Arial"/>
          <w:bCs/>
          <w:color w:val="000000" w:themeColor="text1"/>
          <w:sz w:val="30"/>
          <w:szCs w:val="30"/>
          <w:lang w:val="es-ES"/>
        </w:rPr>
        <w:t>En efecto,</w:t>
      </w:r>
      <w:r w:rsidR="00B725BC" w:rsidRPr="00BE54ED">
        <w:rPr>
          <w:rFonts w:ascii="Arial" w:hAnsi="Arial" w:cs="Arial"/>
          <w:bCs/>
          <w:color w:val="000000" w:themeColor="text1"/>
          <w:sz w:val="30"/>
          <w:szCs w:val="30"/>
          <w:lang w:val="es-ES"/>
        </w:rPr>
        <w:t xml:space="preserve"> </w:t>
      </w:r>
      <w:r w:rsidR="00B725BC" w:rsidRPr="00BE54ED">
        <w:rPr>
          <w:rFonts w:ascii="Arial" w:eastAsia="Aptos" w:hAnsi="Arial" w:cs="Arial"/>
          <w:sz w:val="30"/>
          <w:szCs w:val="30"/>
        </w:rPr>
        <w:t xml:space="preserve">en la jurisprudencia 120/2009 este Tribunal Pleno estableció que la motivación reforzada es una exigencia que se actualiza cuando se emiten ciertos actos o normas en los que puede llegarse a afectar algún derecho fundamental u otro bien relevante desde el punto de vista constitucional, </w:t>
      </w:r>
      <w:r w:rsidR="00B725BC" w:rsidRPr="00BE54ED">
        <w:rPr>
          <w:rFonts w:ascii="Arial" w:eastAsia="Calibri" w:hAnsi="Arial" w:cs="Arial"/>
          <w:bCs/>
          <w:sz w:val="30"/>
          <w:szCs w:val="30"/>
        </w:rPr>
        <w:t xml:space="preserve">como en este caso serían el derecho a la salud y a la alimentación sana (entre otros), por lo que la exigencia de dicha motivación reforzada, no depende de quién sea el sujeto que promueve la demanda de amparo, persona física o persona moral, sino de los valores constitucionales que eventualmente puedan ponerse en peligro. </w:t>
      </w:r>
    </w:p>
    <w:p w14:paraId="32C1F239" w14:textId="77777777" w:rsidR="00FA5F50" w:rsidRPr="00FA5F50" w:rsidRDefault="00FA5F50" w:rsidP="00FA5F50">
      <w:pPr>
        <w:pStyle w:val="Prrafodelista"/>
        <w:rPr>
          <w:rFonts w:ascii="Arial" w:eastAsia="Calibri" w:hAnsi="Arial" w:cs="Arial"/>
          <w:bCs/>
          <w:sz w:val="30"/>
          <w:szCs w:val="30"/>
        </w:rPr>
      </w:pPr>
    </w:p>
    <w:p w14:paraId="4847C969" w14:textId="77777777" w:rsidR="00B42937" w:rsidRPr="00B42937" w:rsidRDefault="00B725BC" w:rsidP="00B42937">
      <w:pPr>
        <w:pStyle w:val="Prrafodelista"/>
        <w:numPr>
          <w:ilvl w:val="0"/>
          <w:numId w:val="19"/>
        </w:numPr>
        <w:spacing w:line="360" w:lineRule="auto"/>
        <w:ind w:left="0"/>
        <w:jc w:val="both"/>
        <w:rPr>
          <w:rFonts w:ascii="Arial" w:hAnsi="Arial" w:cs="Arial"/>
          <w:sz w:val="30"/>
          <w:szCs w:val="30"/>
        </w:rPr>
      </w:pPr>
      <w:r w:rsidRPr="00FA5F50">
        <w:rPr>
          <w:rFonts w:ascii="Arial" w:eastAsia="Calibri" w:hAnsi="Arial" w:cs="Arial"/>
          <w:bCs/>
          <w:sz w:val="30"/>
          <w:szCs w:val="30"/>
        </w:rPr>
        <w:t xml:space="preserve">De ahí que debió darse una respuesta de fondo al planteamiento de la quejosa, el cual considero que es infundado, porque las normas reclamadas, lejos de menoscabar tales derechos, tienen la </w:t>
      </w:r>
      <w:r w:rsidRPr="00FA5F50">
        <w:rPr>
          <w:rFonts w:ascii="Arial" w:eastAsia="Calibri" w:hAnsi="Arial" w:cs="Arial"/>
          <w:bCs/>
          <w:sz w:val="30"/>
          <w:szCs w:val="30"/>
        </w:rPr>
        <w:lastRenderedPageBreak/>
        <w:t>finalidad de protegerlos, por lo que no era necesaria una motivación distinta a la ordinaria</w:t>
      </w:r>
      <w:r w:rsidR="00B42937">
        <w:rPr>
          <w:rFonts w:ascii="Arial" w:eastAsia="Calibri" w:hAnsi="Arial" w:cs="Arial"/>
          <w:bCs/>
          <w:sz w:val="30"/>
          <w:szCs w:val="30"/>
        </w:rPr>
        <w:t>.</w:t>
      </w:r>
    </w:p>
    <w:p w14:paraId="0506AD6B" w14:textId="77777777" w:rsidR="00B42937" w:rsidRPr="00B42937" w:rsidRDefault="00B42937" w:rsidP="00B4637B">
      <w:pPr>
        <w:pStyle w:val="Prrafodelista"/>
        <w:spacing w:line="240" w:lineRule="auto"/>
        <w:rPr>
          <w:rFonts w:ascii="Arial" w:hAnsi="Arial" w:cs="Arial"/>
          <w:b/>
          <w:sz w:val="30"/>
          <w:szCs w:val="30"/>
        </w:rPr>
      </w:pPr>
    </w:p>
    <w:p w14:paraId="37AA28A0" w14:textId="3767BFD7" w:rsidR="00B42937" w:rsidRPr="00661AEF" w:rsidRDefault="00B42937" w:rsidP="00B42937">
      <w:pPr>
        <w:pStyle w:val="corte4fondo"/>
        <w:tabs>
          <w:tab w:val="center" w:pos="4420"/>
          <w:tab w:val="left" w:pos="6975"/>
        </w:tabs>
        <w:autoSpaceDE w:val="0"/>
        <w:autoSpaceDN w:val="0"/>
        <w:adjustRightInd w:val="0"/>
        <w:spacing w:line="240" w:lineRule="auto"/>
        <w:ind w:firstLine="0"/>
        <w:rPr>
          <w:rFonts w:cs="Arial"/>
          <w:szCs w:val="30"/>
        </w:rPr>
      </w:pPr>
      <w:r w:rsidRPr="00976D95">
        <w:rPr>
          <w:rFonts w:cs="Arial"/>
          <w:b/>
          <w:bCs/>
          <w:color w:val="000000" w:themeColor="text1"/>
          <w:szCs w:val="30"/>
          <w:lang w:val="es-ES"/>
        </w:rPr>
        <w:t>b) Test de proporcionalidad.</w:t>
      </w:r>
      <w:r w:rsidRPr="00661AEF">
        <w:rPr>
          <w:rFonts w:cs="Arial"/>
          <w:b/>
          <w:bCs/>
          <w:color w:val="000000" w:themeColor="text1"/>
          <w:szCs w:val="30"/>
          <w:lang w:val="es-ES"/>
        </w:rPr>
        <w:t xml:space="preserve"> </w:t>
      </w:r>
    </w:p>
    <w:p w14:paraId="413DF215" w14:textId="77777777" w:rsidR="00B42937" w:rsidRPr="00B42937" w:rsidRDefault="00B42937" w:rsidP="00B4637B">
      <w:pPr>
        <w:pStyle w:val="Prrafodelista"/>
        <w:spacing w:line="240" w:lineRule="auto"/>
        <w:ind w:left="0"/>
        <w:jc w:val="both"/>
        <w:rPr>
          <w:rFonts w:ascii="Arial" w:hAnsi="Arial" w:cs="Arial"/>
          <w:sz w:val="30"/>
          <w:szCs w:val="30"/>
        </w:rPr>
      </w:pPr>
    </w:p>
    <w:p w14:paraId="165C08DA" w14:textId="77777777" w:rsidR="00B02566" w:rsidRPr="00B02566" w:rsidRDefault="000225AC" w:rsidP="00B02566">
      <w:pPr>
        <w:pStyle w:val="Prrafodelista"/>
        <w:numPr>
          <w:ilvl w:val="0"/>
          <w:numId w:val="19"/>
        </w:numPr>
        <w:spacing w:line="360" w:lineRule="auto"/>
        <w:ind w:left="0"/>
        <w:jc w:val="both"/>
        <w:rPr>
          <w:rFonts w:ascii="Arial" w:hAnsi="Arial" w:cs="Arial"/>
          <w:sz w:val="30"/>
          <w:szCs w:val="30"/>
        </w:rPr>
      </w:pPr>
      <w:r w:rsidRPr="00B02566">
        <w:rPr>
          <w:rFonts w:ascii="Arial" w:hAnsi="Arial" w:cs="Arial"/>
          <w:bCs/>
          <w:sz w:val="30"/>
          <w:szCs w:val="30"/>
        </w:rPr>
        <w:t xml:space="preserve">En este apartado, comparto el sentido del </w:t>
      </w:r>
      <w:r w:rsidR="00F15E91" w:rsidRPr="00B02566">
        <w:rPr>
          <w:rFonts w:ascii="Arial" w:hAnsi="Arial" w:cs="Arial"/>
          <w:bCs/>
          <w:sz w:val="30"/>
          <w:szCs w:val="30"/>
        </w:rPr>
        <w:t>engrose</w:t>
      </w:r>
      <w:r w:rsidRPr="00B02566">
        <w:rPr>
          <w:rFonts w:ascii="Arial" w:hAnsi="Arial" w:cs="Arial"/>
          <w:bCs/>
          <w:sz w:val="30"/>
          <w:szCs w:val="30"/>
        </w:rPr>
        <w:t>,</w:t>
      </w:r>
      <w:r w:rsidRPr="00B42937">
        <w:rPr>
          <w:rFonts w:ascii="Arial" w:hAnsi="Arial" w:cs="Arial"/>
          <w:b/>
          <w:sz w:val="30"/>
          <w:szCs w:val="30"/>
        </w:rPr>
        <w:t xml:space="preserve"> pero no la metodología </w:t>
      </w:r>
      <w:r w:rsidRPr="00B42937">
        <w:rPr>
          <w:rFonts w:ascii="Arial" w:hAnsi="Arial" w:cs="Arial"/>
          <w:bCs/>
          <w:sz w:val="30"/>
          <w:szCs w:val="30"/>
        </w:rPr>
        <w:t>que se propone</w:t>
      </w:r>
      <w:r w:rsidR="009D00A8" w:rsidRPr="00B42937">
        <w:rPr>
          <w:rFonts w:ascii="Arial" w:hAnsi="Arial" w:cs="Arial"/>
          <w:bCs/>
          <w:sz w:val="30"/>
          <w:szCs w:val="30"/>
        </w:rPr>
        <w:t xml:space="preserve"> para</w:t>
      </w:r>
      <w:r w:rsidRPr="00B42937">
        <w:rPr>
          <w:rFonts w:ascii="Arial" w:hAnsi="Arial" w:cs="Arial"/>
          <w:color w:val="000000" w:themeColor="text1"/>
          <w:sz w:val="30"/>
          <w:szCs w:val="30"/>
        </w:rPr>
        <w:t xml:space="preserve"> la aplicación del test de proporcionalidad con un escrutinio ordinario. </w:t>
      </w:r>
    </w:p>
    <w:p w14:paraId="313B4994" w14:textId="77777777" w:rsidR="00B02566" w:rsidRPr="00B02566" w:rsidRDefault="00B02566" w:rsidP="00B4637B">
      <w:pPr>
        <w:pStyle w:val="Prrafodelista"/>
        <w:spacing w:line="240" w:lineRule="auto"/>
        <w:ind w:left="0"/>
        <w:jc w:val="both"/>
        <w:rPr>
          <w:rFonts w:ascii="Arial" w:hAnsi="Arial" w:cs="Arial"/>
          <w:sz w:val="30"/>
          <w:szCs w:val="30"/>
        </w:rPr>
      </w:pPr>
    </w:p>
    <w:p w14:paraId="1057813C" w14:textId="3D0B75D2" w:rsidR="00B02566" w:rsidRDefault="009D00A8" w:rsidP="00B02566">
      <w:pPr>
        <w:pStyle w:val="Prrafodelista"/>
        <w:numPr>
          <w:ilvl w:val="0"/>
          <w:numId w:val="19"/>
        </w:numPr>
        <w:spacing w:line="360" w:lineRule="auto"/>
        <w:ind w:left="0" w:hanging="709"/>
        <w:jc w:val="both"/>
        <w:rPr>
          <w:rFonts w:ascii="Arial" w:hAnsi="Arial" w:cs="Arial"/>
          <w:sz w:val="30"/>
          <w:szCs w:val="30"/>
        </w:rPr>
      </w:pPr>
      <w:r w:rsidRPr="00B02566">
        <w:rPr>
          <w:rFonts w:ascii="Arial" w:hAnsi="Arial" w:cs="Arial"/>
          <w:sz w:val="30"/>
          <w:szCs w:val="30"/>
        </w:rPr>
        <w:t>Lo anterior, porque desde mi punto de vista se debió</w:t>
      </w:r>
      <w:r w:rsidRPr="00B02566">
        <w:rPr>
          <w:rFonts w:ascii="Arial" w:hAnsi="Arial" w:cs="Arial"/>
          <w:color w:val="000000" w:themeColor="text1"/>
          <w:sz w:val="30"/>
          <w:szCs w:val="30"/>
        </w:rPr>
        <w:t xml:space="preserve"> aplicar un</w:t>
      </w:r>
      <w:r w:rsidR="000225AC" w:rsidRPr="00B02566">
        <w:rPr>
          <w:rFonts w:ascii="Arial" w:hAnsi="Arial" w:cs="Arial"/>
          <w:color w:val="000000" w:themeColor="text1"/>
          <w:sz w:val="30"/>
          <w:szCs w:val="30"/>
        </w:rPr>
        <w:t xml:space="preserve"> escrutinio estricto</w:t>
      </w:r>
      <w:r w:rsidR="000225AC" w:rsidRPr="00B02566">
        <w:rPr>
          <w:rFonts w:ascii="Arial" w:hAnsi="Arial" w:cs="Arial"/>
          <w:sz w:val="30"/>
          <w:szCs w:val="30"/>
        </w:rPr>
        <w:t xml:space="preserve">, porque, aunque no se trata de alguna de las categorías sospechosas, la Primera Sala de este Alto Tribunal al resolver el amparo en revisión 202/2013, determinó que el </w:t>
      </w:r>
      <w:r w:rsidR="000225AC" w:rsidRPr="00B02566">
        <w:rPr>
          <w:rFonts w:ascii="Arial" w:hAnsi="Arial" w:cs="Arial"/>
          <w:b/>
          <w:bCs/>
          <w:sz w:val="30"/>
          <w:szCs w:val="30"/>
        </w:rPr>
        <w:t>escrutinio estricto</w:t>
      </w:r>
      <w:r w:rsidR="000225AC" w:rsidRPr="00B02566">
        <w:rPr>
          <w:rFonts w:ascii="Arial" w:hAnsi="Arial" w:cs="Arial"/>
          <w:sz w:val="30"/>
          <w:szCs w:val="30"/>
        </w:rPr>
        <w:t xml:space="preserve"> se actualiza cuando el caso que se tenga que resolver involucre categorías sospechosas detalladas en el artículo 1o</w:t>
      </w:r>
      <w:r w:rsidR="000D186A">
        <w:rPr>
          <w:rFonts w:ascii="Arial" w:hAnsi="Arial" w:cs="Arial"/>
          <w:sz w:val="30"/>
          <w:szCs w:val="30"/>
        </w:rPr>
        <w:t>.</w:t>
      </w:r>
      <w:r w:rsidR="000225AC" w:rsidRPr="00B02566">
        <w:rPr>
          <w:rFonts w:ascii="Arial" w:hAnsi="Arial" w:cs="Arial"/>
          <w:sz w:val="30"/>
          <w:szCs w:val="30"/>
        </w:rPr>
        <w:t xml:space="preserve"> de la Constitución Política de los Estados Unidos Mexicanos; </w:t>
      </w:r>
      <w:r w:rsidR="000225AC" w:rsidRPr="00B02566">
        <w:rPr>
          <w:rFonts w:ascii="Arial" w:hAnsi="Arial" w:cs="Arial"/>
          <w:b/>
          <w:bCs/>
          <w:sz w:val="30"/>
          <w:szCs w:val="30"/>
        </w:rPr>
        <w:t>se afecten derechos humanos reconocidos por el propio texto constitucional y/o por los tratados internacionales</w:t>
      </w:r>
      <w:r w:rsidR="000225AC" w:rsidRPr="00B02566">
        <w:rPr>
          <w:rFonts w:ascii="Arial" w:hAnsi="Arial" w:cs="Arial"/>
          <w:sz w:val="30"/>
          <w:szCs w:val="30"/>
        </w:rPr>
        <w:t xml:space="preserve">, o se incida directamente sobre la configuración legislativa que la Constitución prevé de manera específica para la actuación de las autoridades de los distintos niveles de gobierno. </w:t>
      </w:r>
    </w:p>
    <w:p w14:paraId="08058476" w14:textId="77777777" w:rsidR="00B02566" w:rsidRPr="00B02566" w:rsidRDefault="00B02566" w:rsidP="00B4637B">
      <w:pPr>
        <w:pStyle w:val="Prrafodelista"/>
        <w:spacing w:line="240" w:lineRule="auto"/>
        <w:rPr>
          <w:rFonts w:ascii="Arial" w:hAnsi="Arial" w:cs="Arial"/>
          <w:sz w:val="30"/>
          <w:szCs w:val="30"/>
        </w:rPr>
      </w:pPr>
    </w:p>
    <w:p w14:paraId="117FDA04" w14:textId="77777777" w:rsidR="00B02566" w:rsidRPr="00B02566" w:rsidRDefault="000225AC" w:rsidP="00B02566">
      <w:pPr>
        <w:pStyle w:val="Prrafodelista"/>
        <w:numPr>
          <w:ilvl w:val="0"/>
          <w:numId w:val="19"/>
        </w:numPr>
        <w:spacing w:line="360" w:lineRule="auto"/>
        <w:ind w:left="0" w:hanging="709"/>
        <w:jc w:val="both"/>
        <w:rPr>
          <w:rStyle w:val="Ttulo1Car"/>
          <w:rFonts w:ascii="Arial" w:eastAsiaTheme="minorHAnsi" w:hAnsi="Arial" w:cs="Arial"/>
          <w:color w:val="auto"/>
          <w:sz w:val="30"/>
          <w:szCs w:val="30"/>
        </w:rPr>
      </w:pPr>
      <w:r w:rsidRPr="00B02566">
        <w:rPr>
          <w:rFonts w:ascii="Arial" w:hAnsi="Arial" w:cs="Arial"/>
          <w:sz w:val="30"/>
          <w:szCs w:val="30"/>
        </w:rPr>
        <w:t>Ahora bien, como lo indica el propio</w:t>
      </w:r>
      <w:r w:rsidR="0014154A" w:rsidRPr="00B02566">
        <w:rPr>
          <w:rFonts w:ascii="Arial" w:hAnsi="Arial" w:cs="Arial"/>
          <w:sz w:val="30"/>
          <w:szCs w:val="30"/>
        </w:rPr>
        <w:t xml:space="preserve"> engrose</w:t>
      </w:r>
      <w:r w:rsidRPr="00B02566">
        <w:rPr>
          <w:rFonts w:ascii="Arial" w:hAnsi="Arial" w:cs="Arial"/>
          <w:sz w:val="30"/>
          <w:szCs w:val="30"/>
        </w:rPr>
        <w:t xml:space="preserve">, </w:t>
      </w:r>
      <w:r w:rsidRPr="00B02566">
        <w:rPr>
          <w:rStyle w:val="Ttulo1Car"/>
          <w:rFonts w:ascii="Arial" w:hAnsi="Arial" w:cs="Arial"/>
          <w:color w:val="auto"/>
          <w:sz w:val="30"/>
          <w:szCs w:val="30"/>
        </w:rPr>
        <w:t xml:space="preserve">del dictamen de la Comisión de Salud de la Cámara de Diputados a las iniciativas con proyecto de Decreto por el que se adicionan y reforman diversos artículos de la Ley General de Salud en materia de sobrepeso, obesidad y etiquetado frontal de advertencia de alimentos y bebidas no alcohólicas, en lo que aquí interesa, se aprecia que la finalidad </w:t>
      </w:r>
      <w:r w:rsidRPr="00B02566">
        <w:rPr>
          <w:rStyle w:val="Ttulo1Car"/>
          <w:rFonts w:ascii="Arial" w:hAnsi="Arial" w:cs="Arial"/>
          <w:bCs/>
          <w:color w:val="auto"/>
          <w:sz w:val="30"/>
          <w:szCs w:val="30"/>
        </w:rPr>
        <w:t>mediata de la norma es</w:t>
      </w:r>
      <w:r w:rsidRPr="00B02566">
        <w:rPr>
          <w:rStyle w:val="Ttulo1Car"/>
          <w:rFonts w:ascii="Arial" w:hAnsi="Arial" w:cs="Arial"/>
          <w:color w:val="auto"/>
          <w:sz w:val="30"/>
          <w:szCs w:val="30"/>
        </w:rPr>
        <w:t xml:space="preserve"> proteger el derecho a la salud, a la alimentación nutritiva, a la protección de los derechos del consumidor y al interés superior del menor.</w:t>
      </w:r>
    </w:p>
    <w:p w14:paraId="70DB8D9D" w14:textId="77777777" w:rsidR="00B02566" w:rsidRPr="00B02566" w:rsidRDefault="00B02566" w:rsidP="00B4637B">
      <w:pPr>
        <w:pStyle w:val="Prrafodelista"/>
        <w:spacing w:line="240" w:lineRule="auto"/>
        <w:rPr>
          <w:rFonts w:ascii="Arial" w:hAnsi="Arial" w:cs="Arial"/>
          <w:sz w:val="30"/>
          <w:szCs w:val="30"/>
        </w:rPr>
      </w:pPr>
    </w:p>
    <w:p w14:paraId="1D0B18EC" w14:textId="77777777" w:rsidR="00B02566" w:rsidRDefault="000225AC" w:rsidP="00B02566">
      <w:pPr>
        <w:pStyle w:val="Prrafodelista"/>
        <w:numPr>
          <w:ilvl w:val="0"/>
          <w:numId w:val="19"/>
        </w:numPr>
        <w:spacing w:line="360" w:lineRule="auto"/>
        <w:ind w:left="0" w:hanging="709"/>
        <w:jc w:val="both"/>
        <w:rPr>
          <w:rFonts w:ascii="Arial" w:hAnsi="Arial" w:cs="Arial"/>
          <w:sz w:val="30"/>
          <w:szCs w:val="30"/>
        </w:rPr>
      </w:pPr>
      <w:r w:rsidRPr="00B02566">
        <w:rPr>
          <w:rFonts w:ascii="Arial" w:hAnsi="Arial" w:cs="Arial"/>
          <w:sz w:val="30"/>
          <w:szCs w:val="30"/>
        </w:rPr>
        <w:lastRenderedPageBreak/>
        <w:t>En este sentido, el sistema impugnado busca salvaguardar directamente derechos humanos de mayor magnitud como lo es la alimentación, la salud y el interés superior del menor, derechos consagrados en los artículos 4 y 28 constitucionales.</w:t>
      </w:r>
    </w:p>
    <w:p w14:paraId="4DC7CF21" w14:textId="77777777" w:rsidR="00B02566" w:rsidRPr="00B02566" w:rsidRDefault="00B02566" w:rsidP="00B4637B">
      <w:pPr>
        <w:pStyle w:val="Prrafodelista"/>
        <w:spacing w:line="240" w:lineRule="auto"/>
        <w:rPr>
          <w:rFonts w:ascii="Arial" w:hAnsi="Arial" w:cs="Arial"/>
          <w:sz w:val="30"/>
          <w:szCs w:val="30"/>
        </w:rPr>
      </w:pPr>
    </w:p>
    <w:p w14:paraId="0B36120C" w14:textId="34ECF586" w:rsidR="00B02566" w:rsidRDefault="000225AC" w:rsidP="00B02566">
      <w:pPr>
        <w:pStyle w:val="Prrafodelista"/>
        <w:numPr>
          <w:ilvl w:val="0"/>
          <w:numId w:val="19"/>
        </w:numPr>
        <w:spacing w:line="360" w:lineRule="auto"/>
        <w:ind w:left="0" w:hanging="709"/>
        <w:jc w:val="both"/>
        <w:rPr>
          <w:rFonts w:ascii="Arial" w:hAnsi="Arial" w:cs="Arial"/>
          <w:sz w:val="30"/>
          <w:szCs w:val="30"/>
        </w:rPr>
      </w:pPr>
      <w:r w:rsidRPr="00B02566">
        <w:rPr>
          <w:rFonts w:ascii="Arial" w:hAnsi="Arial" w:cs="Arial"/>
          <w:sz w:val="30"/>
          <w:szCs w:val="30"/>
        </w:rPr>
        <w:t xml:space="preserve">Por tanto, al incidir directamente en derechos humanos reconocidos por la </w:t>
      </w:r>
      <w:r w:rsidR="009B305E">
        <w:rPr>
          <w:rFonts w:ascii="Arial" w:hAnsi="Arial" w:cs="Arial"/>
          <w:sz w:val="30"/>
          <w:szCs w:val="30"/>
        </w:rPr>
        <w:t>C</w:t>
      </w:r>
      <w:r w:rsidRPr="00B02566">
        <w:rPr>
          <w:rFonts w:ascii="Arial" w:hAnsi="Arial" w:cs="Arial"/>
          <w:sz w:val="30"/>
          <w:szCs w:val="30"/>
        </w:rPr>
        <w:t>onstitución y en los tratados internacionales, el análisis del test de proporcionalidad deb</w:t>
      </w:r>
      <w:r w:rsidR="001108FF" w:rsidRPr="00B02566">
        <w:rPr>
          <w:rFonts w:ascii="Arial" w:hAnsi="Arial" w:cs="Arial"/>
          <w:sz w:val="30"/>
          <w:szCs w:val="30"/>
        </w:rPr>
        <w:t>ía</w:t>
      </w:r>
      <w:r w:rsidRPr="00B02566">
        <w:rPr>
          <w:rFonts w:ascii="Arial" w:hAnsi="Arial" w:cs="Arial"/>
          <w:sz w:val="30"/>
          <w:szCs w:val="30"/>
        </w:rPr>
        <w:t xml:space="preserve"> ser de forma estricta.</w:t>
      </w:r>
    </w:p>
    <w:p w14:paraId="345F19A5" w14:textId="77777777" w:rsidR="00B02566" w:rsidRPr="00B02566" w:rsidRDefault="00B02566" w:rsidP="00B4637B">
      <w:pPr>
        <w:pStyle w:val="Prrafodelista"/>
        <w:spacing w:line="240" w:lineRule="auto"/>
        <w:rPr>
          <w:rFonts w:ascii="Arial" w:hAnsi="Arial" w:cs="Arial"/>
          <w:sz w:val="30"/>
          <w:szCs w:val="30"/>
        </w:rPr>
      </w:pPr>
    </w:p>
    <w:p w14:paraId="6694817D" w14:textId="77777777" w:rsidR="0057019B" w:rsidRDefault="000225AC" w:rsidP="007B5222">
      <w:pPr>
        <w:pStyle w:val="Prrafodelista"/>
        <w:numPr>
          <w:ilvl w:val="0"/>
          <w:numId w:val="19"/>
        </w:numPr>
        <w:spacing w:line="360" w:lineRule="auto"/>
        <w:ind w:left="0" w:hanging="709"/>
        <w:jc w:val="both"/>
        <w:rPr>
          <w:rFonts w:ascii="Arial" w:hAnsi="Arial" w:cs="Arial"/>
          <w:sz w:val="30"/>
          <w:szCs w:val="30"/>
        </w:rPr>
      </w:pPr>
      <w:r w:rsidRPr="00B02566">
        <w:rPr>
          <w:rFonts w:ascii="Arial" w:hAnsi="Arial" w:cs="Arial"/>
          <w:sz w:val="30"/>
          <w:szCs w:val="30"/>
        </w:rPr>
        <w:t xml:space="preserve">Máxime que en la acción de inconstitucionalidad 8/2014, el Pleno de este Máximo Tribunal determinó que las autoridades deben asegurar y garantizar que en todos los asuntos, decisiones y políticas públicas en las que se les involucre, todos los niños, niñas y adolescentes tengan el disfrute y goce de todos sus derechos humanos como la </w:t>
      </w:r>
      <w:r w:rsidRPr="00B02566">
        <w:rPr>
          <w:rFonts w:ascii="Arial" w:hAnsi="Arial" w:cs="Arial"/>
          <w:b/>
          <w:bCs/>
          <w:sz w:val="30"/>
          <w:szCs w:val="30"/>
        </w:rPr>
        <w:t>alimentación</w:t>
      </w:r>
      <w:r w:rsidRPr="00B02566">
        <w:rPr>
          <w:rFonts w:ascii="Arial" w:hAnsi="Arial" w:cs="Arial"/>
          <w:sz w:val="30"/>
          <w:szCs w:val="30"/>
        </w:rPr>
        <w:t xml:space="preserve">, vivienda, salud física y </w:t>
      </w:r>
      <w:r w:rsidRPr="00B02566">
        <w:rPr>
          <w:rFonts w:ascii="Arial" w:hAnsi="Arial" w:cs="Arial"/>
          <w:b/>
          <w:bCs/>
          <w:sz w:val="30"/>
          <w:szCs w:val="30"/>
        </w:rPr>
        <w:t>emocional</w:t>
      </w:r>
      <w:r w:rsidRPr="00B02566">
        <w:rPr>
          <w:rFonts w:ascii="Arial" w:hAnsi="Arial" w:cs="Arial"/>
          <w:sz w:val="30"/>
          <w:szCs w:val="30"/>
        </w:rPr>
        <w:t>, el principio del interés superior del menor debe realizarse por parte de las autoridades a través de medidas reforzadas o agravadas en todos los ámbitos que estén relacionados directa o indirectamente con ellos, por lo que al analizar la constitucionalidad de normas que inciden sobre los derechos de los niños, es necesario realizar un escrutinio más estricto.</w:t>
      </w:r>
    </w:p>
    <w:p w14:paraId="6A387E16" w14:textId="77777777" w:rsidR="0057019B" w:rsidRPr="0057019B" w:rsidRDefault="0057019B" w:rsidP="00B4637B">
      <w:pPr>
        <w:pStyle w:val="Prrafodelista"/>
        <w:spacing w:line="240" w:lineRule="auto"/>
        <w:rPr>
          <w:rStyle w:val="normaltextrun"/>
          <w:rFonts w:ascii="Arial" w:hAnsi="Arial" w:cs="Arial"/>
          <w:sz w:val="30"/>
          <w:szCs w:val="30"/>
          <w:lang w:val="es-ES"/>
        </w:rPr>
      </w:pPr>
    </w:p>
    <w:p w14:paraId="057F01D9" w14:textId="3C32091D" w:rsidR="007D4BEC" w:rsidRDefault="007E753D" w:rsidP="007B5222">
      <w:pPr>
        <w:pStyle w:val="Prrafodelista"/>
        <w:numPr>
          <w:ilvl w:val="0"/>
          <w:numId w:val="19"/>
        </w:numPr>
        <w:spacing w:line="360" w:lineRule="auto"/>
        <w:ind w:left="0" w:hanging="709"/>
        <w:jc w:val="both"/>
        <w:rPr>
          <w:rFonts w:ascii="Arial" w:hAnsi="Arial" w:cs="Arial"/>
          <w:sz w:val="30"/>
          <w:szCs w:val="30"/>
        </w:rPr>
      </w:pPr>
      <w:r w:rsidRPr="0057019B">
        <w:rPr>
          <w:rStyle w:val="normaltextrun"/>
          <w:rFonts w:ascii="Arial" w:hAnsi="Arial" w:cs="Arial"/>
          <w:sz w:val="30"/>
          <w:szCs w:val="30"/>
          <w:lang w:val="es-ES"/>
        </w:rPr>
        <w:t xml:space="preserve">Siendo </w:t>
      </w:r>
      <w:r w:rsidR="00356268" w:rsidRPr="0057019B">
        <w:rPr>
          <w:rStyle w:val="normaltextrun"/>
          <w:rFonts w:ascii="Arial" w:hAnsi="Arial" w:cs="Arial"/>
          <w:sz w:val="30"/>
          <w:szCs w:val="30"/>
          <w:lang w:val="es-ES"/>
        </w:rPr>
        <w:t>las</w:t>
      </w:r>
      <w:r w:rsidR="007D4BEC" w:rsidRPr="0057019B">
        <w:rPr>
          <w:rFonts w:ascii="Arial" w:hAnsi="Arial" w:cs="Arial"/>
          <w:sz w:val="30"/>
          <w:szCs w:val="30"/>
        </w:rPr>
        <w:t xml:space="preserve"> razones </w:t>
      </w:r>
      <w:r w:rsidR="00356268" w:rsidRPr="0057019B">
        <w:rPr>
          <w:rFonts w:ascii="Arial" w:hAnsi="Arial" w:cs="Arial"/>
          <w:sz w:val="30"/>
          <w:szCs w:val="30"/>
        </w:rPr>
        <w:t xml:space="preserve">que </w:t>
      </w:r>
      <w:r w:rsidR="007D4BEC" w:rsidRPr="0057019B">
        <w:rPr>
          <w:rFonts w:ascii="Arial" w:hAnsi="Arial" w:cs="Arial"/>
          <w:sz w:val="30"/>
          <w:szCs w:val="30"/>
        </w:rPr>
        <w:t>sostienen mi voto concurrente.</w:t>
      </w:r>
    </w:p>
    <w:p w14:paraId="7E31C71F" w14:textId="77777777" w:rsidR="007C2C05" w:rsidRPr="007C2C05" w:rsidRDefault="007C2C05" w:rsidP="007C2C05">
      <w:pPr>
        <w:pStyle w:val="Prrafodelista"/>
        <w:rPr>
          <w:rFonts w:ascii="Arial" w:hAnsi="Arial" w:cs="Arial"/>
          <w:sz w:val="30"/>
          <w:szCs w:val="30"/>
        </w:rPr>
      </w:pPr>
    </w:p>
    <w:p w14:paraId="7CCA7685" w14:textId="77777777" w:rsidR="007C2C05" w:rsidRPr="0057019B" w:rsidRDefault="007C2C05" w:rsidP="007C2C05">
      <w:pPr>
        <w:pStyle w:val="Prrafodelista"/>
        <w:spacing w:line="360" w:lineRule="auto"/>
        <w:ind w:left="0"/>
        <w:jc w:val="both"/>
        <w:rPr>
          <w:rFonts w:ascii="Arial" w:hAnsi="Arial" w:cs="Arial"/>
          <w:sz w:val="30"/>
          <w:szCs w:val="30"/>
        </w:rPr>
      </w:pPr>
    </w:p>
    <w:p w14:paraId="5B80EEA0" w14:textId="21E8A38B" w:rsidR="00785D4B" w:rsidRPr="00661AEF" w:rsidRDefault="009B305E" w:rsidP="009B305E">
      <w:pPr>
        <w:spacing w:after="0" w:line="240" w:lineRule="auto"/>
        <w:jc w:val="center"/>
        <w:rPr>
          <w:rFonts w:ascii="Arial" w:hAnsi="Arial" w:cs="Arial"/>
          <w:b/>
          <w:bCs/>
          <w:sz w:val="30"/>
          <w:szCs w:val="30"/>
        </w:rPr>
      </w:pPr>
      <w:r w:rsidRPr="00661AEF">
        <w:rPr>
          <w:rFonts w:ascii="Arial" w:hAnsi="Arial" w:cs="Arial"/>
          <w:b/>
          <w:bCs/>
          <w:sz w:val="30"/>
          <w:szCs w:val="30"/>
        </w:rPr>
        <w:t>ATENTAMENTE</w:t>
      </w:r>
    </w:p>
    <w:p w14:paraId="6068E7DF" w14:textId="77777777" w:rsidR="009B305E" w:rsidRDefault="009B305E" w:rsidP="009B305E">
      <w:pPr>
        <w:spacing w:after="0" w:line="240" w:lineRule="auto"/>
        <w:jc w:val="center"/>
        <w:rPr>
          <w:rFonts w:ascii="Arial" w:hAnsi="Arial" w:cs="Arial"/>
          <w:b/>
          <w:bCs/>
          <w:sz w:val="30"/>
          <w:szCs w:val="30"/>
        </w:rPr>
      </w:pPr>
    </w:p>
    <w:p w14:paraId="595B1494" w14:textId="77777777" w:rsidR="009B305E" w:rsidRDefault="009B305E" w:rsidP="009B305E">
      <w:pPr>
        <w:spacing w:after="0" w:line="240" w:lineRule="auto"/>
        <w:jc w:val="center"/>
        <w:rPr>
          <w:rFonts w:ascii="Arial" w:hAnsi="Arial" w:cs="Arial"/>
          <w:b/>
          <w:bCs/>
          <w:sz w:val="30"/>
          <w:szCs w:val="30"/>
        </w:rPr>
      </w:pPr>
    </w:p>
    <w:p w14:paraId="712D67B3" w14:textId="77777777" w:rsidR="007C2C05" w:rsidRDefault="007C2C05" w:rsidP="009B305E">
      <w:pPr>
        <w:spacing w:after="0" w:line="240" w:lineRule="auto"/>
        <w:jc w:val="center"/>
        <w:rPr>
          <w:rFonts w:ascii="Arial" w:hAnsi="Arial" w:cs="Arial"/>
          <w:b/>
          <w:bCs/>
          <w:sz w:val="30"/>
          <w:szCs w:val="30"/>
        </w:rPr>
      </w:pPr>
    </w:p>
    <w:p w14:paraId="1BF21639" w14:textId="77777777" w:rsidR="007C2C05" w:rsidRDefault="007C2C05" w:rsidP="009B305E">
      <w:pPr>
        <w:spacing w:after="0" w:line="240" w:lineRule="auto"/>
        <w:jc w:val="center"/>
        <w:rPr>
          <w:rFonts w:ascii="Arial" w:hAnsi="Arial" w:cs="Arial"/>
          <w:b/>
          <w:bCs/>
          <w:sz w:val="30"/>
          <w:szCs w:val="30"/>
        </w:rPr>
      </w:pPr>
    </w:p>
    <w:p w14:paraId="25707948" w14:textId="0A969405" w:rsidR="00717B44" w:rsidRPr="00661AEF" w:rsidRDefault="009B305E" w:rsidP="009B305E">
      <w:pPr>
        <w:spacing w:after="0" w:line="240" w:lineRule="auto"/>
        <w:jc w:val="center"/>
        <w:rPr>
          <w:rFonts w:ascii="Arial" w:hAnsi="Arial" w:cs="Arial"/>
          <w:b/>
          <w:bCs/>
          <w:sz w:val="30"/>
          <w:szCs w:val="30"/>
        </w:rPr>
      </w:pPr>
      <w:r w:rsidRPr="00661AEF">
        <w:rPr>
          <w:rFonts w:ascii="Arial" w:hAnsi="Arial" w:cs="Arial"/>
          <w:b/>
          <w:bCs/>
          <w:sz w:val="30"/>
          <w:szCs w:val="30"/>
        </w:rPr>
        <w:t>MINISTRA YASMÍN ESQUIVEL MOSSA</w:t>
      </w:r>
    </w:p>
    <w:p w14:paraId="2DBB2F79" w14:textId="77777777" w:rsidR="007C2C05" w:rsidRDefault="007C2C05" w:rsidP="003C6FC2">
      <w:pPr>
        <w:spacing w:line="360" w:lineRule="auto"/>
        <w:jc w:val="right"/>
        <w:rPr>
          <w:rFonts w:ascii="Arial" w:hAnsi="Arial" w:cs="Arial"/>
          <w:b/>
          <w:bCs/>
          <w:sz w:val="16"/>
          <w:szCs w:val="16"/>
        </w:rPr>
      </w:pPr>
    </w:p>
    <w:p w14:paraId="02040B5C" w14:textId="0118FE77" w:rsidR="00BA3FD0" w:rsidRPr="003C6FC2" w:rsidRDefault="003C6FC2" w:rsidP="003C6FC2">
      <w:pPr>
        <w:spacing w:line="360" w:lineRule="auto"/>
        <w:jc w:val="right"/>
        <w:rPr>
          <w:rFonts w:ascii="Arial" w:hAnsi="Arial" w:cs="Arial"/>
          <w:b/>
          <w:bCs/>
          <w:sz w:val="16"/>
          <w:szCs w:val="16"/>
        </w:rPr>
      </w:pPr>
      <w:r w:rsidRPr="00661AEF">
        <w:rPr>
          <w:rFonts w:ascii="Arial" w:hAnsi="Arial" w:cs="Arial"/>
          <w:b/>
          <w:bCs/>
          <w:sz w:val="16"/>
          <w:szCs w:val="16"/>
        </w:rPr>
        <w:t>JTRM</w:t>
      </w:r>
    </w:p>
    <w:sectPr w:rsidR="00BA3FD0" w:rsidRPr="003C6FC2" w:rsidSect="007C2C05">
      <w:headerReference w:type="default" r:id="rId8"/>
      <w:footerReference w:type="default" r:id="rId9"/>
      <w:pgSz w:w="12240" w:h="19298" w:code="154"/>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395F6" w14:textId="77777777" w:rsidR="00BC4005" w:rsidRDefault="00BC4005" w:rsidP="00EE5608">
      <w:pPr>
        <w:spacing w:after="0" w:line="240" w:lineRule="auto"/>
      </w:pPr>
      <w:r>
        <w:separator/>
      </w:r>
    </w:p>
  </w:endnote>
  <w:endnote w:type="continuationSeparator" w:id="0">
    <w:p w14:paraId="4A8FED4B" w14:textId="77777777" w:rsidR="00BC4005" w:rsidRDefault="00BC4005" w:rsidP="00EE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750582"/>
      <w:docPartObj>
        <w:docPartGallery w:val="Page Numbers (Bottom of Page)"/>
        <w:docPartUnique/>
      </w:docPartObj>
    </w:sdtPr>
    <w:sdtEndPr>
      <w:rPr>
        <w:rFonts w:ascii="Arial" w:hAnsi="Arial" w:cs="Arial"/>
        <w:b/>
        <w:bCs/>
        <w:sz w:val="26"/>
        <w:szCs w:val="26"/>
      </w:rPr>
    </w:sdtEndPr>
    <w:sdtContent>
      <w:p w14:paraId="64D99107" w14:textId="1A53614B" w:rsidR="00EE5608" w:rsidRPr="00C0668E" w:rsidRDefault="00EE5608">
        <w:pPr>
          <w:pStyle w:val="Piedepgina"/>
          <w:jc w:val="center"/>
          <w:rPr>
            <w:rFonts w:ascii="Arial" w:hAnsi="Arial" w:cs="Arial"/>
            <w:b/>
            <w:bCs/>
            <w:sz w:val="26"/>
            <w:szCs w:val="26"/>
          </w:rPr>
        </w:pPr>
        <w:r w:rsidRPr="00C0668E">
          <w:rPr>
            <w:rFonts w:ascii="Arial" w:hAnsi="Arial" w:cs="Arial"/>
            <w:b/>
            <w:bCs/>
            <w:sz w:val="26"/>
            <w:szCs w:val="26"/>
          </w:rPr>
          <w:fldChar w:fldCharType="begin"/>
        </w:r>
        <w:r w:rsidRPr="00C0668E">
          <w:rPr>
            <w:rFonts w:ascii="Arial" w:hAnsi="Arial" w:cs="Arial"/>
            <w:b/>
            <w:bCs/>
            <w:sz w:val="26"/>
            <w:szCs w:val="26"/>
          </w:rPr>
          <w:instrText>PAGE   \* MERGEFORMAT</w:instrText>
        </w:r>
        <w:r w:rsidRPr="00C0668E">
          <w:rPr>
            <w:rFonts w:ascii="Arial" w:hAnsi="Arial" w:cs="Arial"/>
            <w:b/>
            <w:bCs/>
            <w:sz w:val="26"/>
            <w:szCs w:val="26"/>
          </w:rPr>
          <w:fldChar w:fldCharType="separate"/>
        </w:r>
        <w:r w:rsidRPr="00C0668E">
          <w:rPr>
            <w:rFonts w:ascii="Arial" w:hAnsi="Arial" w:cs="Arial"/>
            <w:b/>
            <w:bCs/>
            <w:sz w:val="26"/>
            <w:szCs w:val="26"/>
            <w:lang w:val="es-ES"/>
          </w:rPr>
          <w:t>2</w:t>
        </w:r>
        <w:r w:rsidRPr="00C0668E">
          <w:rPr>
            <w:rFonts w:ascii="Arial" w:hAnsi="Arial" w:cs="Arial"/>
            <w:b/>
            <w:bCs/>
            <w:sz w:val="26"/>
            <w:szCs w:val="26"/>
          </w:rPr>
          <w:fldChar w:fldCharType="end"/>
        </w:r>
      </w:p>
    </w:sdtContent>
  </w:sdt>
  <w:p w14:paraId="756604D7" w14:textId="77777777" w:rsidR="00EE5608" w:rsidRDefault="00EE56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53978" w14:textId="77777777" w:rsidR="00BC4005" w:rsidRDefault="00BC4005" w:rsidP="00EE5608">
      <w:pPr>
        <w:spacing w:after="0" w:line="240" w:lineRule="auto"/>
      </w:pPr>
      <w:r>
        <w:separator/>
      </w:r>
    </w:p>
  </w:footnote>
  <w:footnote w:type="continuationSeparator" w:id="0">
    <w:p w14:paraId="4596CCF1" w14:textId="77777777" w:rsidR="00BC4005" w:rsidRDefault="00BC4005" w:rsidP="00EE5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E9704" w14:textId="2BC1B28E" w:rsidR="00BA3FD0" w:rsidRPr="001E419C" w:rsidRDefault="001E419C" w:rsidP="001E419C">
    <w:pPr>
      <w:pStyle w:val="Encabezado"/>
      <w:jc w:val="right"/>
      <w:rPr>
        <w:b/>
        <w:bCs/>
        <w:sz w:val="26"/>
        <w:szCs w:val="26"/>
      </w:rPr>
    </w:pPr>
    <w:r w:rsidRPr="001E419C">
      <w:rPr>
        <w:b/>
        <w:bCs/>
        <w:sz w:val="26"/>
        <w:szCs w:val="26"/>
      </w:rPr>
      <w:t>AMPARO EN REVISIÓN 227/2022</w:t>
    </w:r>
  </w:p>
  <w:p w14:paraId="2DEF987A" w14:textId="63680865" w:rsidR="001E419C" w:rsidRPr="001E419C" w:rsidRDefault="001E419C" w:rsidP="001E419C">
    <w:pPr>
      <w:pStyle w:val="Encabezado"/>
      <w:jc w:val="right"/>
      <w:rPr>
        <w:b/>
        <w:bCs/>
        <w:sz w:val="26"/>
        <w:szCs w:val="26"/>
      </w:rPr>
    </w:pPr>
    <w:r w:rsidRPr="001E419C">
      <w:rPr>
        <w:b/>
        <w:bCs/>
        <w:sz w:val="26"/>
        <w:szCs w:val="26"/>
      </w:rPr>
      <w:t>VOTO CONCURENTE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217E7"/>
    <w:multiLevelType w:val="hybridMultilevel"/>
    <w:tmpl w:val="37AC3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837EC5"/>
    <w:multiLevelType w:val="hybridMultilevel"/>
    <w:tmpl w:val="76700960"/>
    <w:lvl w:ilvl="0" w:tplc="0DAE3E7E">
      <w:start w:val="1"/>
      <w:numFmt w:val="decimal"/>
      <w:lvlText w:val="%1."/>
      <w:lvlJc w:val="left"/>
      <w:pPr>
        <w:ind w:left="2880" w:hanging="360"/>
      </w:pPr>
      <w:rPr>
        <w:rFonts w:ascii="Arial" w:hAnsi="Arial" w:cs="Arial" w:hint="default"/>
        <w:b/>
        <w:bCs/>
        <w:i w:val="0"/>
        <w:strike w:val="0"/>
        <w:color w:val="auto"/>
        <w:sz w:val="28"/>
        <w:szCs w:val="28"/>
        <w:vertAlign w:val="baseline"/>
      </w:rPr>
    </w:lvl>
    <w:lvl w:ilvl="1" w:tplc="8DA80F18">
      <w:start w:val="1"/>
      <w:numFmt w:val="lowerLetter"/>
      <w:lvlText w:val="%2."/>
      <w:lvlJc w:val="left"/>
      <w:pPr>
        <w:ind w:left="1440" w:hanging="360"/>
      </w:pPr>
      <w:rPr>
        <w:b w:val="0"/>
        <w:bCs w:val="0"/>
      </w:rPr>
    </w:lvl>
    <w:lvl w:ilvl="2" w:tplc="080A001B">
      <w:start w:val="1"/>
      <w:numFmt w:val="lowerRoman"/>
      <w:lvlText w:val="%3."/>
      <w:lvlJc w:val="right"/>
      <w:pPr>
        <w:ind w:left="2160" w:hanging="180"/>
      </w:pPr>
    </w:lvl>
    <w:lvl w:ilvl="3" w:tplc="50227D9A">
      <w:start w:val="1"/>
      <w:numFmt w:val="decimal"/>
      <w:lvlText w:val="%4)"/>
      <w:lvlJc w:val="left"/>
      <w:pPr>
        <w:ind w:left="2940" w:hanging="420"/>
      </w:pPr>
      <w:rPr>
        <w:rFonts w:hint="default"/>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9941B0"/>
    <w:multiLevelType w:val="hybridMultilevel"/>
    <w:tmpl w:val="636E0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BA1AAF"/>
    <w:multiLevelType w:val="hybridMultilevel"/>
    <w:tmpl w:val="EC82E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2617E2"/>
    <w:multiLevelType w:val="hybridMultilevel"/>
    <w:tmpl w:val="BD863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BB6DCE"/>
    <w:multiLevelType w:val="hybridMultilevel"/>
    <w:tmpl w:val="FA52E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4375DB"/>
    <w:multiLevelType w:val="hybridMultilevel"/>
    <w:tmpl w:val="050263D0"/>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F620985"/>
    <w:multiLevelType w:val="hybridMultilevel"/>
    <w:tmpl w:val="AF1C33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B17255"/>
    <w:multiLevelType w:val="hybridMultilevel"/>
    <w:tmpl w:val="E9421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D441E8"/>
    <w:multiLevelType w:val="hybridMultilevel"/>
    <w:tmpl w:val="50E24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CF7486"/>
    <w:multiLevelType w:val="multilevel"/>
    <w:tmpl w:val="028C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DD1B51"/>
    <w:multiLevelType w:val="hybridMultilevel"/>
    <w:tmpl w:val="49ACA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EA030C2"/>
    <w:multiLevelType w:val="hybridMultilevel"/>
    <w:tmpl w:val="7B4A5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E067D0"/>
    <w:multiLevelType w:val="multilevel"/>
    <w:tmpl w:val="CD58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1E69C7"/>
    <w:multiLevelType w:val="hybridMultilevel"/>
    <w:tmpl w:val="AD5AD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82287F"/>
    <w:multiLevelType w:val="hybridMultilevel"/>
    <w:tmpl w:val="BA087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CF1B1A"/>
    <w:multiLevelType w:val="multilevel"/>
    <w:tmpl w:val="B10C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A75593"/>
    <w:multiLevelType w:val="hybridMultilevel"/>
    <w:tmpl w:val="8488B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8723573">
    <w:abstractNumId w:val="5"/>
  </w:num>
  <w:num w:numId="2" w16cid:durableId="215826061">
    <w:abstractNumId w:val="16"/>
  </w:num>
  <w:num w:numId="3" w16cid:durableId="464470996">
    <w:abstractNumId w:val="10"/>
  </w:num>
  <w:num w:numId="4" w16cid:durableId="1445348754">
    <w:abstractNumId w:val="13"/>
  </w:num>
  <w:num w:numId="5" w16cid:durableId="998849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7486018">
    <w:abstractNumId w:val="1"/>
  </w:num>
  <w:num w:numId="7" w16cid:durableId="1041170844">
    <w:abstractNumId w:val="15"/>
  </w:num>
  <w:num w:numId="8" w16cid:durableId="1462575011">
    <w:abstractNumId w:val="12"/>
  </w:num>
  <w:num w:numId="9" w16cid:durableId="494957151">
    <w:abstractNumId w:val="9"/>
  </w:num>
  <w:num w:numId="10" w16cid:durableId="594870504">
    <w:abstractNumId w:val="6"/>
  </w:num>
  <w:num w:numId="11" w16cid:durableId="370766695">
    <w:abstractNumId w:val="17"/>
  </w:num>
  <w:num w:numId="12" w16cid:durableId="229657814">
    <w:abstractNumId w:val="14"/>
  </w:num>
  <w:num w:numId="13" w16cid:durableId="121465153">
    <w:abstractNumId w:val="2"/>
  </w:num>
  <w:num w:numId="14" w16cid:durableId="1455250795">
    <w:abstractNumId w:val="4"/>
  </w:num>
  <w:num w:numId="15" w16cid:durableId="1807970203">
    <w:abstractNumId w:val="8"/>
  </w:num>
  <w:num w:numId="16" w16cid:durableId="129172158">
    <w:abstractNumId w:val="11"/>
  </w:num>
  <w:num w:numId="17" w16cid:durableId="1932547882">
    <w:abstractNumId w:val="0"/>
  </w:num>
  <w:num w:numId="18" w16cid:durableId="1079016046">
    <w:abstractNumId w:val="3"/>
  </w:num>
  <w:num w:numId="19" w16cid:durableId="2084527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66"/>
    <w:rsid w:val="000008E2"/>
    <w:rsid w:val="00001301"/>
    <w:rsid w:val="00017D64"/>
    <w:rsid w:val="000225AC"/>
    <w:rsid w:val="000239F6"/>
    <w:rsid w:val="00034BC0"/>
    <w:rsid w:val="000401C4"/>
    <w:rsid w:val="0004102A"/>
    <w:rsid w:val="00051AB6"/>
    <w:rsid w:val="00052DC9"/>
    <w:rsid w:val="00057CC5"/>
    <w:rsid w:val="0006417D"/>
    <w:rsid w:val="00065DC0"/>
    <w:rsid w:val="000925B5"/>
    <w:rsid w:val="000A7A53"/>
    <w:rsid w:val="000B12F0"/>
    <w:rsid w:val="000D186A"/>
    <w:rsid w:val="000D3CB4"/>
    <w:rsid w:val="000E3953"/>
    <w:rsid w:val="000E3D6F"/>
    <w:rsid w:val="000F1566"/>
    <w:rsid w:val="00103C54"/>
    <w:rsid w:val="00105C8D"/>
    <w:rsid w:val="001108FF"/>
    <w:rsid w:val="00113073"/>
    <w:rsid w:val="001135DF"/>
    <w:rsid w:val="001172E9"/>
    <w:rsid w:val="00120CBA"/>
    <w:rsid w:val="00132A87"/>
    <w:rsid w:val="001356EE"/>
    <w:rsid w:val="0014154A"/>
    <w:rsid w:val="001573A6"/>
    <w:rsid w:val="00171482"/>
    <w:rsid w:val="0019224B"/>
    <w:rsid w:val="00192B1F"/>
    <w:rsid w:val="001941A6"/>
    <w:rsid w:val="001A07D6"/>
    <w:rsid w:val="001A790F"/>
    <w:rsid w:val="001C4FFC"/>
    <w:rsid w:val="001D232D"/>
    <w:rsid w:val="001D7B3A"/>
    <w:rsid w:val="001E419C"/>
    <w:rsid w:val="001E651F"/>
    <w:rsid w:val="001E761F"/>
    <w:rsid w:val="001F1FF5"/>
    <w:rsid w:val="001F3099"/>
    <w:rsid w:val="001F48F7"/>
    <w:rsid w:val="001F65B3"/>
    <w:rsid w:val="002006B1"/>
    <w:rsid w:val="00207708"/>
    <w:rsid w:val="00231F8A"/>
    <w:rsid w:val="00241ADB"/>
    <w:rsid w:val="00253549"/>
    <w:rsid w:val="00257408"/>
    <w:rsid w:val="002663CB"/>
    <w:rsid w:val="00267821"/>
    <w:rsid w:val="00282789"/>
    <w:rsid w:val="00285793"/>
    <w:rsid w:val="00285C49"/>
    <w:rsid w:val="00290F5E"/>
    <w:rsid w:val="002B5FD6"/>
    <w:rsid w:val="002C231C"/>
    <w:rsid w:val="002D16BA"/>
    <w:rsid w:val="002D5ADF"/>
    <w:rsid w:val="002E6C66"/>
    <w:rsid w:val="002F4C9F"/>
    <w:rsid w:val="002F634F"/>
    <w:rsid w:val="002F6861"/>
    <w:rsid w:val="00305523"/>
    <w:rsid w:val="00313B61"/>
    <w:rsid w:val="0031714F"/>
    <w:rsid w:val="00325768"/>
    <w:rsid w:val="0034607C"/>
    <w:rsid w:val="003525C4"/>
    <w:rsid w:val="00353E10"/>
    <w:rsid w:val="00356268"/>
    <w:rsid w:val="00362904"/>
    <w:rsid w:val="00364E72"/>
    <w:rsid w:val="00373958"/>
    <w:rsid w:val="00380089"/>
    <w:rsid w:val="00381058"/>
    <w:rsid w:val="00381F0D"/>
    <w:rsid w:val="003A4EDC"/>
    <w:rsid w:val="003B31BC"/>
    <w:rsid w:val="003B3F4E"/>
    <w:rsid w:val="003B51A9"/>
    <w:rsid w:val="003C2614"/>
    <w:rsid w:val="003C3F62"/>
    <w:rsid w:val="003C6FC2"/>
    <w:rsid w:val="003F1E01"/>
    <w:rsid w:val="003F290C"/>
    <w:rsid w:val="004160E0"/>
    <w:rsid w:val="00445F47"/>
    <w:rsid w:val="004465CC"/>
    <w:rsid w:val="00456539"/>
    <w:rsid w:val="00456F8C"/>
    <w:rsid w:val="00457D76"/>
    <w:rsid w:val="0046757B"/>
    <w:rsid w:val="00476F5D"/>
    <w:rsid w:val="00491014"/>
    <w:rsid w:val="004912D4"/>
    <w:rsid w:val="004956DB"/>
    <w:rsid w:val="004C473F"/>
    <w:rsid w:val="004D7ECB"/>
    <w:rsid w:val="004E592A"/>
    <w:rsid w:val="004F24FE"/>
    <w:rsid w:val="005007BA"/>
    <w:rsid w:val="00512565"/>
    <w:rsid w:val="00537945"/>
    <w:rsid w:val="00537AB1"/>
    <w:rsid w:val="00540592"/>
    <w:rsid w:val="0057019B"/>
    <w:rsid w:val="005812C3"/>
    <w:rsid w:val="00590C7D"/>
    <w:rsid w:val="005A5CA5"/>
    <w:rsid w:val="005B1891"/>
    <w:rsid w:val="005B6BF3"/>
    <w:rsid w:val="005B7999"/>
    <w:rsid w:val="005F249B"/>
    <w:rsid w:val="00616D29"/>
    <w:rsid w:val="00620C1D"/>
    <w:rsid w:val="00621D3D"/>
    <w:rsid w:val="00621FA8"/>
    <w:rsid w:val="006350F3"/>
    <w:rsid w:val="00661AEF"/>
    <w:rsid w:val="0066432D"/>
    <w:rsid w:val="00667C42"/>
    <w:rsid w:val="00695673"/>
    <w:rsid w:val="006C23A2"/>
    <w:rsid w:val="006C250F"/>
    <w:rsid w:val="006F43AC"/>
    <w:rsid w:val="00707506"/>
    <w:rsid w:val="00707E08"/>
    <w:rsid w:val="0071358F"/>
    <w:rsid w:val="00717B44"/>
    <w:rsid w:val="00723619"/>
    <w:rsid w:val="00724670"/>
    <w:rsid w:val="007248F6"/>
    <w:rsid w:val="00742AAB"/>
    <w:rsid w:val="00743E7D"/>
    <w:rsid w:val="00751BD5"/>
    <w:rsid w:val="00785D4B"/>
    <w:rsid w:val="0079210C"/>
    <w:rsid w:val="007949CE"/>
    <w:rsid w:val="007B5222"/>
    <w:rsid w:val="007C0F26"/>
    <w:rsid w:val="007C2C05"/>
    <w:rsid w:val="007C630B"/>
    <w:rsid w:val="007D04AD"/>
    <w:rsid w:val="007D04B9"/>
    <w:rsid w:val="007D43E3"/>
    <w:rsid w:val="007D4BEC"/>
    <w:rsid w:val="007E753D"/>
    <w:rsid w:val="007F1C41"/>
    <w:rsid w:val="00804336"/>
    <w:rsid w:val="00821FB5"/>
    <w:rsid w:val="00823302"/>
    <w:rsid w:val="00825F55"/>
    <w:rsid w:val="0083452C"/>
    <w:rsid w:val="00853E80"/>
    <w:rsid w:val="00855F80"/>
    <w:rsid w:val="00870A54"/>
    <w:rsid w:val="0087631D"/>
    <w:rsid w:val="008829DA"/>
    <w:rsid w:val="00896331"/>
    <w:rsid w:val="008B0BAE"/>
    <w:rsid w:val="008C08FD"/>
    <w:rsid w:val="008D58E0"/>
    <w:rsid w:val="008D6347"/>
    <w:rsid w:val="008E2FF2"/>
    <w:rsid w:val="008F558B"/>
    <w:rsid w:val="00915557"/>
    <w:rsid w:val="00915AAE"/>
    <w:rsid w:val="00916D6E"/>
    <w:rsid w:val="009170E5"/>
    <w:rsid w:val="00933093"/>
    <w:rsid w:val="009377EB"/>
    <w:rsid w:val="00942EA0"/>
    <w:rsid w:val="00954263"/>
    <w:rsid w:val="00976D95"/>
    <w:rsid w:val="00980B63"/>
    <w:rsid w:val="0099433F"/>
    <w:rsid w:val="0099472A"/>
    <w:rsid w:val="009A256B"/>
    <w:rsid w:val="009A4D32"/>
    <w:rsid w:val="009B2585"/>
    <w:rsid w:val="009B305E"/>
    <w:rsid w:val="009B6D77"/>
    <w:rsid w:val="009D00A8"/>
    <w:rsid w:val="009E1091"/>
    <w:rsid w:val="009F1A93"/>
    <w:rsid w:val="00A023EE"/>
    <w:rsid w:val="00A03A82"/>
    <w:rsid w:val="00A042F9"/>
    <w:rsid w:val="00A050B5"/>
    <w:rsid w:val="00A064C5"/>
    <w:rsid w:val="00A13D6F"/>
    <w:rsid w:val="00A43296"/>
    <w:rsid w:val="00A5011C"/>
    <w:rsid w:val="00A81A43"/>
    <w:rsid w:val="00A97521"/>
    <w:rsid w:val="00AA117E"/>
    <w:rsid w:val="00AA77A0"/>
    <w:rsid w:val="00AB2E00"/>
    <w:rsid w:val="00AD3CEF"/>
    <w:rsid w:val="00AE4CDD"/>
    <w:rsid w:val="00AE70CE"/>
    <w:rsid w:val="00B02566"/>
    <w:rsid w:val="00B10156"/>
    <w:rsid w:val="00B12C20"/>
    <w:rsid w:val="00B42937"/>
    <w:rsid w:val="00B43A27"/>
    <w:rsid w:val="00B4637B"/>
    <w:rsid w:val="00B54879"/>
    <w:rsid w:val="00B725BC"/>
    <w:rsid w:val="00B82E8B"/>
    <w:rsid w:val="00B859FB"/>
    <w:rsid w:val="00B9754B"/>
    <w:rsid w:val="00BA3FD0"/>
    <w:rsid w:val="00BA6EEE"/>
    <w:rsid w:val="00BB6B9D"/>
    <w:rsid w:val="00BC4005"/>
    <w:rsid w:val="00BC52EE"/>
    <w:rsid w:val="00BD4427"/>
    <w:rsid w:val="00BD76DC"/>
    <w:rsid w:val="00BE2718"/>
    <w:rsid w:val="00BE54ED"/>
    <w:rsid w:val="00BE5631"/>
    <w:rsid w:val="00BE77FE"/>
    <w:rsid w:val="00C058AC"/>
    <w:rsid w:val="00C0668E"/>
    <w:rsid w:val="00C22A84"/>
    <w:rsid w:val="00C2416D"/>
    <w:rsid w:val="00C253D5"/>
    <w:rsid w:val="00C26672"/>
    <w:rsid w:val="00C31186"/>
    <w:rsid w:val="00C31DA6"/>
    <w:rsid w:val="00C31FB3"/>
    <w:rsid w:val="00C3240D"/>
    <w:rsid w:val="00C71E9C"/>
    <w:rsid w:val="00C92462"/>
    <w:rsid w:val="00C97BFD"/>
    <w:rsid w:val="00CB0F0E"/>
    <w:rsid w:val="00CB1D78"/>
    <w:rsid w:val="00CB7359"/>
    <w:rsid w:val="00CC089C"/>
    <w:rsid w:val="00CD43EF"/>
    <w:rsid w:val="00CE15AE"/>
    <w:rsid w:val="00CF6728"/>
    <w:rsid w:val="00D0044D"/>
    <w:rsid w:val="00D23F45"/>
    <w:rsid w:val="00D42B49"/>
    <w:rsid w:val="00D459AC"/>
    <w:rsid w:val="00D50AFA"/>
    <w:rsid w:val="00D51EFE"/>
    <w:rsid w:val="00D73280"/>
    <w:rsid w:val="00D74368"/>
    <w:rsid w:val="00D80582"/>
    <w:rsid w:val="00D83212"/>
    <w:rsid w:val="00D83651"/>
    <w:rsid w:val="00D84BCE"/>
    <w:rsid w:val="00D95599"/>
    <w:rsid w:val="00DA3078"/>
    <w:rsid w:val="00DB1ECE"/>
    <w:rsid w:val="00DB4ECD"/>
    <w:rsid w:val="00DC2D21"/>
    <w:rsid w:val="00DD1F75"/>
    <w:rsid w:val="00DE4A0F"/>
    <w:rsid w:val="00E01C64"/>
    <w:rsid w:val="00E13A8D"/>
    <w:rsid w:val="00E13F6D"/>
    <w:rsid w:val="00E425A9"/>
    <w:rsid w:val="00E4288D"/>
    <w:rsid w:val="00E44898"/>
    <w:rsid w:val="00E52E6E"/>
    <w:rsid w:val="00E713EA"/>
    <w:rsid w:val="00E75991"/>
    <w:rsid w:val="00E767D5"/>
    <w:rsid w:val="00E83F26"/>
    <w:rsid w:val="00E844B5"/>
    <w:rsid w:val="00E84ECF"/>
    <w:rsid w:val="00E85A84"/>
    <w:rsid w:val="00E967EF"/>
    <w:rsid w:val="00ED38A4"/>
    <w:rsid w:val="00EE4ED6"/>
    <w:rsid w:val="00EE5608"/>
    <w:rsid w:val="00F15E91"/>
    <w:rsid w:val="00F22D00"/>
    <w:rsid w:val="00F336DA"/>
    <w:rsid w:val="00F53C8E"/>
    <w:rsid w:val="00F574B2"/>
    <w:rsid w:val="00F724EF"/>
    <w:rsid w:val="00F85D5C"/>
    <w:rsid w:val="00FA1D4D"/>
    <w:rsid w:val="00FA5F50"/>
    <w:rsid w:val="00FB0530"/>
    <w:rsid w:val="00FB73A6"/>
    <w:rsid w:val="00FC1F15"/>
    <w:rsid w:val="00FC2AF4"/>
    <w:rsid w:val="00FC6880"/>
    <w:rsid w:val="00FD0C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7D0E7"/>
  <w15:chartTrackingRefBased/>
  <w15:docId w15:val="{8D0F3F74-8212-436F-808B-1D3EE083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E6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2E6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E6C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E6C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E6C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E6C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E6C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E6C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E6C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6C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2E6C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E6C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E6C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E6C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E6C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E6C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E6C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E6C66"/>
    <w:rPr>
      <w:rFonts w:eastAsiaTheme="majorEastAsia" w:cstheme="majorBidi"/>
      <w:color w:val="272727" w:themeColor="text1" w:themeTint="D8"/>
    </w:rPr>
  </w:style>
  <w:style w:type="paragraph" w:styleId="Ttulo">
    <w:name w:val="Title"/>
    <w:basedOn w:val="Normal"/>
    <w:next w:val="Normal"/>
    <w:link w:val="TtuloCar"/>
    <w:uiPriority w:val="10"/>
    <w:qFormat/>
    <w:rsid w:val="002E6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6C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E6C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E6C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E6C66"/>
    <w:pPr>
      <w:spacing w:before="160"/>
      <w:jc w:val="center"/>
    </w:pPr>
    <w:rPr>
      <w:i/>
      <w:iCs/>
      <w:color w:val="404040" w:themeColor="text1" w:themeTint="BF"/>
    </w:rPr>
  </w:style>
  <w:style w:type="character" w:customStyle="1" w:styleId="CitaCar">
    <w:name w:val="Cita Car"/>
    <w:basedOn w:val="Fuentedeprrafopredeter"/>
    <w:link w:val="Cita"/>
    <w:uiPriority w:val="29"/>
    <w:rsid w:val="002E6C66"/>
    <w:rPr>
      <w:i/>
      <w:iCs/>
      <w:color w:val="404040" w:themeColor="text1" w:themeTint="BF"/>
    </w:rPr>
  </w:style>
  <w:style w:type="paragraph" w:styleId="Prrafodelista">
    <w:name w:val="List Paragraph"/>
    <w:aliases w:val="Cita texto,Footnote,Párrafo de lista1,List Paragraph1,Colorful List - Accent 11,Cuadrícula clara - Énfasis 31,TEXTO GENERAL SENTENCIAS,Dot pt,No Spacing1,List Paragraph Char Char Char,Indicator Text,Numbered Para 1,Trascripción,Figuras"/>
    <w:basedOn w:val="Normal"/>
    <w:link w:val="PrrafodelistaCar"/>
    <w:uiPriority w:val="34"/>
    <w:qFormat/>
    <w:rsid w:val="002E6C66"/>
    <w:pPr>
      <w:ind w:left="720"/>
      <w:contextualSpacing/>
    </w:pPr>
  </w:style>
  <w:style w:type="character" w:styleId="nfasisintenso">
    <w:name w:val="Intense Emphasis"/>
    <w:basedOn w:val="Fuentedeprrafopredeter"/>
    <w:uiPriority w:val="21"/>
    <w:qFormat/>
    <w:rsid w:val="002E6C66"/>
    <w:rPr>
      <w:i/>
      <w:iCs/>
      <w:color w:val="0F4761" w:themeColor="accent1" w:themeShade="BF"/>
    </w:rPr>
  </w:style>
  <w:style w:type="paragraph" w:styleId="Citadestacada">
    <w:name w:val="Intense Quote"/>
    <w:basedOn w:val="Normal"/>
    <w:next w:val="Normal"/>
    <w:link w:val="CitadestacadaCar"/>
    <w:uiPriority w:val="30"/>
    <w:qFormat/>
    <w:rsid w:val="002E6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E6C66"/>
    <w:rPr>
      <w:i/>
      <w:iCs/>
      <w:color w:val="0F4761" w:themeColor="accent1" w:themeShade="BF"/>
    </w:rPr>
  </w:style>
  <w:style w:type="character" w:styleId="Referenciaintensa">
    <w:name w:val="Intense Reference"/>
    <w:basedOn w:val="Fuentedeprrafopredeter"/>
    <w:uiPriority w:val="32"/>
    <w:qFormat/>
    <w:rsid w:val="002E6C66"/>
    <w:rPr>
      <w:b/>
      <w:bCs/>
      <w:smallCaps/>
      <w:color w:val="0F4761" w:themeColor="accent1" w:themeShade="BF"/>
      <w:spacing w:val="5"/>
    </w:rPr>
  </w:style>
  <w:style w:type="paragraph" w:customStyle="1" w:styleId="Estilo">
    <w:name w:val="Estilo"/>
    <w:basedOn w:val="Sinespaciado"/>
    <w:link w:val="EstiloCar"/>
    <w:qFormat/>
    <w:rsid w:val="000401C4"/>
    <w:pPr>
      <w:jc w:val="both"/>
    </w:pPr>
    <w:rPr>
      <w:rFonts w:ascii="Arial" w:hAnsi="Arial"/>
      <w:kern w:val="0"/>
      <w:sz w:val="24"/>
      <w14:ligatures w14:val="none"/>
    </w:rPr>
  </w:style>
  <w:style w:type="character" w:customStyle="1" w:styleId="EstiloCar">
    <w:name w:val="Estilo Car"/>
    <w:basedOn w:val="Fuentedeprrafopredeter"/>
    <w:link w:val="Estilo"/>
    <w:rsid w:val="000401C4"/>
    <w:rPr>
      <w:rFonts w:ascii="Arial" w:hAnsi="Arial"/>
      <w:kern w:val="0"/>
      <w:sz w:val="24"/>
      <w14:ligatures w14:val="none"/>
    </w:rPr>
  </w:style>
  <w:style w:type="paragraph" w:styleId="Sinespaciado">
    <w:name w:val="No Spacing"/>
    <w:uiPriority w:val="1"/>
    <w:qFormat/>
    <w:rsid w:val="000401C4"/>
    <w:pPr>
      <w:spacing w:after="0" w:line="240" w:lineRule="auto"/>
    </w:pPr>
  </w:style>
  <w:style w:type="paragraph" w:styleId="Revisin">
    <w:name w:val="Revision"/>
    <w:hidden/>
    <w:uiPriority w:val="99"/>
    <w:semiHidden/>
    <w:rsid w:val="00DD1F75"/>
    <w:pPr>
      <w:spacing w:after="0" w:line="240" w:lineRule="auto"/>
    </w:pPr>
  </w:style>
  <w:style w:type="paragraph" w:styleId="Encabezado">
    <w:name w:val="header"/>
    <w:basedOn w:val="Normal"/>
    <w:link w:val="EncabezadoCar"/>
    <w:uiPriority w:val="99"/>
    <w:unhideWhenUsed/>
    <w:rsid w:val="00EE56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5608"/>
  </w:style>
  <w:style w:type="paragraph" w:styleId="Piedepgina">
    <w:name w:val="footer"/>
    <w:basedOn w:val="Normal"/>
    <w:link w:val="PiedepginaCar"/>
    <w:uiPriority w:val="99"/>
    <w:unhideWhenUsed/>
    <w:rsid w:val="00EE56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5608"/>
  </w:style>
  <w:style w:type="paragraph" w:customStyle="1" w:styleId="corte1datos">
    <w:name w:val="corte1 datos"/>
    <w:basedOn w:val="Normal"/>
    <w:link w:val="corte1datosCar"/>
    <w:rsid w:val="000F1566"/>
    <w:pPr>
      <w:spacing w:after="0" w:line="240" w:lineRule="auto"/>
      <w:ind w:left="2552"/>
    </w:pPr>
    <w:rPr>
      <w:rFonts w:ascii="Arial" w:eastAsia="Times New Roman" w:hAnsi="Arial" w:cs="Times New Roman"/>
      <w:b/>
      <w:caps/>
      <w:kern w:val="0"/>
      <w:sz w:val="30"/>
      <w:szCs w:val="20"/>
      <w:lang w:eastAsia="es-MX"/>
      <w14:ligatures w14:val="none"/>
    </w:rPr>
  </w:style>
  <w:style w:type="character" w:customStyle="1" w:styleId="corte1datosCar">
    <w:name w:val="corte1 datos Car"/>
    <w:basedOn w:val="Fuentedeprrafopredeter"/>
    <w:link w:val="corte1datos"/>
    <w:rsid w:val="000F1566"/>
    <w:rPr>
      <w:rFonts w:ascii="Arial" w:eastAsia="Times New Roman" w:hAnsi="Arial" w:cs="Times New Roman"/>
      <w:b/>
      <w:caps/>
      <w:kern w:val="0"/>
      <w:sz w:val="30"/>
      <w:szCs w:val="20"/>
      <w:lang w:eastAsia="es-MX"/>
      <w14:ligatures w14:val="none"/>
    </w:rPr>
  </w:style>
  <w:style w:type="character" w:customStyle="1" w:styleId="normaltextrun">
    <w:name w:val="normaltextrun"/>
    <w:basedOn w:val="Fuentedeprrafopredeter"/>
    <w:rsid w:val="00FA1D4D"/>
  </w:style>
  <w:style w:type="character" w:customStyle="1" w:styleId="eop">
    <w:name w:val="eop"/>
    <w:basedOn w:val="Fuentedeprrafopredeter"/>
    <w:rsid w:val="00FA1D4D"/>
  </w:style>
  <w:style w:type="paragraph" w:customStyle="1" w:styleId="paragraph">
    <w:name w:val="paragraph"/>
    <w:basedOn w:val="Normal"/>
    <w:rsid w:val="00785D4B"/>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Prrafo">
    <w:name w:val="Párrafo"/>
    <w:basedOn w:val="Normal"/>
    <w:qFormat/>
    <w:rsid w:val="001F1FF5"/>
    <w:pPr>
      <w:spacing w:before="240" w:after="240" w:line="360" w:lineRule="auto"/>
      <w:jc w:val="both"/>
    </w:pPr>
    <w:rPr>
      <w:rFonts w:ascii="Arial" w:hAnsi="Arial" w:cs="Arial"/>
      <w:kern w:val="0"/>
      <w:sz w:val="26"/>
      <w:szCs w:val="26"/>
      <w14:ligatures w14:val="none"/>
    </w:rPr>
  </w:style>
  <w:style w:type="paragraph" w:customStyle="1" w:styleId="corte4fondo">
    <w:name w:val="corte4 fondo"/>
    <w:basedOn w:val="Normal"/>
    <w:link w:val="corte4fondoCar1"/>
    <w:qFormat/>
    <w:rsid w:val="00456539"/>
    <w:pPr>
      <w:spacing w:after="0" w:line="300" w:lineRule="auto"/>
      <w:ind w:firstLine="709"/>
      <w:jc w:val="both"/>
    </w:pPr>
    <w:rPr>
      <w:rFonts w:ascii="Arial" w:eastAsia="Times New Roman" w:hAnsi="Arial" w:cs="Times New Roman"/>
      <w:kern w:val="0"/>
      <w:sz w:val="30"/>
      <w:szCs w:val="20"/>
      <w:lang w:val="es-ES_tradnl" w:eastAsia="x-none"/>
      <w14:ligatures w14:val="none"/>
    </w:rPr>
  </w:style>
  <w:style w:type="character" w:customStyle="1" w:styleId="corte4fondoCar1">
    <w:name w:val="corte4 fondo Car1"/>
    <w:link w:val="corte4fondo"/>
    <w:qFormat/>
    <w:locked/>
    <w:rsid w:val="00456539"/>
    <w:rPr>
      <w:rFonts w:ascii="Arial" w:eastAsia="Times New Roman" w:hAnsi="Arial" w:cs="Times New Roman"/>
      <w:kern w:val="0"/>
      <w:sz w:val="30"/>
      <w:szCs w:val="20"/>
      <w:lang w:val="es-ES_tradnl" w:eastAsia="x-none"/>
      <w14:ligatures w14:val="none"/>
    </w:rPr>
  </w:style>
  <w:style w:type="paragraph" w:styleId="Textonotapie">
    <w:name w:val="footnote text"/>
    <w:aliases w:val="FA Fu,Footnote reference,Footnote Text Char Char Char Char Char,Footnote Text Char Char Char Char,Footnote Text Char Char Char Char Car,texto de nota al pie,Texto nota pie Car1,Texto nota pie Car Car,texto de nota al pie Car Car,Ca,C,ft"/>
    <w:basedOn w:val="Normal"/>
    <w:link w:val="TextonotapieCar"/>
    <w:unhideWhenUsed/>
    <w:qFormat/>
    <w:rsid w:val="00456539"/>
    <w:pPr>
      <w:spacing w:after="0" w:line="240" w:lineRule="auto"/>
    </w:pPr>
    <w:rPr>
      <w:rFonts w:ascii="Arial" w:hAnsi="Arial" w:cs="Arial"/>
      <w:kern w:val="0"/>
      <w:sz w:val="20"/>
      <w:szCs w:val="20"/>
      <w14:ligatures w14:val="none"/>
    </w:rPr>
  </w:style>
  <w:style w:type="character" w:customStyle="1" w:styleId="TextonotapieCar">
    <w:name w:val="Texto nota pie Car"/>
    <w:aliases w:val="FA Fu Car,Footnote reference Car,Footnote Text Char Char Char Char Char Car,Footnote Text Char Char Char Char Car1,Footnote Text Char Char Char Char Car Car,texto de nota al pie Car,Texto nota pie Car1 Car,Texto nota pie Car Car Car"/>
    <w:basedOn w:val="Fuentedeprrafopredeter"/>
    <w:link w:val="Textonotapie"/>
    <w:qFormat/>
    <w:rsid w:val="00456539"/>
    <w:rPr>
      <w:rFonts w:ascii="Arial" w:hAnsi="Arial" w:cs="Arial"/>
      <w:kern w:val="0"/>
      <w:sz w:val="20"/>
      <w:szCs w:val="20"/>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456539"/>
    <w:rPr>
      <w:vertAlign w:val="superscript"/>
    </w:rPr>
  </w:style>
  <w:style w:type="character" w:customStyle="1" w:styleId="PrrafodelistaCar">
    <w:name w:val="Párrafo de lista Car"/>
    <w:aliases w:val="Cita texto Car,Footnote Car,Párrafo de lista1 Car,List Paragraph1 Car,Colorful List - Accent 11 Car,Cuadrícula clara - Énfasis 31 Car,TEXTO GENERAL SENTENCIAS Car,Dot pt Car,No Spacing1 Car,List Paragraph Char Char Char Car"/>
    <w:basedOn w:val="Fuentedeprrafopredeter"/>
    <w:link w:val="Prrafodelista"/>
    <w:qFormat/>
    <w:locked/>
    <w:rsid w:val="00456539"/>
  </w:style>
  <w:style w:type="character" w:customStyle="1" w:styleId="Ninguno">
    <w:name w:val="Ninguno"/>
    <w:rsid w:val="00456539"/>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56539"/>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4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0BC26-BAE2-4A46-AEF4-0E132AE2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927</Words>
  <Characters>5101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JOZUE TONATIUH ROMERO MENDOZA</dc:creator>
  <cp:keywords/>
  <dc:description/>
  <cp:lastModifiedBy>MIGUEL ANGEL ANDRADE SOLANA</cp:lastModifiedBy>
  <cp:revision>7</cp:revision>
  <dcterms:created xsi:type="dcterms:W3CDTF">2024-08-17T21:58:00Z</dcterms:created>
  <dcterms:modified xsi:type="dcterms:W3CDTF">2024-08-18T03:51:00Z</dcterms:modified>
</cp:coreProperties>
</file>