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F044F" w14:textId="2DE73FFC" w:rsidR="00652869" w:rsidRPr="00C67536" w:rsidRDefault="00652869" w:rsidP="00652869">
      <w:pPr>
        <w:pStyle w:val="corte1datos"/>
        <w:ind w:left="3969"/>
        <w:jc w:val="both"/>
        <w:rPr>
          <w:rFonts w:cs="Arial"/>
          <w:sz w:val="28"/>
          <w:szCs w:val="28"/>
        </w:rPr>
      </w:pPr>
      <w:bookmarkStart w:id="0" w:name="_Hlk172737767"/>
      <w:bookmarkStart w:id="1" w:name="_GoBack"/>
      <w:bookmarkEnd w:id="0"/>
      <w:bookmarkEnd w:id="1"/>
      <w:r w:rsidRPr="00C67536">
        <w:rPr>
          <w:rFonts w:cs="Arial"/>
          <w:sz w:val="28"/>
          <w:szCs w:val="28"/>
        </w:rPr>
        <w:t xml:space="preserve">AMPARO EN REVISIÓN </w:t>
      </w:r>
      <w:r w:rsidR="00774B16" w:rsidRPr="00C67536">
        <w:rPr>
          <w:rFonts w:cs="Arial"/>
          <w:sz w:val="28"/>
          <w:szCs w:val="28"/>
        </w:rPr>
        <w:t>358/2022</w:t>
      </w:r>
      <w:r w:rsidR="00CE3B69" w:rsidRPr="00C67536">
        <w:rPr>
          <w:rFonts w:cs="Arial"/>
          <w:sz w:val="28"/>
          <w:szCs w:val="28"/>
        </w:rPr>
        <w:t>.</w:t>
      </w:r>
    </w:p>
    <w:p w14:paraId="65C51F11" w14:textId="77777777" w:rsidR="00942B03" w:rsidRPr="00C67536" w:rsidRDefault="00942B03" w:rsidP="00652869">
      <w:pPr>
        <w:pStyle w:val="corte1datos"/>
        <w:ind w:left="3969"/>
        <w:jc w:val="both"/>
        <w:rPr>
          <w:rFonts w:cs="Arial"/>
          <w:sz w:val="28"/>
          <w:szCs w:val="28"/>
        </w:rPr>
      </w:pPr>
    </w:p>
    <w:p w14:paraId="5645BD3F" w14:textId="1D57B343" w:rsidR="00652869" w:rsidRPr="00C67536" w:rsidRDefault="00B542BE" w:rsidP="00652869">
      <w:pPr>
        <w:pStyle w:val="corte2ponente"/>
        <w:ind w:left="3969"/>
        <w:jc w:val="both"/>
        <w:rPr>
          <w:rFonts w:cs="Arial"/>
          <w:sz w:val="28"/>
          <w:szCs w:val="28"/>
        </w:rPr>
      </w:pPr>
      <w:r w:rsidRPr="00C67536">
        <w:rPr>
          <w:rFonts w:cs="Arial"/>
          <w:sz w:val="28"/>
          <w:szCs w:val="28"/>
        </w:rPr>
        <w:t xml:space="preserve">quejosa y </w:t>
      </w:r>
      <w:r w:rsidR="00652869" w:rsidRPr="00C67536">
        <w:rPr>
          <w:rFonts w:cs="Arial"/>
          <w:sz w:val="28"/>
          <w:szCs w:val="28"/>
        </w:rPr>
        <w:t>Recurrente</w:t>
      </w:r>
      <w:r w:rsidR="007B0015" w:rsidRPr="00C67536">
        <w:rPr>
          <w:rFonts w:cs="Arial"/>
          <w:sz w:val="28"/>
          <w:szCs w:val="28"/>
        </w:rPr>
        <w:t>:</w:t>
      </w:r>
      <w:r w:rsidR="003337BB" w:rsidRPr="00C67536">
        <w:rPr>
          <w:rFonts w:cs="Arial"/>
          <w:sz w:val="28"/>
          <w:szCs w:val="28"/>
        </w:rPr>
        <w:t xml:space="preserve"> </w:t>
      </w:r>
      <w:r w:rsidR="00774B16" w:rsidRPr="00C67536">
        <w:rPr>
          <w:rFonts w:cs="Arial"/>
          <w:sz w:val="28"/>
          <w:szCs w:val="28"/>
        </w:rPr>
        <w:t>DESDE EL CORAZÓN DEL FRUTO, SOCIEDAD ANÓNIMA DE CAPITAL VARIABLE</w:t>
      </w:r>
      <w:r w:rsidR="0037242E" w:rsidRPr="00C67536">
        <w:rPr>
          <w:rFonts w:cs="Arial"/>
          <w:sz w:val="28"/>
          <w:szCs w:val="28"/>
        </w:rPr>
        <w:t>.</w:t>
      </w:r>
    </w:p>
    <w:p w14:paraId="4C79ED35" w14:textId="77777777" w:rsidR="00652869" w:rsidRPr="00C67536" w:rsidRDefault="00652869" w:rsidP="00652869">
      <w:pPr>
        <w:pStyle w:val="corte2ponente"/>
        <w:rPr>
          <w:rFonts w:cs="Arial"/>
          <w:sz w:val="28"/>
          <w:szCs w:val="28"/>
        </w:rPr>
      </w:pPr>
    </w:p>
    <w:p w14:paraId="7C8DE37D" w14:textId="77777777" w:rsidR="00652869" w:rsidRPr="00C67536" w:rsidRDefault="00652869" w:rsidP="00652869">
      <w:pPr>
        <w:pStyle w:val="corte2ponente"/>
        <w:rPr>
          <w:rFonts w:cs="Arial"/>
          <w:sz w:val="28"/>
          <w:szCs w:val="28"/>
        </w:rPr>
      </w:pPr>
    </w:p>
    <w:p w14:paraId="6A5D3F6C" w14:textId="299CE803" w:rsidR="004377F5" w:rsidRPr="00C67536" w:rsidRDefault="004377F5" w:rsidP="004377F5">
      <w:pPr>
        <w:spacing w:after="60" w:line="276" w:lineRule="auto"/>
        <w:jc w:val="both"/>
        <w:rPr>
          <w:rFonts w:ascii="Arial" w:eastAsia="Calibri" w:hAnsi="Arial" w:cs="Arial"/>
          <w:b/>
          <w:sz w:val="28"/>
          <w:szCs w:val="28"/>
          <w:lang w:eastAsia="en-US"/>
        </w:rPr>
      </w:pPr>
      <w:r w:rsidRPr="00C67536">
        <w:rPr>
          <w:rFonts w:ascii="Arial" w:eastAsia="Calibri" w:hAnsi="Arial" w:cs="Arial"/>
          <w:b/>
          <w:sz w:val="28"/>
          <w:szCs w:val="28"/>
          <w:lang w:eastAsia="en-US"/>
        </w:rPr>
        <w:t xml:space="preserve">PONENTE: </w:t>
      </w:r>
      <w:r w:rsidR="00774B16" w:rsidRPr="00C67536">
        <w:rPr>
          <w:rFonts w:ascii="Arial" w:eastAsia="Calibri" w:hAnsi="Arial" w:cs="Arial"/>
          <w:b/>
          <w:sz w:val="28"/>
          <w:szCs w:val="28"/>
          <w:lang w:eastAsia="en-US"/>
        </w:rPr>
        <w:t>MINISTRA YASMÍN ESQUIVEL MOSSA</w:t>
      </w:r>
      <w:r w:rsidR="00224B2E" w:rsidRPr="00C67536">
        <w:rPr>
          <w:rFonts w:ascii="Arial" w:eastAsia="Calibri" w:hAnsi="Arial" w:cs="Arial"/>
          <w:b/>
          <w:sz w:val="28"/>
          <w:szCs w:val="28"/>
          <w:lang w:eastAsia="en-US"/>
        </w:rPr>
        <w:t>.</w:t>
      </w:r>
    </w:p>
    <w:p w14:paraId="16570CBF" w14:textId="2AF6AC29" w:rsidR="003C5D4F" w:rsidRPr="00C67536" w:rsidRDefault="002760D5" w:rsidP="004377F5">
      <w:pPr>
        <w:spacing w:after="60" w:line="276" w:lineRule="auto"/>
        <w:jc w:val="both"/>
        <w:rPr>
          <w:rFonts w:ascii="Arial" w:eastAsia="Calibri" w:hAnsi="Arial" w:cs="Arial"/>
          <w:b/>
          <w:sz w:val="28"/>
          <w:szCs w:val="28"/>
          <w:lang w:eastAsia="en-US"/>
        </w:rPr>
      </w:pPr>
      <w:r w:rsidRPr="00C67536">
        <w:rPr>
          <w:rFonts w:ascii="Arial" w:eastAsia="Calibri" w:hAnsi="Arial" w:cs="Arial"/>
          <w:b/>
          <w:sz w:val="28"/>
          <w:szCs w:val="28"/>
          <w:lang w:eastAsia="en-US"/>
        </w:rPr>
        <w:t>COTEJÓ</w:t>
      </w:r>
    </w:p>
    <w:p w14:paraId="2490AE31" w14:textId="021D9E39" w:rsidR="004377F5" w:rsidRPr="00C67536" w:rsidRDefault="00774B16" w:rsidP="004377F5">
      <w:pPr>
        <w:spacing w:line="276" w:lineRule="auto"/>
        <w:jc w:val="both"/>
        <w:rPr>
          <w:rFonts w:ascii="Arial" w:eastAsia="Calibri" w:hAnsi="Arial" w:cs="Arial"/>
          <w:b/>
          <w:sz w:val="28"/>
          <w:szCs w:val="28"/>
          <w:lang w:eastAsia="en-US"/>
        </w:rPr>
      </w:pPr>
      <w:r w:rsidRPr="00C67536">
        <w:rPr>
          <w:rFonts w:ascii="Arial" w:eastAsia="Calibri" w:hAnsi="Arial" w:cs="Arial"/>
          <w:b/>
          <w:sz w:val="28"/>
          <w:szCs w:val="28"/>
          <w:lang w:eastAsia="en-US"/>
        </w:rPr>
        <w:t>SECRETARIO: JOZUE TONATIUH ROMERO MENDOZA</w:t>
      </w:r>
      <w:r w:rsidR="00224B2E" w:rsidRPr="00C67536">
        <w:rPr>
          <w:rFonts w:ascii="Arial" w:eastAsia="Calibri" w:hAnsi="Arial" w:cs="Arial"/>
          <w:b/>
          <w:sz w:val="28"/>
          <w:szCs w:val="28"/>
          <w:lang w:eastAsia="en-US"/>
        </w:rPr>
        <w:t>.</w:t>
      </w:r>
    </w:p>
    <w:p w14:paraId="5D77471F" w14:textId="36E60248" w:rsidR="004377F5" w:rsidRPr="00C67536" w:rsidRDefault="004377F5" w:rsidP="004377F5">
      <w:pPr>
        <w:spacing w:line="276" w:lineRule="auto"/>
        <w:jc w:val="both"/>
        <w:rPr>
          <w:rFonts w:ascii="Arial" w:eastAsia="Calibri" w:hAnsi="Arial" w:cs="Arial"/>
          <w:bCs/>
          <w:sz w:val="28"/>
          <w:szCs w:val="28"/>
          <w:lang w:eastAsia="en-US"/>
        </w:rPr>
      </w:pPr>
      <w:r w:rsidRPr="00C67536">
        <w:rPr>
          <w:rFonts w:ascii="Arial" w:eastAsia="Calibri" w:hAnsi="Arial" w:cs="Arial"/>
          <w:bCs/>
          <w:sz w:val="28"/>
          <w:szCs w:val="28"/>
          <w:lang w:eastAsia="en-US"/>
        </w:rPr>
        <w:t xml:space="preserve">COLABORÓ: </w:t>
      </w:r>
      <w:r w:rsidR="00224B2E" w:rsidRPr="00C67536">
        <w:rPr>
          <w:rFonts w:ascii="Arial" w:eastAsia="Calibri" w:hAnsi="Arial" w:cs="Arial"/>
          <w:bCs/>
          <w:sz w:val="28"/>
          <w:szCs w:val="28"/>
          <w:lang w:eastAsia="en-US"/>
        </w:rPr>
        <w:t>MARÍA JOSÉ AÑORVE FERNÁNDEZ.</w:t>
      </w:r>
    </w:p>
    <w:p w14:paraId="43F04861" w14:textId="77777777" w:rsidR="004377F5" w:rsidRPr="00C67536" w:rsidRDefault="004377F5" w:rsidP="006527EB">
      <w:pPr>
        <w:rPr>
          <w:rFonts w:ascii="Arial" w:hAnsi="Arial" w:cs="Arial"/>
          <w:b/>
          <w:sz w:val="28"/>
          <w:szCs w:val="28"/>
        </w:rPr>
      </w:pPr>
    </w:p>
    <w:p w14:paraId="74157C17" w14:textId="77777777" w:rsidR="00652869" w:rsidRPr="00C67536" w:rsidRDefault="00652869" w:rsidP="00652869">
      <w:pPr>
        <w:pStyle w:val="corte2ponente"/>
        <w:rPr>
          <w:rFonts w:cs="Arial"/>
          <w:sz w:val="28"/>
          <w:szCs w:val="28"/>
        </w:rPr>
      </w:pPr>
    </w:p>
    <w:p w14:paraId="774669CD" w14:textId="77777777" w:rsidR="006527EB" w:rsidRPr="00C67536" w:rsidRDefault="006527EB" w:rsidP="006527EB">
      <w:pPr>
        <w:rPr>
          <w:rFonts w:ascii="Arial" w:hAnsi="Arial" w:cs="Arial"/>
          <w:sz w:val="28"/>
          <w:szCs w:val="28"/>
        </w:rPr>
      </w:pPr>
    </w:p>
    <w:p w14:paraId="6355C998" w14:textId="77777777" w:rsidR="006527EB" w:rsidRPr="00C67536" w:rsidRDefault="006527EB" w:rsidP="009C3066">
      <w:pPr>
        <w:jc w:val="center"/>
        <w:rPr>
          <w:rFonts w:ascii="Arial" w:hAnsi="Arial" w:cs="Arial"/>
          <w:b/>
          <w:bCs/>
          <w:sz w:val="26"/>
          <w:szCs w:val="26"/>
        </w:rPr>
      </w:pPr>
      <w:r w:rsidRPr="00C67536">
        <w:rPr>
          <w:rFonts w:ascii="Arial" w:hAnsi="Arial" w:cs="Arial"/>
          <w:b/>
          <w:bCs/>
          <w:sz w:val="26"/>
          <w:szCs w:val="26"/>
        </w:rPr>
        <w:t>ÍNDICE TEMÁTICO</w:t>
      </w:r>
    </w:p>
    <w:p w14:paraId="6D23AA40" w14:textId="77777777" w:rsidR="006527EB" w:rsidRPr="00C67536" w:rsidRDefault="006527EB" w:rsidP="009C3066">
      <w:pPr>
        <w:rPr>
          <w:rFonts w:ascii="Arial" w:hAnsi="Arial" w:cs="Arial"/>
          <w:b/>
          <w:bCs/>
          <w:sz w:val="26"/>
          <w:szCs w:val="26"/>
        </w:rPr>
      </w:pPr>
    </w:p>
    <w:p w14:paraId="2384AC92" w14:textId="5C7477C3" w:rsidR="000D544F" w:rsidRPr="00C67536" w:rsidRDefault="006527EB" w:rsidP="009C3066">
      <w:pPr>
        <w:jc w:val="both"/>
        <w:rPr>
          <w:rFonts w:ascii="Arial" w:hAnsi="Arial" w:cs="Arial"/>
          <w:bCs/>
          <w:sz w:val="26"/>
          <w:szCs w:val="26"/>
        </w:rPr>
      </w:pPr>
      <w:r w:rsidRPr="00C67536">
        <w:rPr>
          <w:rFonts w:ascii="Arial" w:hAnsi="Arial" w:cs="Arial"/>
          <w:b/>
          <w:bCs/>
          <w:sz w:val="26"/>
          <w:szCs w:val="26"/>
        </w:rPr>
        <w:t>Hechos:</w:t>
      </w:r>
      <w:r w:rsidR="000D544F" w:rsidRPr="00C67536">
        <w:rPr>
          <w:rFonts w:ascii="Arial" w:hAnsi="Arial" w:cs="Arial"/>
          <w:b/>
          <w:bCs/>
          <w:sz w:val="26"/>
          <w:szCs w:val="26"/>
        </w:rPr>
        <w:t xml:space="preserve"> </w:t>
      </w:r>
      <w:r w:rsidR="000D544F" w:rsidRPr="00C67536">
        <w:rPr>
          <w:rFonts w:ascii="Arial" w:hAnsi="Arial" w:cs="Arial"/>
          <w:bCs/>
          <w:color w:val="000000"/>
          <w:sz w:val="26"/>
          <w:szCs w:val="26"/>
        </w:rPr>
        <w:t>La quejosa</w:t>
      </w:r>
      <w:r w:rsidR="002F2407" w:rsidRPr="00C67536">
        <w:rPr>
          <w:rFonts w:ascii="Arial" w:hAnsi="Arial" w:cs="Arial"/>
          <w:bCs/>
          <w:color w:val="000000"/>
          <w:sz w:val="26"/>
          <w:szCs w:val="26"/>
        </w:rPr>
        <w:t xml:space="preserve"> es una empresa que se dedica primordialmente a la</w:t>
      </w:r>
      <w:r w:rsidR="000D544F" w:rsidRPr="00C67536">
        <w:rPr>
          <w:rFonts w:ascii="Arial" w:hAnsi="Arial" w:cs="Arial"/>
          <w:bCs/>
          <w:color w:val="000000"/>
          <w:sz w:val="26"/>
          <w:szCs w:val="26"/>
        </w:rPr>
        <w:t xml:space="preserve"> comercialización, distribución, promoción, explotación, importación y exportación de todo tipo de </w:t>
      </w:r>
      <w:r w:rsidR="00FD31A1" w:rsidRPr="00C67536">
        <w:rPr>
          <w:rFonts w:ascii="Arial" w:hAnsi="Arial" w:cs="Arial"/>
          <w:bCs/>
          <w:color w:val="000000"/>
          <w:sz w:val="26"/>
          <w:szCs w:val="26"/>
        </w:rPr>
        <w:t>productos, entre</w:t>
      </w:r>
      <w:r w:rsidR="002F2407" w:rsidRPr="00C67536">
        <w:rPr>
          <w:rFonts w:ascii="Arial" w:hAnsi="Arial" w:cs="Arial"/>
          <w:bCs/>
          <w:color w:val="000000"/>
          <w:sz w:val="26"/>
          <w:szCs w:val="26"/>
        </w:rPr>
        <w:t xml:space="preserve"> ellos, </w:t>
      </w:r>
      <w:r w:rsidR="000D544F" w:rsidRPr="00C67536">
        <w:rPr>
          <w:rFonts w:ascii="Arial" w:hAnsi="Arial" w:cs="Arial"/>
          <w:bCs/>
          <w:color w:val="000000"/>
          <w:sz w:val="26"/>
          <w:szCs w:val="26"/>
        </w:rPr>
        <w:t>de bebidas, refrescos, jugos, néctares y sus concentrados.</w:t>
      </w:r>
    </w:p>
    <w:p w14:paraId="33DD1948" w14:textId="77777777" w:rsidR="000D544F" w:rsidRPr="00C67536" w:rsidRDefault="000D544F" w:rsidP="009C3066">
      <w:pPr>
        <w:pStyle w:val="ListParagraph"/>
        <w:rPr>
          <w:rFonts w:ascii="Arial" w:hAnsi="Arial" w:cs="Arial"/>
          <w:bCs/>
          <w:color w:val="000000"/>
          <w:sz w:val="26"/>
          <w:szCs w:val="26"/>
        </w:rPr>
      </w:pPr>
    </w:p>
    <w:p w14:paraId="060688AE" w14:textId="4364E95A" w:rsidR="00582DE8" w:rsidRPr="00C67536" w:rsidRDefault="00FD31A1" w:rsidP="009C3066">
      <w:pPr>
        <w:pStyle w:val="corte4fondo"/>
        <w:tabs>
          <w:tab w:val="center" w:pos="4420"/>
          <w:tab w:val="left" w:pos="6975"/>
        </w:tabs>
        <w:spacing w:line="240" w:lineRule="auto"/>
        <w:ind w:firstLine="0"/>
        <w:rPr>
          <w:rFonts w:cs="Arial"/>
          <w:color w:val="000000"/>
          <w:sz w:val="26"/>
          <w:szCs w:val="26"/>
        </w:rPr>
      </w:pPr>
      <w:r w:rsidRPr="00C67536">
        <w:rPr>
          <w:rFonts w:cs="Arial"/>
          <w:b/>
          <w:color w:val="000000"/>
          <w:sz w:val="26"/>
          <w:szCs w:val="26"/>
          <w:lang w:val="es-MX"/>
        </w:rPr>
        <w:t xml:space="preserve">Demanda. </w:t>
      </w:r>
      <w:r w:rsidRPr="00C67536">
        <w:rPr>
          <w:rFonts w:cs="Arial"/>
          <w:bCs/>
          <w:color w:val="000000"/>
          <w:sz w:val="26"/>
          <w:szCs w:val="26"/>
          <w:lang w:val="es-MX"/>
        </w:rPr>
        <w:t>E</w:t>
      </w:r>
      <w:r w:rsidR="000D544F" w:rsidRPr="00C67536">
        <w:rPr>
          <w:rFonts w:cs="Arial"/>
          <w:bCs/>
          <w:color w:val="000000"/>
          <w:sz w:val="26"/>
          <w:szCs w:val="26"/>
          <w:lang w:val="es-MX"/>
        </w:rPr>
        <w:t xml:space="preserve">l </w:t>
      </w:r>
      <w:r w:rsidR="000D544F" w:rsidRPr="00C67536">
        <w:rPr>
          <w:rFonts w:cs="Arial"/>
          <w:color w:val="000000"/>
          <w:sz w:val="26"/>
          <w:szCs w:val="26"/>
          <w:lang w:val="es-MX"/>
        </w:rPr>
        <w:t>veintidós de octubre de dos mil veinte,</w:t>
      </w:r>
      <w:r w:rsidR="000D544F" w:rsidRPr="00C67536">
        <w:rPr>
          <w:rFonts w:cs="Arial"/>
          <w:b/>
          <w:bCs/>
          <w:color w:val="000000"/>
          <w:sz w:val="26"/>
          <w:szCs w:val="26"/>
        </w:rPr>
        <w:t xml:space="preserve"> </w:t>
      </w:r>
      <w:r w:rsidR="000D544F" w:rsidRPr="00C67536">
        <w:rPr>
          <w:rFonts w:cs="Arial"/>
          <w:color w:val="000000"/>
          <w:sz w:val="26"/>
          <w:szCs w:val="26"/>
        </w:rPr>
        <w:t>solicitó el amparo y protección de la Justicia Federal</w:t>
      </w:r>
      <w:r w:rsidRPr="00C67536">
        <w:rPr>
          <w:rFonts w:cs="Arial"/>
          <w:color w:val="000000"/>
          <w:sz w:val="26"/>
          <w:szCs w:val="26"/>
        </w:rPr>
        <w:t xml:space="preserve">, en contra de la </w:t>
      </w:r>
      <w:r w:rsidR="000D544F" w:rsidRPr="00C67536">
        <w:rPr>
          <w:rFonts w:eastAsiaTheme="minorHAnsi" w:cs="Arial"/>
          <w:sz w:val="26"/>
          <w:szCs w:val="26"/>
          <w:lang w:val="es-MX" w:eastAsia="en-US"/>
        </w:rPr>
        <w:t xml:space="preserve">discusión, votación, aprobación, expedición y promulgación del Decreto por el que se reforman y adicionan diversas disposiciones de la Ley General de Salud, en materia de sobrepeso, obesidad y de etiquetado de alimentos y bebidas </w:t>
      </w:r>
      <w:r w:rsidR="002760D5" w:rsidRPr="00C67536">
        <w:rPr>
          <w:rFonts w:eastAsiaTheme="minorHAnsi" w:cs="Arial"/>
          <w:sz w:val="26"/>
          <w:szCs w:val="26"/>
          <w:lang w:val="es-MX" w:eastAsia="en-US"/>
        </w:rPr>
        <w:t xml:space="preserve">no </w:t>
      </w:r>
      <w:r w:rsidR="000D544F" w:rsidRPr="00C67536">
        <w:rPr>
          <w:rFonts w:eastAsiaTheme="minorHAnsi" w:cs="Arial"/>
          <w:sz w:val="26"/>
          <w:szCs w:val="26"/>
          <w:lang w:val="es-MX" w:eastAsia="en-US"/>
        </w:rPr>
        <w:t>alcohólicas, publicado en el Diario Oficial de la Federación el ocho de noviembre de dos mil diecinueve, en específico los artículos 212, párrafo tercero y 215, fracción VI</w:t>
      </w:r>
      <w:r w:rsidR="00CA7955" w:rsidRPr="00C67536">
        <w:rPr>
          <w:rFonts w:eastAsiaTheme="minorHAnsi" w:cs="Arial"/>
          <w:sz w:val="26"/>
          <w:szCs w:val="26"/>
          <w:lang w:val="es-MX" w:eastAsia="en-US"/>
        </w:rPr>
        <w:t>.</w:t>
      </w:r>
    </w:p>
    <w:p w14:paraId="32A5AEA2" w14:textId="1B15E6B5" w:rsidR="000D544F" w:rsidRPr="00C67536" w:rsidRDefault="00582DE8" w:rsidP="009C3066">
      <w:pPr>
        <w:pStyle w:val="corte4fondo"/>
        <w:tabs>
          <w:tab w:val="center" w:pos="4420"/>
          <w:tab w:val="left" w:pos="6975"/>
        </w:tabs>
        <w:spacing w:line="240" w:lineRule="auto"/>
        <w:ind w:firstLine="0"/>
        <w:rPr>
          <w:rFonts w:eastAsiaTheme="minorHAnsi" w:cs="Arial"/>
          <w:sz w:val="26"/>
          <w:szCs w:val="26"/>
          <w:lang w:val="es-MX" w:eastAsia="en-US"/>
        </w:rPr>
      </w:pPr>
      <w:r w:rsidRPr="00C67536">
        <w:rPr>
          <w:rFonts w:cs="Arial"/>
          <w:color w:val="000000"/>
          <w:sz w:val="26"/>
          <w:szCs w:val="26"/>
        </w:rPr>
        <w:t>Asimismo, contra l</w:t>
      </w:r>
      <w:r w:rsidR="000D544F" w:rsidRPr="00C67536">
        <w:rPr>
          <w:rFonts w:eastAsiaTheme="minorHAnsi" w:cs="Arial"/>
          <w:sz w:val="26"/>
          <w:szCs w:val="26"/>
          <w:lang w:val="es-MX" w:eastAsia="en-US"/>
        </w:rPr>
        <w:t>a expedición de la “Modificación a la Norma Oficial Mexicana NOM-051-</w:t>
      </w:r>
      <w:r w:rsidR="000D544F" w:rsidRPr="00C67536">
        <w:rPr>
          <w:rFonts w:eastAsiaTheme="minorHAnsi" w:cs="Arial"/>
          <w:sz w:val="26"/>
          <w:szCs w:val="26"/>
          <w:lang w:eastAsia="en-US"/>
        </w:rPr>
        <w:t>SCF</w:t>
      </w:r>
      <w:r w:rsidR="002760D5" w:rsidRPr="00C67536">
        <w:rPr>
          <w:rFonts w:eastAsiaTheme="minorHAnsi" w:cs="Arial"/>
          <w:sz w:val="26"/>
          <w:szCs w:val="26"/>
          <w:lang w:eastAsia="en-US"/>
        </w:rPr>
        <w:t>I</w:t>
      </w:r>
      <w:r w:rsidR="000D544F" w:rsidRPr="00C67536">
        <w:rPr>
          <w:rFonts w:eastAsiaTheme="minorHAnsi" w:cs="Arial"/>
          <w:sz w:val="26"/>
          <w:szCs w:val="26"/>
          <w:lang w:eastAsia="en-US"/>
        </w:rPr>
        <w:t>/SSA1-2010, Especificaciones generales de etiquetado para alimentos y bebidas no alcohólicas preenvasados-información comercial y sanitaria, publicada en el Diario Oficial de la Federación el veintisiete de marzo de dos mil veinte, en especial los numerales 1, 3.31, 3.38, 3.42, 3.47, 4.5 (4.5.1, 4.5.3, 4.5.3.4 y 4.5.3.4.1 a 4.5.3.4.7)  7.1.3</w:t>
      </w:r>
      <w:r w:rsidR="00FD22CC" w:rsidRPr="00C67536">
        <w:rPr>
          <w:rFonts w:eastAsiaTheme="minorHAnsi" w:cs="Arial"/>
          <w:sz w:val="26"/>
          <w:szCs w:val="26"/>
          <w:lang w:eastAsia="en-US"/>
        </w:rPr>
        <w:t>,</w:t>
      </w:r>
      <w:r w:rsidR="000D544F" w:rsidRPr="00C67536">
        <w:rPr>
          <w:rFonts w:eastAsiaTheme="minorHAnsi" w:cs="Arial"/>
          <w:sz w:val="26"/>
          <w:szCs w:val="26"/>
          <w:lang w:eastAsia="en-US"/>
        </w:rPr>
        <w:t xml:space="preserve"> Apéndice</w:t>
      </w:r>
      <w:r w:rsidR="00FD22CC" w:rsidRPr="00C67536">
        <w:rPr>
          <w:rFonts w:eastAsiaTheme="minorHAnsi" w:cs="Arial"/>
          <w:sz w:val="26"/>
          <w:szCs w:val="26"/>
          <w:lang w:eastAsia="en-US"/>
        </w:rPr>
        <w:t xml:space="preserve"> y </w:t>
      </w:r>
      <w:r w:rsidR="000D544F" w:rsidRPr="00C67536">
        <w:rPr>
          <w:rFonts w:eastAsiaTheme="minorHAnsi" w:cs="Arial"/>
          <w:sz w:val="26"/>
          <w:szCs w:val="26"/>
          <w:lang w:eastAsia="en-US"/>
        </w:rPr>
        <w:t>“Nota Aclaratoria” que emiten la Secretaría de Economía y la Secretaría de Salud</w:t>
      </w:r>
      <w:r w:rsidR="000D544F" w:rsidRPr="00C67536">
        <w:rPr>
          <w:rFonts w:eastAsiaTheme="minorHAnsi" w:cs="Arial"/>
          <w:sz w:val="26"/>
          <w:szCs w:val="26"/>
          <w:lang w:val="es-MX" w:eastAsia="en-US"/>
        </w:rPr>
        <w:t>.</w:t>
      </w:r>
    </w:p>
    <w:p w14:paraId="19295B30" w14:textId="77777777" w:rsidR="000D544F" w:rsidRPr="00C67536" w:rsidRDefault="000D544F" w:rsidP="009C3066">
      <w:pPr>
        <w:pStyle w:val="corte4fondo"/>
        <w:tabs>
          <w:tab w:val="center" w:pos="4420"/>
          <w:tab w:val="left" w:pos="6975"/>
        </w:tabs>
        <w:spacing w:line="240" w:lineRule="auto"/>
        <w:ind w:left="709"/>
        <w:rPr>
          <w:rFonts w:eastAsiaTheme="minorHAnsi" w:cs="Arial"/>
          <w:b/>
          <w:bCs/>
          <w:i/>
          <w:iCs/>
          <w:sz w:val="26"/>
          <w:szCs w:val="26"/>
          <w:lang w:val="es-MX" w:eastAsia="en-US"/>
        </w:rPr>
      </w:pPr>
    </w:p>
    <w:p w14:paraId="16625901" w14:textId="7B8ACFCB" w:rsidR="000D544F" w:rsidRPr="00C67536" w:rsidRDefault="003F0BF0" w:rsidP="009C3066">
      <w:pPr>
        <w:pStyle w:val="corte4fondo"/>
        <w:tabs>
          <w:tab w:val="center" w:pos="4420"/>
          <w:tab w:val="left" w:pos="6975"/>
        </w:tabs>
        <w:spacing w:line="240" w:lineRule="auto"/>
        <w:ind w:firstLine="0"/>
        <w:rPr>
          <w:rFonts w:eastAsiaTheme="minorHAnsi" w:cs="Arial"/>
          <w:color w:val="000000"/>
          <w:sz w:val="26"/>
          <w:szCs w:val="26"/>
          <w:lang w:eastAsia="en-US"/>
        </w:rPr>
      </w:pPr>
      <w:r w:rsidRPr="00C67536">
        <w:rPr>
          <w:rFonts w:cs="Arial"/>
          <w:b/>
          <w:color w:val="000000"/>
          <w:sz w:val="26"/>
          <w:szCs w:val="26"/>
        </w:rPr>
        <w:t>Radicación de la demanda.</w:t>
      </w:r>
      <w:r w:rsidRPr="00C67536">
        <w:rPr>
          <w:rFonts w:cs="Arial"/>
          <w:bCs/>
          <w:color w:val="000000"/>
          <w:sz w:val="26"/>
          <w:szCs w:val="26"/>
        </w:rPr>
        <w:t xml:space="preserve"> </w:t>
      </w:r>
      <w:r w:rsidR="00FD22CC" w:rsidRPr="00C67536">
        <w:rPr>
          <w:rFonts w:cs="Arial"/>
          <w:bCs/>
          <w:color w:val="000000"/>
          <w:sz w:val="26"/>
          <w:szCs w:val="26"/>
        </w:rPr>
        <w:t xml:space="preserve">El </w:t>
      </w:r>
      <w:r w:rsidR="000D544F" w:rsidRPr="00C67536">
        <w:rPr>
          <w:rFonts w:cs="Arial"/>
          <w:bCs/>
          <w:color w:val="000000"/>
          <w:sz w:val="26"/>
          <w:szCs w:val="26"/>
        </w:rPr>
        <w:t xml:space="preserve">Juzgado Decimoquinto de Distrito en Materia </w:t>
      </w:r>
      <w:r w:rsidR="000D544F" w:rsidRPr="00C67536">
        <w:rPr>
          <w:rFonts w:cs="Arial"/>
          <w:bCs/>
          <w:color w:val="000000"/>
          <w:sz w:val="26"/>
          <w:szCs w:val="26"/>
          <w:lang w:val="es-MX"/>
        </w:rPr>
        <w:t>Administrativa en la Ciudad de México</w:t>
      </w:r>
      <w:r w:rsidR="000D544F" w:rsidRPr="00C67536">
        <w:rPr>
          <w:rFonts w:cs="Arial"/>
          <w:bCs/>
          <w:color w:val="000000"/>
          <w:sz w:val="26"/>
          <w:szCs w:val="26"/>
        </w:rPr>
        <w:t>,</w:t>
      </w:r>
      <w:r w:rsidR="00FD22CC" w:rsidRPr="00C67536">
        <w:rPr>
          <w:rFonts w:cs="Arial"/>
          <w:bCs/>
          <w:color w:val="000000"/>
          <w:sz w:val="26"/>
          <w:szCs w:val="26"/>
        </w:rPr>
        <w:t xml:space="preserve"> conoció de la demanda y </w:t>
      </w:r>
      <w:r w:rsidR="000E4C71">
        <w:rPr>
          <w:rFonts w:cs="Arial"/>
          <w:bCs/>
          <w:color w:val="000000"/>
          <w:sz w:val="26"/>
          <w:szCs w:val="26"/>
        </w:rPr>
        <w:t>mediante sentencia del trece de octubre de dos mil veintiuno terminada de engrosar el veintiséis de enero de dos mil veintidós</w:t>
      </w:r>
      <w:r w:rsidR="000D544F" w:rsidRPr="00C67536">
        <w:rPr>
          <w:rFonts w:cs="Arial"/>
          <w:bCs/>
          <w:color w:val="000000"/>
          <w:sz w:val="26"/>
          <w:szCs w:val="26"/>
          <w:lang w:val="es-MX"/>
        </w:rPr>
        <w:t xml:space="preserve"> se resolvió sobreseer en el juicio y negar la protección de la Justicia Federal</w:t>
      </w:r>
      <w:r w:rsidR="00FD22CC" w:rsidRPr="00C67536">
        <w:rPr>
          <w:rFonts w:cs="Arial"/>
          <w:bCs/>
          <w:color w:val="000000"/>
          <w:sz w:val="26"/>
          <w:szCs w:val="26"/>
          <w:lang w:val="es-MX"/>
        </w:rPr>
        <w:t>.</w:t>
      </w:r>
    </w:p>
    <w:p w14:paraId="55FD2971" w14:textId="77777777" w:rsidR="000D544F" w:rsidRPr="00C67536" w:rsidRDefault="000D544F" w:rsidP="009C3066">
      <w:pPr>
        <w:pStyle w:val="corte4fondo"/>
        <w:tabs>
          <w:tab w:val="center" w:pos="4420"/>
          <w:tab w:val="left" w:pos="6975"/>
        </w:tabs>
        <w:spacing w:line="240" w:lineRule="auto"/>
        <w:ind w:hanging="567"/>
        <w:rPr>
          <w:rFonts w:cs="Arial"/>
          <w:b/>
          <w:color w:val="000000"/>
          <w:sz w:val="26"/>
          <w:szCs w:val="26"/>
          <w:lang w:val="es-MX"/>
        </w:rPr>
      </w:pPr>
    </w:p>
    <w:p w14:paraId="6C2BC916" w14:textId="053F7727" w:rsidR="000D544F" w:rsidRPr="00C67536" w:rsidRDefault="000D544F" w:rsidP="009C3066">
      <w:pPr>
        <w:pStyle w:val="corte4fondo"/>
        <w:tabs>
          <w:tab w:val="center" w:pos="4420"/>
          <w:tab w:val="left" w:pos="6975"/>
        </w:tabs>
        <w:spacing w:line="240" w:lineRule="auto"/>
        <w:ind w:firstLine="0"/>
        <w:rPr>
          <w:rFonts w:cs="Arial"/>
          <w:bCs/>
          <w:color w:val="000000"/>
          <w:sz w:val="26"/>
          <w:szCs w:val="26"/>
        </w:rPr>
      </w:pPr>
      <w:r w:rsidRPr="00C67536">
        <w:rPr>
          <w:rFonts w:cs="Arial"/>
          <w:b/>
          <w:color w:val="000000"/>
          <w:sz w:val="26"/>
          <w:szCs w:val="26"/>
          <w:lang w:val="es-MX"/>
        </w:rPr>
        <w:t>Recurso de revisión</w:t>
      </w:r>
      <w:r w:rsidRPr="00C67536">
        <w:rPr>
          <w:rFonts w:cs="Arial"/>
          <w:bCs/>
          <w:color w:val="000000"/>
          <w:sz w:val="26"/>
          <w:szCs w:val="26"/>
          <w:lang w:val="es-MX"/>
        </w:rPr>
        <w:t xml:space="preserve">. </w:t>
      </w:r>
      <w:r w:rsidRPr="00C67536">
        <w:rPr>
          <w:rFonts w:cs="Arial"/>
          <w:bCs/>
          <w:color w:val="000000"/>
          <w:sz w:val="26"/>
          <w:szCs w:val="26"/>
        </w:rPr>
        <w:t>Inconforme con</w:t>
      </w:r>
      <w:r w:rsidR="00FD22CC" w:rsidRPr="00C67536">
        <w:rPr>
          <w:rFonts w:cs="Arial"/>
          <w:bCs/>
          <w:color w:val="000000"/>
          <w:sz w:val="26"/>
          <w:szCs w:val="26"/>
        </w:rPr>
        <w:t xml:space="preserve"> ello</w:t>
      </w:r>
      <w:r w:rsidRPr="00C67536">
        <w:rPr>
          <w:rFonts w:cs="Arial"/>
          <w:bCs/>
          <w:color w:val="000000"/>
          <w:sz w:val="26"/>
          <w:szCs w:val="26"/>
        </w:rPr>
        <w:t>, la quejosa</w:t>
      </w:r>
      <w:r w:rsidR="00FD22CC" w:rsidRPr="00C67536">
        <w:rPr>
          <w:rFonts w:cs="Arial"/>
          <w:bCs/>
          <w:color w:val="000000"/>
          <w:sz w:val="26"/>
          <w:szCs w:val="26"/>
        </w:rPr>
        <w:t xml:space="preserve"> </w:t>
      </w:r>
      <w:r w:rsidRPr="00C67536">
        <w:rPr>
          <w:rFonts w:cs="Arial"/>
          <w:bCs/>
          <w:color w:val="000000"/>
          <w:sz w:val="26"/>
          <w:szCs w:val="26"/>
          <w:lang w:val="es-MX"/>
        </w:rPr>
        <w:t>interpuso recurso de revisión</w:t>
      </w:r>
      <w:r w:rsidR="008D2DDE" w:rsidRPr="00C67536">
        <w:rPr>
          <w:rFonts w:cs="Arial"/>
          <w:bCs/>
          <w:color w:val="000000"/>
          <w:sz w:val="26"/>
          <w:szCs w:val="26"/>
          <w:lang w:val="es-MX"/>
        </w:rPr>
        <w:t xml:space="preserve">. Por su parte, el </w:t>
      </w:r>
      <w:r w:rsidR="008D2DDE" w:rsidRPr="00C67536">
        <w:rPr>
          <w:rFonts w:cs="Arial"/>
          <w:bCs/>
          <w:color w:val="000000"/>
          <w:sz w:val="26"/>
          <w:szCs w:val="26"/>
        </w:rPr>
        <w:t>Director General de Normas, por sí y en su carácter de Presidente del Comité Consultivo Nacional de Normalización de la Secretaría de Economía, a través de la Directora de Cámaras Empresariales y Desarrollo Regional, presentó recurso de revisión adhesivo.</w:t>
      </w:r>
    </w:p>
    <w:p w14:paraId="14B1D950" w14:textId="77777777" w:rsidR="003F0BF0" w:rsidRPr="00C67536" w:rsidRDefault="003F0BF0" w:rsidP="009C3066">
      <w:pPr>
        <w:pStyle w:val="corte4fondo"/>
        <w:tabs>
          <w:tab w:val="center" w:pos="4420"/>
          <w:tab w:val="left" w:pos="6975"/>
        </w:tabs>
        <w:spacing w:line="240" w:lineRule="auto"/>
        <w:ind w:firstLine="0"/>
        <w:rPr>
          <w:rFonts w:cs="Arial"/>
          <w:b/>
          <w:color w:val="000000"/>
          <w:sz w:val="26"/>
          <w:szCs w:val="26"/>
        </w:rPr>
      </w:pPr>
    </w:p>
    <w:p w14:paraId="5CEEBF87" w14:textId="6A5C3C91" w:rsidR="000D544F" w:rsidRPr="00C67536" w:rsidRDefault="003F0BF0" w:rsidP="009C3066">
      <w:pPr>
        <w:pStyle w:val="corte4fondo"/>
        <w:tabs>
          <w:tab w:val="center" w:pos="4420"/>
          <w:tab w:val="left" w:pos="6975"/>
        </w:tabs>
        <w:spacing w:line="240" w:lineRule="auto"/>
        <w:ind w:firstLine="0"/>
        <w:rPr>
          <w:rFonts w:cs="Arial"/>
          <w:b/>
          <w:bCs/>
          <w:sz w:val="26"/>
          <w:szCs w:val="26"/>
        </w:rPr>
      </w:pPr>
      <w:r w:rsidRPr="00C67536">
        <w:rPr>
          <w:rFonts w:eastAsiaTheme="minorHAnsi" w:cs="Arial"/>
          <w:b/>
          <w:bCs/>
          <w:sz w:val="26"/>
          <w:szCs w:val="26"/>
          <w:lang w:eastAsia="en-US"/>
        </w:rPr>
        <w:t>Radicación del recurso</w:t>
      </w:r>
      <w:r w:rsidRPr="00C67536">
        <w:rPr>
          <w:rFonts w:eastAsiaTheme="minorHAnsi" w:cs="Arial"/>
          <w:sz w:val="26"/>
          <w:szCs w:val="26"/>
          <w:lang w:eastAsia="en-US"/>
        </w:rPr>
        <w:t xml:space="preserve">. </w:t>
      </w:r>
      <w:r w:rsidR="000D544F" w:rsidRPr="00C67536">
        <w:rPr>
          <w:rFonts w:eastAsiaTheme="minorHAnsi" w:cs="Arial"/>
          <w:sz w:val="26"/>
          <w:szCs w:val="26"/>
          <w:lang w:eastAsia="en-US"/>
        </w:rPr>
        <w:t>El Noveno Tribunal Colegiado en Materia Administrativa del Primer Circuito,</w:t>
      </w:r>
      <w:r w:rsidR="000D544F" w:rsidRPr="00C67536">
        <w:rPr>
          <w:rFonts w:eastAsiaTheme="minorHAnsi" w:cs="Arial"/>
          <w:b/>
          <w:bCs/>
          <w:sz w:val="26"/>
          <w:szCs w:val="26"/>
          <w:lang w:eastAsia="en-US"/>
        </w:rPr>
        <w:t xml:space="preserve"> </w:t>
      </w:r>
      <w:r w:rsidR="000D544F" w:rsidRPr="00C67536">
        <w:rPr>
          <w:rFonts w:eastAsiaTheme="minorHAnsi" w:cs="Arial"/>
          <w:sz w:val="26"/>
          <w:szCs w:val="26"/>
          <w:lang w:eastAsia="en-US"/>
        </w:rPr>
        <w:t>conoció del recurso</w:t>
      </w:r>
      <w:r w:rsidR="00A37527" w:rsidRPr="00C67536">
        <w:rPr>
          <w:rFonts w:eastAsiaTheme="minorHAnsi" w:cs="Arial"/>
          <w:sz w:val="26"/>
          <w:szCs w:val="26"/>
          <w:lang w:eastAsia="en-US"/>
        </w:rPr>
        <w:t xml:space="preserve"> y, en </w:t>
      </w:r>
      <w:r w:rsidR="000D544F" w:rsidRPr="00C67536">
        <w:rPr>
          <w:rFonts w:cs="Arial"/>
          <w:bCs/>
          <w:sz w:val="26"/>
          <w:szCs w:val="26"/>
          <w:lang w:val="es-MX"/>
        </w:rPr>
        <w:t xml:space="preserve">sesión de veintitrés de junio de dos mil veintidós, </w:t>
      </w:r>
      <w:r w:rsidR="00A37527" w:rsidRPr="00C67536">
        <w:rPr>
          <w:rFonts w:cs="Arial"/>
          <w:bCs/>
          <w:sz w:val="26"/>
          <w:szCs w:val="26"/>
          <w:lang w:val="es-MX"/>
        </w:rPr>
        <w:t xml:space="preserve"> determinó </w:t>
      </w:r>
      <w:r w:rsidR="000D544F" w:rsidRPr="00C67536">
        <w:rPr>
          <w:rFonts w:cs="Arial"/>
          <w:sz w:val="26"/>
          <w:szCs w:val="26"/>
          <w:lang w:val="es-MX"/>
        </w:rPr>
        <w:t>sobreseer en el juicio de amparo por los actos reclamados al Director General de Normas de la Secretaría de Economía y al Comisionado Federal para la Protección contra Riesgos Sanitarios</w:t>
      </w:r>
      <w:r w:rsidR="00A37527" w:rsidRPr="00C67536">
        <w:rPr>
          <w:rFonts w:cs="Arial"/>
          <w:sz w:val="26"/>
          <w:szCs w:val="26"/>
          <w:lang w:val="es-MX"/>
        </w:rPr>
        <w:t xml:space="preserve"> y ordenó </w:t>
      </w:r>
      <w:r w:rsidR="000D544F" w:rsidRPr="00C67536">
        <w:rPr>
          <w:rFonts w:cs="Arial"/>
          <w:sz w:val="26"/>
          <w:szCs w:val="26"/>
        </w:rPr>
        <w:t>la remisión</w:t>
      </w:r>
      <w:r w:rsidR="0082104A" w:rsidRPr="00C67536">
        <w:rPr>
          <w:rFonts w:cs="Arial"/>
          <w:sz w:val="26"/>
          <w:szCs w:val="26"/>
        </w:rPr>
        <w:t xml:space="preserve"> a este Máximo Tribunal, para resolver la </w:t>
      </w:r>
      <w:r w:rsidR="000D544F" w:rsidRPr="00C67536">
        <w:rPr>
          <w:rFonts w:cs="Arial"/>
          <w:sz w:val="26"/>
          <w:szCs w:val="26"/>
        </w:rPr>
        <w:t xml:space="preserve">constitucionalidad, </w:t>
      </w:r>
      <w:r w:rsidR="00AB7BBB" w:rsidRPr="00C67536">
        <w:rPr>
          <w:rFonts w:cs="Arial"/>
          <w:sz w:val="26"/>
          <w:szCs w:val="26"/>
        </w:rPr>
        <w:t>en relación con a la Modificación a la Norma Oficial Mexicana NOM-051-SCFI/SSA1-2010,</w:t>
      </w:r>
      <w:r w:rsidR="00064BE6" w:rsidRPr="00C67536">
        <w:rPr>
          <w:rFonts w:cs="Arial"/>
          <w:sz w:val="26"/>
          <w:szCs w:val="26"/>
        </w:rPr>
        <w:t xml:space="preserve"> Especificaciones generales de etiquetado para alimentos y bebidas no alcohólicas preenvasados-Información comercial y sanitaria, al controvertirse como un sistema normativo, el etiquetado frontal para</w:t>
      </w:r>
      <w:r w:rsidR="008B7403" w:rsidRPr="00C67536">
        <w:rPr>
          <w:rFonts w:cs="Arial"/>
          <w:sz w:val="26"/>
          <w:szCs w:val="26"/>
        </w:rPr>
        <w:t xml:space="preserve"> dichos</w:t>
      </w:r>
      <w:r w:rsidR="00064BE6" w:rsidRPr="00C67536">
        <w:rPr>
          <w:rFonts w:cs="Arial"/>
          <w:sz w:val="26"/>
          <w:szCs w:val="26"/>
        </w:rPr>
        <w:t xml:space="preserve"> alimentos</w:t>
      </w:r>
      <w:r w:rsidR="008B7403" w:rsidRPr="00C67536">
        <w:rPr>
          <w:rFonts w:cs="Arial"/>
          <w:sz w:val="26"/>
          <w:szCs w:val="26"/>
        </w:rPr>
        <w:t>,</w:t>
      </w:r>
      <w:r w:rsidR="000D544F" w:rsidRPr="00C67536">
        <w:rPr>
          <w:rFonts w:cs="Arial"/>
          <w:sz w:val="26"/>
          <w:szCs w:val="26"/>
        </w:rPr>
        <w:t xml:space="preserve"> el apéndice A (normativo), así como de la Nota Aclaratoria que emiten la Secretaría de Economía y la Secretaría de Salud</w:t>
      </w:r>
      <w:r w:rsidR="00064BE6" w:rsidRPr="00C67536">
        <w:rPr>
          <w:rFonts w:cs="Arial"/>
          <w:sz w:val="26"/>
          <w:szCs w:val="26"/>
        </w:rPr>
        <w:t>.</w:t>
      </w:r>
    </w:p>
    <w:p w14:paraId="28032BAE" w14:textId="77777777" w:rsidR="003D7D20" w:rsidRPr="00C67536" w:rsidRDefault="003D7D20" w:rsidP="005969F2">
      <w:pPr>
        <w:pStyle w:val="corte2ponente"/>
        <w:rPr>
          <w:rFonts w:cs="Arial"/>
          <w:caps w:val="0"/>
          <w:sz w:val="28"/>
          <w:szCs w:val="28"/>
        </w:rPr>
      </w:pPr>
    </w:p>
    <w:p w14:paraId="1CAF7CFE" w14:textId="77777777" w:rsidR="003D7D20" w:rsidRPr="00C67536" w:rsidRDefault="003D7D20" w:rsidP="00652869">
      <w:pPr>
        <w:pStyle w:val="corte2ponente"/>
        <w:rPr>
          <w:rFonts w:cs="Arial"/>
          <w:caps w:val="0"/>
          <w:sz w:val="28"/>
          <w:szCs w:val="28"/>
        </w:rPr>
      </w:pPr>
    </w:p>
    <w:tbl>
      <w:tblPr>
        <w:tblStyle w:val="TableGrid"/>
        <w:tblpPr w:leftFromText="141" w:rightFromText="141" w:vertAnchor="text" w:tblpY="1"/>
        <w:tblOverlap w:val="never"/>
        <w:tblW w:w="9067" w:type="dxa"/>
        <w:tblLayout w:type="fixed"/>
        <w:tblLook w:val="04A0" w:firstRow="1" w:lastRow="0" w:firstColumn="1" w:lastColumn="0" w:noHBand="0" w:noVBand="1"/>
      </w:tblPr>
      <w:tblGrid>
        <w:gridCol w:w="704"/>
        <w:gridCol w:w="3260"/>
        <w:gridCol w:w="3828"/>
        <w:gridCol w:w="1275"/>
      </w:tblGrid>
      <w:tr w:rsidR="006527EB" w:rsidRPr="00C67536" w14:paraId="7C45A0FE" w14:textId="77777777" w:rsidTr="00E9189D">
        <w:trPr>
          <w:trHeight w:val="641"/>
        </w:trPr>
        <w:tc>
          <w:tcPr>
            <w:tcW w:w="704" w:type="dxa"/>
            <w:shd w:val="clear" w:color="auto" w:fill="D9D9D9" w:themeFill="background1" w:themeFillShade="D9"/>
            <w:vAlign w:val="center"/>
          </w:tcPr>
          <w:p w14:paraId="135ADA64" w14:textId="77777777" w:rsidR="006527EB" w:rsidRPr="00C67536" w:rsidRDefault="006527EB" w:rsidP="00764D28">
            <w:pPr>
              <w:jc w:val="center"/>
              <w:rPr>
                <w:rFonts w:ascii="Arial" w:hAnsi="Arial" w:cs="Arial"/>
                <w:b/>
                <w:bCs/>
                <w:sz w:val="26"/>
                <w:szCs w:val="26"/>
              </w:rPr>
            </w:pPr>
          </w:p>
        </w:tc>
        <w:tc>
          <w:tcPr>
            <w:tcW w:w="3260" w:type="dxa"/>
            <w:shd w:val="clear" w:color="auto" w:fill="D9D9D9" w:themeFill="background1" w:themeFillShade="D9"/>
            <w:vAlign w:val="center"/>
          </w:tcPr>
          <w:p w14:paraId="1F78F80F" w14:textId="77777777" w:rsidR="006527EB" w:rsidRPr="00C67536" w:rsidRDefault="006527EB" w:rsidP="00764D28">
            <w:pPr>
              <w:jc w:val="center"/>
              <w:rPr>
                <w:rFonts w:ascii="Arial" w:hAnsi="Arial" w:cs="Arial"/>
                <w:b/>
                <w:sz w:val="26"/>
                <w:szCs w:val="26"/>
              </w:rPr>
            </w:pPr>
            <w:r w:rsidRPr="00C67536">
              <w:rPr>
                <w:rFonts w:ascii="Arial" w:hAnsi="Arial" w:cs="Arial"/>
                <w:b/>
                <w:sz w:val="26"/>
                <w:szCs w:val="26"/>
              </w:rPr>
              <w:t>Apartado</w:t>
            </w:r>
          </w:p>
        </w:tc>
        <w:tc>
          <w:tcPr>
            <w:tcW w:w="3828" w:type="dxa"/>
            <w:shd w:val="clear" w:color="auto" w:fill="D9D9D9" w:themeFill="background1" w:themeFillShade="D9"/>
            <w:vAlign w:val="center"/>
          </w:tcPr>
          <w:p w14:paraId="7ED12718" w14:textId="77777777" w:rsidR="006527EB" w:rsidRPr="00C67536" w:rsidRDefault="006527EB" w:rsidP="00764D28">
            <w:pPr>
              <w:jc w:val="center"/>
              <w:rPr>
                <w:rFonts w:ascii="Arial" w:hAnsi="Arial" w:cs="Arial"/>
                <w:b/>
                <w:sz w:val="26"/>
                <w:szCs w:val="26"/>
              </w:rPr>
            </w:pPr>
            <w:r w:rsidRPr="00C67536">
              <w:rPr>
                <w:rFonts w:ascii="Arial" w:hAnsi="Arial" w:cs="Arial"/>
                <w:b/>
                <w:sz w:val="26"/>
                <w:szCs w:val="26"/>
              </w:rPr>
              <w:t>Criterio y decisión</w:t>
            </w:r>
          </w:p>
        </w:tc>
        <w:tc>
          <w:tcPr>
            <w:tcW w:w="1275" w:type="dxa"/>
            <w:shd w:val="clear" w:color="auto" w:fill="D9D9D9" w:themeFill="background1" w:themeFillShade="D9"/>
            <w:vAlign w:val="center"/>
          </w:tcPr>
          <w:p w14:paraId="38D5C725" w14:textId="77777777" w:rsidR="006527EB" w:rsidRPr="00C67536" w:rsidRDefault="006527EB" w:rsidP="00764D28">
            <w:pPr>
              <w:jc w:val="center"/>
              <w:rPr>
                <w:rFonts w:ascii="Arial" w:hAnsi="Arial" w:cs="Arial"/>
                <w:b/>
                <w:sz w:val="26"/>
                <w:szCs w:val="26"/>
              </w:rPr>
            </w:pPr>
            <w:r w:rsidRPr="00C67536">
              <w:rPr>
                <w:rFonts w:ascii="Arial" w:hAnsi="Arial" w:cs="Arial"/>
                <w:b/>
                <w:sz w:val="26"/>
                <w:szCs w:val="26"/>
              </w:rPr>
              <w:t>Págs.</w:t>
            </w:r>
          </w:p>
        </w:tc>
      </w:tr>
      <w:tr w:rsidR="006527EB" w:rsidRPr="00C67536" w14:paraId="5BFC4E81" w14:textId="77777777" w:rsidTr="00E9189D">
        <w:trPr>
          <w:trHeight w:val="569"/>
        </w:trPr>
        <w:tc>
          <w:tcPr>
            <w:tcW w:w="704" w:type="dxa"/>
            <w:vAlign w:val="center"/>
          </w:tcPr>
          <w:p w14:paraId="163E2637" w14:textId="77777777" w:rsidR="006527EB" w:rsidRPr="00C67536" w:rsidRDefault="006527EB" w:rsidP="00764D28">
            <w:pPr>
              <w:jc w:val="center"/>
              <w:rPr>
                <w:rFonts w:ascii="Arial" w:hAnsi="Arial" w:cs="Arial"/>
                <w:b/>
                <w:bCs/>
                <w:sz w:val="26"/>
                <w:szCs w:val="26"/>
              </w:rPr>
            </w:pPr>
            <w:r w:rsidRPr="00C67536">
              <w:rPr>
                <w:rFonts w:ascii="Arial" w:hAnsi="Arial" w:cs="Arial"/>
                <w:b/>
                <w:bCs/>
                <w:sz w:val="26"/>
                <w:szCs w:val="26"/>
              </w:rPr>
              <w:t>I.</w:t>
            </w:r>
          </w:p>
        </w:tc>
        <w:tc>
          <w:tcPr>
            <w:tcW w:w="3260" w:type="dxa"/>
            <w:vAlign w:val="center"/>
          </w:tcPr>
          <w:p w14:paraId="694CBBDC" w14:textId="783774FA" w:rsidR="006527EB" w:rsidRPr="00C67536" w:rsidRDefault="006527EB" w:rsidP="00764D28">
            <w:pPr>
              <w:rPr>
                <w:rFonts w:ascii="Arial" w:hAnsi="Arial" w:cs="Arial"/>
                <w:b/>
                <w:sz w:val="26"/>
                <w:szCs w:val="26"/>
              </w:rPr>
            </w:pPr>
            <w:r w:rsidRPr="00C67536">
              <w:rPr>
                <w:rFonts w:ascii="Arial" w:hAnsi="Arial" w:cs="Arial"/>
                <w:b/>
                <w:sz w:val="26"/>
                <w:szCs w:val="26"/>
              </w:rPr>
              <w:t>COMPETENCIA</w:t>
            </w:r>
            <w:r w:rsidR="00586EEF">
              <w:rPr>
                <w:rFonts w:ascii="Arial" w:hAnsi="Arial" w:cs="Arial"/>
                <w:b/>
                <w:sz w:val="26"/>
                <w:szCs w:val="26"/>
              </w:rPr>
              <w:t>.</w:t>
            </w:r>
          </w:p>
        </w:tc>
        <w:tc>
          <w:tcPr>
            <w:tcW w:w="3828" w:type="dxa"/>
          </w:tcPr>
          <w:p w14:paraId="3FCFC362" w14:textId="28C227D0" w:rsidR="006527EB" w:rsidRPr="00C67536" w:rsidRDefault="005E0021" w:rsidP="00EA5950">
            <w:pPr>
              <w:jc w:val="both"/>
              <w:rPr>
                <w:rFonts w:ascii="Arial" w:hAnsi="Arial" w:cs="Arial"/>
                <w:sz w:val="26"/>
                <w:szCs w:val="26"/>
              </w:rPr>
            </w:pPr>
            <w:r w:rsidRPr="00C67536">
              <w:rPr>
                <w:rFonts w:ascii="Arial" w:hAnsi="Arial" w:cs="Arial"/>
                <w:sz w:val="26"/>
                <w:szCs w:val="26"/>
              </w:rPr>
              <w:t>E</w:t>
            </w:r>
            <w:r w:rsidR="00B138AD" w:rsidRPr="00C67536">
              <w:rPr>
                <w:rFonts w:ascii="Arial" w:hAnsi="Arial" w:cs="Arial"/>
                <w:sz w:val="26"/>
                <w:szCs w:val="26"/>
              </w:rPr>
              <w:t>l Pleno de este Máximo Tribunal</w:t>
            </w:r>
            <w:r w:rsidR="003337BB" w:rsidRPr="00C67536">
              <w:rPr>
                <w:rFonts w:ascii="Arial" w:hAnsi="Arial" w:cs="Arial"/>
                <w:sz w:val="26"/>
                <w:szCs w:val="26"/>
              </w:rPr>
              <w:t xml:space="preserve"> </w:t>
            </w:r>
            <w:r w:rsidR="006527EB" w:rsidRPr="00C67536">
              <w:rPr>
                <w:rFonts w:ascii="Arial" w:hAnsi="Arial" w:cs="Arial"/>
                <w:sz w:val="26"/>
                <w:szCs w:val="26"/>
              </w:rPr>
              <w:t xml:space="preserve">es </w:t>
            </w:r>
            <w:r w:rsidRPr="00C67536">
              <w:rPr>
                <w:rFonts w:ascii="Arial" w:hAnsi="Arial" w:cs="Arial"/>
                <w:sz w:val="26"/>
                <w:szCs w:val="26"/>
              </w:rPr>
              <w:t>c</w:t>
            </w:r>
            <w:r w:rsidR="006527EB" w:rsidRPr="00C67536">
              <w:rPr>
                <w:rFonts w:ascii="Arial" w:hAnsi="Arial" w:cs="Arial"/>
                <w:sz w:val="26"/>
                <w:szCs w:val="26"/>
              </w:rPr>
              <w:t>ompetente para conocer del presente asunto.</w:t>
            </w:r>
          </w:p>
          <w:p w14:paraId="208765FD" w14:textId="77777777" w:rsidR="00422AD1" w:rsidRPr="00C67536" w:rsidRDefault="00422AD1" w:rsidP="00EA5950">
            <w:pPr>
              <w:jc w:val="both"/>
              <w:rPr>
                <w:rFonts w:ascii="Arial" w:hAnsi="Arial" w:cs="Arial"/>
                <w:sz w:val="26"/>
                <w:szCs w:val="26"/>
              </w:rPr>
            </w:pPr>
          </w:p>
        </w:tc>
        <w:tc>
          <w:tcPr>
            <w:tcW w:w="1275" w:type="dxa"/>
          </w:tcPr>
          <w:p w14:paraId="05605728" w14:textId="304EEE37" w:rsidR="006527EB" w:rsidRPr="00C67536" w:rsidRDefault="00612D74" w:rsidP="00764D28">
            <w:pPr>
              <w:jc w:val="center"/>
              <w:rPr>
                <w:rFonts w:ascii="Arial" w:hAnsi="Arial" w:cs="Arial"/>
                <w:sz w:val="26"/>
                <w:szCs w:val="26"/>
              </w:rPr>
            </w:pPr>
            <w:r w:rsidRPr="00C67536">
              <w:rPr>
                <w:rFonts w:ascii="Arial" w:hAnsi="Arial" w:cs="Arial"/>
                <w:sz w:val="26"/>
                <w:szCs w:val="26"/>
              </w:rPr>
              <w:t>1</w:t>
            </w:r>
            <w:r w:rsidR="0047496D" w:rsidRPr="00C67536">
              <w:rPr>
                <w:rFonts w:ascii="Arial" w:hAnsi="Arial" w:cs="Arial"/>
                <w:sz w:val="26"/>
                <w:szCs w:val="26"/>
              </w:rPr>
              <w:t>3</w:t>
            </w:r>
            <w:r w:rsidR="007F2F09">
              <w:rPr>
                <w:rFonts w:ascii="Arial" w:hAnsi="Arial" w:cs="Arial"/>
                <w:sz w:val="26"/>
                <w:szCs w:val="26"/>
              </w:rPr>
              <w:t>-14</w:t>
            </w:r>
          </w:p>
        </w:tc>
      </w:tr>
      <w:tr w:rsidR="006527EB" w:rsidRPr="00C67536" w14:paraId="4F43EA9F" w14:textId="77777777" w:rsidTr="00E9189D">
        <w:trPr>
          <w:trHeight w:val="505"/>
        </w:trPr>
        <w:tc>
          <w:tcPr>
            <w:tcW w:w="704" w:type="dxa"/>
            <w:vAlign w:val="center"/>
          </w:tcPr>
          <w:p w14:paraId="795C94CF" w14:textId="77777777" w:rsidR="006527EB" w:rsidRPr="00C67536" w:rsidRDefault="006527EB" w:rsidP="00764D28">
            <w:pPr>
              <w:jc w:val="center"/>
              <w:rPr>
                <w:rFonts w:ascii="Arial" w:hAnsi="Arial" w:cs="Arial"/>
                <w:b/>
                <w:bCs/>
                <w:sz w:val="26"/>
                <w:szCs w:val="26"/>
              </w:rPr>
            </w:pPr>
            <w:r w:rsidRPr="00C67536">
              <w:rPr>
                <w:rFonts w:ascii="Arial" w:hAnsi="Arial" w:cs="Arial"/>
                <w:b/>
                <w:bCs/>
                <w:sz w:val="26"/>
                <w:szCs w:val="26"/>
              </w:rPr>
              <w:t>II.</w:t>
            </w:r>
          </w:p>
        </w:tc>
        <w:tc>
          <w:tcPr>
            <w:tcW w:w="3260" w:type="dxa"/>
            <w:vAlign w:val="center"/>
          </w:tcPr>
          <w:p w14:paraId="6FC5C341" w14:textId="028FA478" w:rsidR="006527EB" w:rsidRPr="00C67536" w:rsidRDefault="006527EB" w:rsidP="00764D28">
            <w:pPr>
              <w:rPr>
                <w:rFonts w:ascii="Arial" w:hAnsi="Arial" w:cs="Arial"/>
                <w:b/>
                <w:sz w:val="26"/>
                <w:szCs w:val="26"/>
              </w:rPr>
            </w:pPr>
            <w:r w:rsidRPr="00C67536">
              <w:rPr>
                <w:rFonts w:ascii="Arial" w:hAnsi="Arial" w:cs="Arial"/>
                <w:b/>
                <w:sz w:val="26"/>
                <w:szCs w:val="26"/>
              </w:rPr>
              <w:t>OPORTUNIDAD</w:t>
            </w:r>
            <w:r w:rsidR="00586EEF">
              <w:rPr>
                <w:rFonts w:ascii="Arial" w:hAnsi="Arial" w:cs="Arial"/>
                <w:b/>
                <w:sz w:val="26"/>
                <w:szCs w:val="26"/>
              </w:rPr>
              <w:t>.</w:t>
            </w:r>
          </w:p>
        </w:tc>
        <w:tc>
          <w:tcPr>
            <w:tcW w:w="3828" w:type="dxa"/>
          </w:tcPr>
          <w:p w14:paraId="10E090C6" w14:textId="6E544E36" w:rsidR="008B755F" w:rsidRPr="00C67536" w:rsidRDefault="00134022" w:rsidP="00EA5950">
            <w:pPr>
              <w:jc w:val="both"/>
              <w:rPr>
                <w:rFonts w:ascii="Arial" w:hAnsi="Arial" w:cs="Arial"/>
                <w:sz w:val="26"/>
                <w:szCs w:val="26"/>
              </w:rPr>
            </w:pPr>
            <w:r w:rsidRPr="00C67536">
              <w:rPr>
                <w:rFonts w:ascii="Arial" w:hAnsi="Arial" w:cs="Arial"/>
                <w:sz w:val="26"/>
                <w:szCs w:val="26"/>
              </w:rPr>
              <w:t>Ya fue materia de análisis por el Tribunal Colegiado de Circuito.</w:t>
            </w:r>
          </w:p>
          <w:p w14:paraId="121EAEA9" w14:textId="77777777" w:rsidR="006527EB" w:rsidRPr="00C67536" w:rsidRDefault="006527EB" w:rsidP="00EA5950">
            <w:pPr>
              <w:jc w:val="both"/>
              <w:rPr>
                <w:rFonts w:ascii="Arial" w:hAnsi="Arial" w:cs="Arial"/>
                <w:sz w:val="26"/>
                <w:szCs w:val="26"/>
              </w:rPr>
            </w:pPr>
            <w:r w:rsidRPr="00C67536">
              <w:rPr>
                <w:rFonts w:ascii="Arial" w:hAnsi="Arial" w:cs="Arial"/>
                <w:sz w:val="26"/>
                <w:szCs w:val="26"/>
              </w:rPr>
              <w:t xml:space="preserve"> </w:t>
            </w:r>
          </w:p>
        </w:tc>
        <w:tc>
          <w:tcPr>
            <w:tcW w:w="1275" w:type="dxa"/>
          </w:tcPr>
          <w:p w14:paraId="3E1F3BBF" w14:textId="73AE45D2" w:rsidR="006527EB" w:rsidRPr="00C67536" w:rsidRDefault="00672BE4" w:rsidP="00764D28">
            <w:pPr>
              <w:jc w:val="center"/>
              <w:rPr>
                <w:rFonts w:ascii="Arial" w:hAnsi="Arial" w:cs="Arial"/>
                <w:sz w:val="26"/>
                <w:szCs w:val="26"/>
              </w:rPr>
            </w:pPr>
            <w:r w:rsidRPr="00C67536">
              <w:rPr>
                <w:rFonts w:ascii="Arial" w:hAnsi="Arial" w:cs="Arial"/>
                <w:sz w:val="26"/>
                <w:szCs w:val="26"/>
              </w:rPr>
              <w:t>1</w:t>
            </w:r>
            <w:r w:rsidR="0047496D" w:rsidRPr="00C67536">
              <w:rPr>
                <w:rFonts w:ascii="Arial" w:hAnsi="Arial" w:cs="Arial"/>
                <w:sz w:val="26"/>
                <w:szCs w:val="26"/>
              </w:rPr>
              <w:t>4</w:t>
            </w:r>
            <w:r w:rsidR="007F2F09">
              <w:rPr>
                <w:rFonts w:ascii="Arial" w:hAnsi="Arial" w:cs="Arial"/>
                <w:sz w:val="26"/>
                <w:szCs w:val="26"/>
              </w:rPr>
              <w:t>-15</w:t>
            </w:r>
          </w:p>
        </w:tc>
      </w:tr>
      <w:tr w:rsidR="006527EB" w:rsidRPr="00C67536" w14:paraId="29DDBD57" w14:textId="77777777" w:rsidTr="00E9189D">
        <w:trPr>
          <w:trHeight w:val="555"/>
        </w:trPr>
        <w:tc>
          <w:tcPr>
            <w:tcW w:w="704" w:type="dxa"/>
            <w:vAlign w:val="center"/>
          </w:tcPr>
          <w:p w14:paraId="7B8CC69A" w14:textId="77777777" w:rsidR="006527EB" w:rsidRPr="00C67536" w:rsidRDefault="006527EB" w:rsidP="00764D28">
            <w:pPr>
              <w:jc w:val="center"/>
              <w:rPr>
                <w:rFonts w:ascii="Arial" w:hAnsi="Arial" w:cs="Arial"/>
                <w:b/>
                <w:bCs/>
                <w:sz w:val="26"/>
                <w:szCs w:val="26"/>
              </w:rPr>
            </w:pPr>
            <w:r w:rsidRPr="00C67536">
              <w:rPr>
                <w:rFonts w:ascii="Arial" w:hAnsi="Arial" w:cs="Arial"/>
                <w:b/>
                <w:bCs/>
                <w:sz w:val="26"/>
                <w:szCs w:val="26"/>
              </w:rPr>
              <w:t>III.</w:t>
            </w:r>
          </w:p>
        </w:tc>
        <w:tc>
          <w:tcPr>
            <w:tcW w:w="3260" w:type="dxa"/>
            <w:vAlign w:val="center"/>
          </w:tcPr>
          <w:p w14:paraId="62ABF0EA" w14:textId="5BA536A1" w:rsidR="006527EB" w:rsidRPr="00C67536" w:rsidRDefault="006527EB" w:rsidP="00764D28">
            <w:pPr>
              <w:rPr>
                <w:rFonts w:ascii="Arial" w:hAnsi="Arial" w:cs="Arial"/>
                <w:b/>
                <w:sz w:val="26"/>
                <w:szCs w:val="26"/>
              </w:rPr>
            </w:pPr>
            <w:r w:rsidRPr="00C67536">
              <w:rPr>
                <w:rFonts w:ascii="Arial" w:hAnsi="Arial" w:cs="Arial"/>
                <w:b/>
                <w:sz w:val="26"/>
                <w:szCs w:val="26"/>
              </w:rPr>
              <w:t>LEGITIMACIÓN</w:t>
            </w:r>
            <w:r w:rsidR="00586EEF">
              <w:rPr>
                <w:rFonts w:ascii="Arial" w:hAnsi="Arial" w:cs="Arial"/>
                <w:b/>
                <w:sz w:val="26"/>
                <w:szCs w:val="26"/>
              </w:rPr>
              <w:t>.</w:t>
            </w:r>
          </w:p>
          <w:p w14:paraId="79461B4B" w14:textId="77777777" w:rsidR="006527EB" w:rsidRPr="00C67536" w:rsidRDefault="006527EB" w:rsidP="00764D28">
            <w:pPr>
              <w:rPr>
                <w:rFonts w:ascii="Arial" w:hAnsi="Arial" w:cs="Arial"/>
                <w:b/>
                <w:sz w:val="26"/>
                <w:szCs w:val="26"/>
              </w:rPr>
            </w:pPr>
          </w:p>
          <w:p w14:paraId="119207BB" w14:textId="77777777" w:rsidR="006527EB" w:rsidRPr="00C67536" w:rsidRDefault="006527EB" w:rsidP="00764D28">
            <w:pPr>
              <w:rPr>
                <w:rFonts w:ascii="Arial" w:hAnsi="Arial" w:cs="Arial"/>
                <w:b/>
                <w:sz w:val="26"/>
                <w:szCs w:val="26"/>
              </w:rPr>
            </w:pPr>
          </w:p>
        </w:tc>
        <w:tc>
          <w:tcPr>
            <w:tcW w:w="3828" w:type="dxa"/>
          </w:tcPr>
          <w:p w14:paraId="7053A5A7" w14:textId="77777777" w:rsidR="00134022" w:rsidRPr="00C67536" w:rsidRDefault="00134022" w:rsidP="00EA5950">
            <w:pPr>
              <w:jc w:val="both"/>
              <w:rPr>
                <w:rFonts w:ascii="Arial" w:hAnsi="Arial" w:cs="Arial"/>
                <w:sz w:val="26"/>
                <w:szCs w:val="26"/>
              </w:rPr>
            </w:pPr>
            <w:r w:rsidRPr="00C67536">
              <w:rPr>
                <w:rFonts w:ascii="Arial" w:hAnsi="Arial" w:cs="Arial"/>
                <w:sz w:val="26"/>
                <w:szCs w:val="26"/>
              </w:rPr>
              <w:t>Ya fue materia de análisis por el Tribunal Colegiado de Circuito.</w:t>
            </w:r>
          </w:p>
          <w:p w14:paraId="5A2A2B0E" w14:textId="77777777" w:rsidR="00422AD1" w:rsidRPr="00C67536" w:rsidRDefault="00422AD1" w:rsidP="00EA5950">
            <w:pPr>
              <w:jc w:val="both"/>
              <w:rPr>
                <w:rFonts w:ascii="Arial" w:hAnsi="Arial" w:cs="Arial"/>
                <w:sz w:val="26"/>
                <w:szCs w:val="26"/>
              </w:rPr>
            </w:pPr>
          </w:p>
        </w:tc>
        <w:tc>
          <w:tcPr>
            <w:tcW w:w="1275" w:type="dxa"/>
          </w:tcPr>
          <w:p w14:paraId="1EC29513" w14:textId="24AF8601" w:rsidR="006527EB" w:rsidRPr="00C67536" w:rsidRDefault="00672BE4" w:rsidP="00764D28">
            <w:pPr>
              <w:jc w:val="center"/>
              <w:rPr>
                <w:rFonts w:ascii="Arial" w:hAnsi="Arial" w:cs="Arial"/>
                <w:sz w:val="26"/>
                <w:szCs w:val="26"/>
              </w:rPr>
            </w:pPr>
            <w:r w:rsidRPr="00C67536">
              <w:rPr>
                <w:rFonts w:ascii="Arial" w:hAnsi="Arial" w:cs="Arial"/>
                <w:sz w:val="26"/>
                <w:szCs w:val="26"/>
              </w:rPr>
              <w:t>1</w:t>
            </w:r>
            <w:r w:rsidR="00126808" w:rsidRPr="00C67536">
              <w:rPr>
                <w:rFonts w:ascii="Arial" w:hAnsi="Arial" w:cs="Arial"/>
                <w:sz w:val="26"/>
                <w:szCs w:val="26"/>
              </w:rPr>
              <w:t>5</w:t>
            </w:r>
          </w:p>
        </w:tc>
      </w:tr>
      <w:tr w:rsidR="00020250" w:rsidRPr="00C67536" w14:paraId="1DF3AC57" w14:textId="77777777" w:rsidTr="00E9189D">
        <w:trPr>
          <w:trHeight w:val="555"/>
        </w:trPr>
        <w:tc>
          <w:tcPr>
            <w:tcW w:w="704" w:type="dxa"/>
            <w:vAlign w:val="center"/>
          </w:tcPr>
          <w:p w14:paraId="23B1F177" w14:textId="097B1B76" w:rsidR="00020250" w:rsidRPr="00C67536" w:rsidRDefault="00020250" w:rsidP="00020250">
            <w:pPr>
              <w:jc w:val="center"/>
              <w:rPr>
                <w:rFonts w:ascii="Arial" w:hAnsi="Arial" w:cs="Arial"/>
                <w:b/>
                <w:bCs/>
                <w:sz w:val="26"/>
                <w:szCs w:val="26"/>
              </w:rPr>
            </w:pPr>
            <w:r w:rsidRPr="00C67536">
              <w:rPr>
                <w:rFonts w:ascii="Arial" w:hAnsi="Arial" w:cs="Arial"/>
                <w:b/>
                <w:bCs/>
                <w:sz w:val="26"/>
                <w:szCs w:val="26"/>
              </w:rPr>
              <w:t>IV.</w:t>
            </w:r>
          </w:p>
        </w:tc>
        <w:tc>
          <w:tcPr>
            <w:tcW w:w="3260" w:type="dxa"/>
            <w:vAlign w:val="center"/>
          </w:tcPr>
          <w:p w14:paraId="7133C13C" w14:textId="77777777" w:rsidR="00020250" w:rsidRPr="00C67536" w:rsidRDefault="00020250" w:rsidP="00020250">
            <w:pPr>
              <w:pStyle w:val="Heading3"/>
              <w:numPr>
                <w:ilvl w:val="0"/>
                <w:numId w:val="0"/>
              </w:numPr>
              <w:spacing w:before="0" w:after="0" w:line="240" w:lineRule="auto"/>
              <w:ind w:left="63"/>
              <w:jc w:val="both"/>
              <w:outlineLvl w:val="2"/>
            </w:pPr>
          </w:p>
          <w:p w14:paraId="69891095" w14:textId="6C2DB0AE" w:rsidR="00020250" w:rsidRPr="00C67536" w:rsidRDefault="00020250" w:rsidP="00020250">
            <w:pPr>
              <w:pStyle w:val="Heading3"/>
              <w:numPr>
                <w:ilvl w:val="0"/>
                <w:numId w:val="0"/>
              </w:numPr>
              <w:spacing w:before="0" w:after="0" w:line="240" w:lineRule="auto"/>
              <w:ind w:left="63"/>
              <w:jc w:val="both"/>
              <w:outlineLvl w:val="2"/>
            </w:pPr>
            <w:r w:rsidRPr="00C67536">
              <w:t>CAUSAS DE IMPROCEDENCIA</w:t>
            </w:r>
            <w:r w:rsidR="00586EEF">
              <w:t>.</w:t>
            </w:r>
          </w:p>
          <w:p w14:paraId="7C8937DF" w14:textId="77777777" w:rsidR="00020250" w:rsidRPr="00C67536" w:rsidRDefault="00020250" w:rsidP="00020250">
            <w:pPr>
              <w:rPr>
                <w:rFonts w:ascii="Arial" w:hAnsi="Arial" w:cs="Arial"/>
                <w:b/>
                <w:sz w:val="26"/>
                <w:szCs w:val="26"/>
              </w:rPr>
            </w:pPr>
          </w:p>
        </w:tc>
        <w:tc>
          <w:tcPr>
            <w:tcW w:w="3828" w:type="dxa"/>
          </w:tcPr>
          <w:p w14:paraId="4A4E12A6" w14:textId="77777777" w:rsidR="00020250" w:rsidRPr="00C67536" w:rsidRDefault="00020250" w:rsidP="00020250">
            <w:pPr>
              <w:jc w:val="both"/>
              <w:rPr>
                <w:rFonts w:ascii="Arial" w:hAnsi="Arial" w:cs="Arial"/>
                <w:sz w:val="26"/>
                <w:szCs w:val="26"/>
              </w:rPr>
            </w:pPr>
            <w:r w:rsidRPr="00C67536">
              <w:rPr>
                <w:rFonts w:ascii="Arial" w:hAnsi="Arial" w:cs="Arial"/>
                <w:sz w:val="26"/>
                <w:szCs w:val="26"/>
              </w:rPr>
              <w:t>Ya fueron materia de análisis por el Tribunal Colegiado de Circuito.</w:t>
            </w:r>
          </w:p>
          <w:p w14:paraId="37315774" w14:textId="77777777" w:rsidR="00020250" w:rsidRPr="00C67536" w:rsidRDefault="00020250" w:rsidP="00020250">
            <w:pPr>
              <w:jc w:val="both"/>
              <w:rPr>
                <w:rFonts w:ascii="Arial" w:hAnsi="Arial" w:cs="Arial"/>
                <w:sz w:val="26"/>
                <w:szCs w:val="26"/>
              </w:rPr>
            </w:pPr>
          </w:p>
        </w:tc>
        <w:tc>
          <w:tcPr>
            <w:tcW w:w="1275" w:type="dxa"/>
          </w:tcPr>
          <w:p w14:paraId="4B5DC388" w14:textId="77777777" w:rsidR="007F2F09" w:rsidRDefault="007F2F09" w:rsidP="00020250">
            <w:pPr>
              <w:jc w:val="center"/>
              <w:rPr>
                <w:rFonts w:ascii="Arial" w:hAnsi="Arial" w:cs="Arial"/>
                <w:sz w:val="26"/>
                <w:szCs w:val="26"/>
              </w:rPr>
            </w:pPr>
          </w:p>
          <w:p w14:paraId="7AF4D747" w14:textId="6F7735F4" w:rsidR="00020250" w:rsidRPr="00C67536" w:rsidRDefault="00672BE4" w:rsidP="00020250">
            <w:pPr>
              <w:jc w:val="center"/>
              <w:rPr>
                <w:rFonts w:ascii="Arial" w:hAnsi="Arial" w:cs="Arial"/>
                <w:sz w:val="26"/>
                <w:szCs w:val="26"/>
              </w:rPr>
            </w:pPr>
            <w:r w:rsidRPr="00C67536">
              <w:rPr>
                <w:rFonts w:ascii="Arial" w:hAnsi="Arial" w:cs="Arial"/>
                <w:sz w:val="26"/>
                <w:szCs w:val="26"/>
              </w:rPr>
              <w:t>1</w:t>
            </w:r>
            <w:r w:rsidR="00126808" w:rsidRPr="00C67536">
              <w:rPr>
                <w:rFonts w:ascii="Arial" w:hAnsi="Arial" w:cs="Arial"/>
                <w:sz w:val="26"/>
                <w:szCs w:val="26"/>
              </w:rPr>
              <w:t>5</w:t>
            </w:r>
          </w:p>
        </w:tc>
      </w:tr>
      <w:tr w:rsidR="00020250" w:rsidRPr="00C67536" w14:paraId="2700A7B2" w14:textId="77777777" w:rsidTr="00E9189D">
        <w:trPr>
          <w:trHeight w:val="555"/>
        </w:trPr>
        <w:tc>
          <w:tcPr>
            <w:tcW w:w="704" w:type="dxa"/>
            <w:vAlign w:val="center"/>
          </w:tcPr>
          <w:p w14:paraId="3AB5785D" w14:textId="27908096" w:rsidR="00020250" w:rsidRPr="00C67536" w:rsidRDefault="00020250" w:rsidP="00020250">
            <w:pPr>
              <w:jc w:val="center"/>
              <w:rPr>
                <w:rFonts w:ascii="Arial" w:hAnsi="Arial" w:cs="Arial"/>
                <w:b/>
                <w:bCs/>
                <w:sz w:val="26"/>
                <w:szCs w:val="26"/>
              </w:rPr>
            </w:pPr>
            <w:r w:rsidRPr="00C67536">
              <w:rPr>
                <w:rFonts w:ascii="Arial" w:hAnsi="Arial" w:cs="Arial"/>
                <w:b/>
                <w:bCs/>
                <w:sz w:val="26"/>
                <w:szCs w:val="26"/>
              </w:rPr>
              <w:t xml:space="preserve">V. </w:t>
            </w:r>
          </w:p>
        </w:tc>
        <w:tc>
          <w:tcPr>
            <w:tcW w:w="3260" w:type="dxa"/>
            <w:vAlign w:val="center"/>
          </w:tcPr>
          <w:p w14:paraId="5ED765BE" w14:textId="2FDFED29" w:rsidR="00020250" w:rsidRPr="00C67536" w:rsidRDefault="00020250" w:rsidP="00020250">
            <w:pPr>
              <w:rPr>
                <w:rFonts w:ascii="Arial" w:hAnsi="Arial" w:cs="Arial"/>
                <w:b/>
                <w:sz w:val="26"/>
                <w:szCs w:val="26"/>
              </w:rPr>
            </w:pPr>
            <w:r w:rsidRPr="00C67536">
              <w:rPr>
                <w:rFonts w:ascii="Arial" w:hAnsi="Arial" w:cs="Arial"/>
                <w:b/>
                <w:sz w:val="26"/>
                <w:szCs w:val="26"/>
              </w:rPr>
              <w:t>PR</w:t>
            </w:r>
            <w:r w:rsidR="005F0B2B" w:rsidRPr="00C67536">
              <w:rPr>
                <w:rFonts w:ascii="Arial" w:hAnsi="Arial" w:cs="Arial"/>
                <w:b/>
                <w:sz w:val="26"/>
                <w:szCs w:val="26"/>
              </w:rPr>
              <w:t>ECISIÓN DE LA LITIS</w:t>
            </w:r>
            <w:r w:rsidR="00586EEF">
              <w:rPr>
                <w:rFonts w:ascii="Arial" w:hAnsi="Arial" w:cs="Arial"/>
                <w:b/>
                <w:sz w:val="26"/>
                <w:szCs w:val="26"/>
              </w:rPr>
              <w:t>.</w:t>
            </w:r>
          </w:p>
        </w:tc>
        <w:tc>
          <w:tcPr>
            <w:tcW w:w="3828" w:type="dxa"/>
          </w:tcPr>
          <w:p w14:paraId="7784137B" w14:textId="6D456AD0" w:rsidR="00020250" w:rsidRPr="00C67536" w:rsidRDefault="000371E8" w:rsidP="000371E8">
            <w:pPr>
              <w:jc w:val="both"/>
              <w:rPr>
                <w:rFonts w:ascii="Arial" w:hAnsi="Arial" w:cs="Arial"/>
                <w:sz w:val="26"/>
                <w:szCs w:val="26"/>
              </w:rPr>
            </w:pPr>
            <w:r w:rsidRPr="00C67536">
              <w:rPr>
                <w:rFonts w:ascii="Arial" w:hAnsi="Arial" w:cs="Arial"/>
                <w:sz w:val="26"/>
                <w:szCs w:val="26"/>
              </w:rPr>
              <w:t>Lo son los artículos 212, párrafo tercero, y 215, fracción VI, de la Ley General de Salud, en relación con la Modificación a la Norma Oficial Mexicana NOM-051-SCFI/SSA1</w:t>
            </w:r>
            <w:r w:rsidR="007B24FE">
              <w:rPr>
                <w:rFonts w:ascii="Arial" w:hAnsi="Arial" w:cs="Arial"/>
                <w:sz w:val="26"/>
                <w:szCs w:val="26"/>
              </w:rPr>
              <w:t>-</w:t>
            </w:r>
            <w:r w:rsidRPr="00C67536">
              <w:rPr>
                <w:rFonts w:ascii="Arial" w:hAnsi="Arial" w:cs="Arial"/>
                <w:sz w:val="26"/>
                <w:szCs w:val="26"/>
              </w:rPr>
              <w:t>2010, específicamente los numerales 1, 4.5.3.4 al 4.5.3.4.7 y 7.1.3, y el apéndice A (normativo), así como de la Nota Aclaratoria a dicha norma.</w:t>
            </w:r>
          </w:p>
        </w:tc>
        <w:tc>
          <w:tcPr>
            <w:tcW w:w="1275" w:type="dxa"/>
          </w:tcPr>
          <w:p w14:paraId="4809C65A" w14:textId="77777777" w:rsidR="007F2F09" w:rsidRDefault="007F2F09" w:rsidP="00020250">
            <w:pPr>
              <w:jc w:val="center"/>
              <w:rPr>
                <w:rFonts w:ascii="Arial" w:hAnsi="Arial" w:cs="Arial"/>
                <w:sz w:val="26"/>
                <w:szCs w:val="26"/>
              </w:rPr>
            </w:pPr>
          </w:p>
          <w:p w14:paraId="5C59D890" w14:textId="77777777" w:rsidR="007F2F09" w:rsidRDefault="007F2F09" w:rsidP="00020250">
            <w:pPr>
              <w:jc w:val="center"/>
              <w:rPr>
                <w:rFonts w:ascii="Arial" w:hAnsi="Arial" w:cs="Arial"/>
                <w:sz w:val="26"/>
                <w:szCs w:val="26"/>
              </w:rPr>
            </w:pPr>
          </w:p>
          <w:p w14:paraId="1338A8D7" w14:textId="77777777" w:rsidR="007F2F09" w:rsidRDefault="007F2F09" w:rsidP="00020250">
            <w:pPr>
              <w:jc w:val="center"/>
              <w:rPr>
                <w:rFonts w:ascii="Arial" w:hAnsi="Arial" w:cs="Arial"/>
                <w:sz w:val="26"/>
                <w:szCs w:val="26"/>
              </w:rPr>
            </w:pPr>
          </w:p>
          <w:p w14:paraId="6BE8499F" w14:textId="77777777" w:rsidR="007F2F09" w:rsidRDefault="007F2F09" w:rsidP="00020250">
            <w:pPr>
              <w:jc w:val="center"/>
              <w:rPr>
                <w:rFonts w:ascii="Arial" w:hAnsi="Arial" w:cs="Arial"/>
                <w:sz w:val="26"/>
                <w:szCs w:val="26"/>
              </w:rPr>
            </w:pPr>
          </w:p>
          <w:p w14:paraId="1BDD5C7B" w14:textId="77777777" w:rsidR="007F2F09" w:rsidRDefault="007F2F09" w:rsidP="00020250">
            <w:pPr>
              <w:jc w:val="center"/>
              <w:rPr>
                <w:rFonts w:ascii="Arial" w:hAnsi="Arial" w:cs="Arial"/>
                <w:sz w:val="26"/>
                <w:szCs w:val="26"/>
              </w:rPr>
            </w:pPr>
          </w:p>
          <w:p w14:paraId="20EC5EE1" w14:textId="495D5046" w:rsidR="00020250" w:rsidRPr="00C67536" w:rsidRDefault="00020250" w:rsidP="00020250">
            <w:pPr>
              <w:jc w:val="center"/>
              <w:rPr>
                <w:rFonts w:ascii="Arial" w:hAnsi="Arial" w:cs="Arial"/>
                <w:sz w:val="26"/>
                <w:szCs w:val="26"/>
              </w:rPr>
            </w:pPr>
            <w:r w:rsidRPr="00C67536">
              <w:rPr>
                <w:rFonts w:ascii="Arial" w:hAnsi="Arial" w:cs="Arial"/>
                <w:sz w:val="26"/>
                <w:szCs w:val="26"/>
              </w:rPr>
              <w:t>1</w:t>
            </w:r>
            <w:r w:rsidR="007F2F09">
              <w:rPr>
                <w:rFonts w:ascii="Arial" w:hAnsi="Arial" w:cs="Arial"/>
                <w:sz w:val="26"/>
                <w:szCs w:val="26"/>
              </w:rPr>
              <w:t>6</w:t>
            </w:r>
          </w:p>
        </w:tc>
      </w:tr>
      <w:tr w:rsidR="00020250" w:rsidRPr="00C67536" w14:paraId="18E55384" w14:textId="77777777" w:rsidTr="00E9189D">
        <w:trPr>
          <w:trHeight w:val="882"/>
        </w:trPr>
        <w:tc>
          <w:tcPr>
            <w:tcW w:w="704" w:type="dxa"/>
            <w:vAlign w:val="center"/>
          </w:tcPr>
          <w:p w14:paraId="5A27C08E" w14:textId="77777777" w:rsidR="00020250" w:rsidRPr="00C67536" w:rsidRDefault="00020250" w:rsidP="00020250">
            <w:pPr>
              <w:jc w:val="center"/>
              <w:rPr>
                <w:rFonts w:ascii="Arial" w:hAnsi="Arial" w:cs="Arial"/>
                <w:b/>
                <w:bCs/>
                <w:sz w:val="26"/>
                <w:szCs w:val="26"/>
              </w:rPr>
            </w:pPr>
            <w:r w:rsidRPr="00C67536">
              <w:rPr>
                <w:rFonts w:ascii="Arial" w:hAnsi="Arial" w:cs="Arial"/>
                <w:b/>
                <w:bCs/>
                <w:sz w:val="26"/>
                <w:szCs w:val="26"/>
              </w:rPr>
              <w:t>VI.</w:t>
            </w:r>
          </w:p>
        </w:tc>
        <w:tc>
          <w:tcPr>
            <w:tcW w:w="3260" w:type="dxa"/>
            <w:vAlign w:val="center"/>
          </w:tcPr>
          <w:p w14:paraId="4212E7CB" w14:textId="3C9A11BD" w:rsidR="00020250" w:rsidRPr="00C67536" w:rsidRDefault="00020250" w:rsidP="00020250">
            <w:pPr>
              <w:pStyle w:val="Heading3"/>
              <w:numPr>
                <w:ilvl w:val="0"/>
                <w:numId w:val="0"/>
              </w:numPr>
              <w:spacing w:before="0" w:after="0"/>
              <w:ind w:left="63"/>
              <w:jc w:val="both"/>
              <w:outlineLvl w:val="2"/>
            </w:pPr>
            <w:r w:rsidRPr="00C67536">
              <w:t>ESTUDIO DE FONDO</w:t>
            </w:r>
            <w:r w:rsidR="00586EEF">
              <w:t>.</w:t>
            </w:r>
          </w:p>
          <w:p w14:paraId="6A533946" w14:textId="366B1C47" w:rsidR="00020250" w:rsidRPr="00C67536" w:rsidRDefault="00020250" w:rsidP="00020250">
            <w:pPr>
              <w:pStyle w:val="Prrafo"/>
              <w:rPr>
                <w:b/>
              </w:rPr>
            </w:pPr>
            <w:r w:rsidRPr="00C67536">
              <w:rPr>
                <w:b/>
              </w:rPr>
              <w:t>VI.1. Vulneración al derecho de igualdad.</w:t>
            </w:r>
          </w:p>
          <w:p w14:paraId="15C92D2A" w14:textId="77777777" w:rsidR="00020250" w:rsidRPr="00C67536" w:rsidRDefault="00020250" w:rsidP="00020250">
            <w:pPr>
              <w:pStyle w:val="Prrafo"/>
              <w:rPr>
                <w:b/>
              </w:rPr>
            </w:pPr>
          </w:p>
        </w:tc>
        <w:tc>
          <w:tcPr>
            <w:tcW w:w="3828" w:type="dxa"/>
          </w:tcPr>
          <w:p w14:paraId="30C498AF" w14:textId="5BC9916E" w:rsidR="00020250" w:rsidRPr="00C67536" w:rsidRDefault="0049715B" w:rsidP="00B144AE">
            <w:pPr>
              <w:pStyle w:val="corte4fondo"/>
              <w:numPr>
                <w:ilvl w:val="0"/>
                <w:numId w:val="15"/>
              </w:numPr>
              <w:spacing w:line="240" w:lineRule="auto"/>
              <w:ind w:left="0" w:hanging="567"/>
              <w:rPr>
                <w:rFonts w:cs="Arial"/>
                <w:sz w:val="26"/>
                <w:szCs w:val="26"/>
              </w:rPr>
            </w:pPr>
            <w:r w:rsidRPr="00C67536">
              <w:rPr>
                <w:rFonts w:cs="Arial"/>
                <w:sz w:val="26"/>
                <w:szCs w:val="26"/>
              </w:rPr>
              <w:t>Es infundado, debido a que los productos procesados y ultra procesado</w:t>
            </w:r>
            <w:r w:rsidR="00700AB9" w:rsidRPr="00C67536">
              <w:rPr>
                <w:rFonts w:cs="Arial"/>
                <w:sz w:val="26"/>
                <w:szCs w:val="26"/>
              </w:rPr>
              <w:t>s</w:t>
            </w:r>
            <w:r w:rsidRPr="00C67536">
              <w:rPr>
                <w:rFonts w:cs="Arial"/>
                <w:sz w:val="26"/>
                <w:szCs w:val="26"/>
              </w:rPr>
              <w:t>, no son iguales a los alimentos y las bebidas no alcohólicas a granel y envasados en punto de venta,</w:t>
            </w:r>
            <w:r w:rsidR="00EC2F87" w:rsidRPr="00C67536">
              <w:rPr>
                <w:rFonts w:cs="Arial"/>
                <w:sz w:val="26"/>
                <w:szCs w:val="26"/>
              </w:rPr>
              <w:t xml:space="preserve"> por ende, el punto de comparación no es idóneo.</w:t>
            </w:r>
          </w:p>
        </w:tc>
        <w:tc>
          <w:tcPr>
            <w:tcW w:w="1275" w:type="dxa"/>
          </w:tcPr>
          <w:p w14:paraId="09C802CC" w14:textId="77777777" w:rsidR="007F2F09" w:rsidRDefault="007F2F09" w:rsidP="00020250">
            <w:pPr>
              <w:jc w:val="center"/>
              <w:rPr>
                <w:rFonts w:ascii="Arial" w:hAnsi="Arial" w:cs="Arial"/>
                <w:sz w:val="26"/>
                <w:szCs w:val="26"/>
              </w:rPr>
            </w:pPr>
          </w:p>
          <w:p w14:paraId="3D493BE5" w14:textId="77777777" w:rsidR="007F2F09" w:rsidRDefault="007F2F09" w:rsidP="00020250">
            <w:pPr>
              <w:jc w:val="center"/>
              <w:rPr>
                <w:rFonts w:ascii="Arial" w:hAnsi="Arial" w:cs="Arial"/>
                <w:sz w:val="26"/>
                <w:szCs w:val="26"/>
              </w:rPr>
            </w:pPr>
          </w:p>
          <w:p w14:paraId="012238AF" w14:textId="539EB4FB" w:rsidR="00020250" w:rsidRPr="00C67536" w:rsidRDefault="0047496D" w:rsidP="00020250">
            <w:pPr>
              <w:jc w:val="center"/>
              <w:rPr>
                <w:rFonts w:ascii="Arial" w:hAnsi="Arial" w:cs="Arial"/>
                <w:sz w:val="26"/>
                <w:szCs w:val="26"/>
              </w:rPr>
            </w:pPr>
            <w:r w:rsidRPr="00C67536">
              <w:rPr>
                <w:rFonts w:ascii="Arial" w:hAnsi="Arial" w:cs="Arial"/>
                <w:sz w:val="26"/>
                <w:szCs w:val="26"/>
              </w:rPr>
              <w:t>16</w:t>
            </w:r>
            <w:r w:rsidR="007F2F09">
              <w:rPr>
                <w:rFonts w:ascii="Arial" w:hAnsi="Arial" w:cs="Arial"/>
                <w:sz w:val="26"/>
                <w:szCs w:val="26"/>
              </w:rPr>
              <w:t>-25</w:t>
            </w:r>
          </w:p>
        </w:tc>
      </w:tr>
      <w:tr w:rsidR="00D045FA" w:rsidRPr="00C67536" w14:paraId="3B150D16" w14:textId="77777777" w:rsidTr="00E9189D">
        <w:trPr>
          <w:trHeight w:val="882"/>
        </w:trPr>
        <w:tc>
          <w:tcPr>
            <w:tcW w:w="704" w:type="dxa"/>
            <w:vAlign w:val="center"/>
          </w:tcPr>
          <w:p w14:paraId="20570F60" w14:textId="77777777" w:rsidR="00D045FA" w:rsidRPr="00C67536" w:rsidRDefault="00D045FA" w:rsidP="00020250">
            <w:pPr>
              <w:jc w:val="center"/>
              <w:rPr>
                <w:rFonts w:ascii="Arial" w:hAnsi="Arial" w:cs="Arial"/>
                <w:b/>
                <w:bCs/>
                <w:sz w:val="26"/>
                <w:szCs w:val="26"/>
              </w:rPr>
            </w:pPr>
          </w:p>
        </w:tc>
        <w:tc>
          <w:tcPr>
            <w:tcW w:w="3260" w:type="dxa"/>
            <w:vAlign w:val="center"/>
          </w:tcPr>
          <w:p w14:paraId="46F5A7EC" w14:textId="563AD10D" w:rsidR="00D045FA" w:rsidRPr="00C67536" w:rsidRDefault="00D045FA" w:rsidP="00D045FA">
            <w:pPr>
              <w:pStyle w:val="Heading3"/>
              <w:numPr>
                <w:ilvl w:val="0"/>
                <w:numId w:val="0"/>
              </w:numPr>
              <w:spacing w:before="0" w:after="0" w:line="240" w:lineRule="auto"/>
              <w:ind w:left="63"/>
              <w:jc w:val="both"/>
              <w:outlineLvl w:val="2"/>
            </w:pPr>
            <w:r w:rsidRPr="00C67536">
              <w:t xml:space="preserve">VI.2. </w:t>
            </w:r>
            <w:r w:rsidRPr="00C67536">
              <w:rPr>
                <w:bCs/>
              </w:rPr>
              <w:t>Test de proporcionalidad con relación a la libertad de trabajo.</w:t>
            </w:r>
          </w:p>
        </w:tc>
        <w:tc>
          <w:tcPr>
            <w:tcW w:w="3828" w:type="dxa"/>
          </w:tcPr>
          <w:p w14:paraId="5937DE9A" w14:textId="05422993" w:rsidR="00D045FA" w:rsidRPr="00C67536" w:rsidRDefault="00D56FB2" w:rsidP="00CF2FFD">
            <w:pPr>
              <w:pStyle w:val="corte4fondo"/>
              <w:spacing w:line="240" w:lineRule="auto"/>
              <w:ind w:firstLine="0"/>
              <w:rPr>
                <w:rFonts w:cs="Arial"/>
                <w:sz w:val="26"/>
                <w:szCs w:val="26"/>
              </w:rPr>
            </w:pPr>
            <w:r w:rsidRPr="00C67536">
              <w:rPr>
                <w:rFonts w:cs="Arial"/>
                <w:sz w:val="26"/>
                <w:szCs w:val="26"/>
              </w:rPr>
              <w:t>La norma impugnada cumple con el test de proporcionalidad, debido a que cumple con un fin constitucionalmente válido</w:t>
            </w:r>
            <w:r w:rsidR="00CF2FFD" w:rsidRPr="00C67536">
              <w:rPr>
                <w:rFonts w:cs="Arial"/>
                <w:sz w:val="26"/>
                <w:szCs w:val="26"/>
              </w:rPr>
              <w:t xml:space="preserve">, </w:t>
            </w:r>
            <w:r w:rsidRPr="00C67536">
              <w:rPr>
                <w:rFonts w:cs="Arial"/>
                <w:sz w:val="26"/>
                <w:szCs w:val="26"/>
              </w:rPr>
              <w:t>resulta idóneo, es necesaria</w:t>
            </w:r>
            <w:r w:rsidR="00CF2FFD" w:rsidRPr="00C67536">
              <w:rPr>
                <w:rFonts w:cs="Arial"/>
                <w:sz w:val="26"/>
                <w:szCs w:val="26"/>
              </w:rPr>
              <w:t xml:space="preserve"> y </w:t>
            </w:r>
            <w:r w:rsidRPr="00C67536">
              <w:rPr>
                <w:rFonts w:cs="Arial"/>
                <w:sz w:val="26"/>
                <w:szCs w:val="26"/>
              </w:rPr>
              <w:t>proporcional, pues atendiendo a las ventajas (inhibir o desincentivar el consumo de alimentos básicos para evitar enfermedades crónicas no transmisibles; hacer efectivo el derecho a la alimentación nutritiva, suficiente y de calidad y proteger el derecho a la salud de la población) que se obtienen con el establecimiento de dicha medida se puede advertir que se justifican los sacrificios o desventajas (disminución en la venta de productos de la quejosa, lo que repercute en la liberta</w:t>
            </w:r>
            <w:r w:rsidR="0098032F" w:rsidRPr="00C67536">
              <w:rPr>
                <w:rFonts w:cs="Arial"/>
                <w:sz w:val="26"/>
                <w:szCs w:val="26"/>
              </w:rPr>
              <w:t>d</w:t>
            </w:r>
            <w:r w:rsidRPr="00C67536">
              <w:rPr>
                <w:rFonts w:cs="Arial"/>
                <w:sz w:val="26"/>
                <w:szCs w:val="26"/>
              </w:rPr>
              <w:t xml:space="preserve"> de trabajo) que se producen con la misma.</w:t>
            </w:r>
          </w:p>
        </w:tc>
        <w:tc>
          <w:tcPr>
            <w:tcW w:w="1275" w:type="dxa"/>
          </w:tcPr>
          <w:p w14:paraId="1C4F3B88" w14:textId="77777777" w:rsidR="007F2F09" w:rsidRDefault="007F2F09" w:rsidP="00020250">
            <w:pPr>
              <w:jc w:val="center"/>
              <w:rPr>
                <w:rFonts w:ascii="Arial" w:hAnsi="Arial" w:cs="Arial"/>
                <w:sz w:val="26"/>
                <w:szCs w:val="26"/>
              </w:rPr>
            </w:pPr>
          </w:p>
          <w:p w14:paraId="4F6399EE" w14:textId="4CD67D6B" w:rsidR="00D045FA" w:rsidRPr="00C67536" w:rsidRDefault="00624F4C" w:rsidP="00020250">
            <w:pPr>
              <w:jc w:val="center"/>
              <w:rPr>
                <w:rFonts w:ascii="Arial" w:hAnsi="Arial" w:cs="Arial"/>
                <w:sz w:val="26"/>
                <w:szCs w:val="26"/>
              </w:rPr>
            </w:pPr>
            <w:r w:rsidRPr="00C67536">
              <w:rPr>
                <w:rFonts w:ascii="Arial" w:hAnsi="Arial" w:cs="Arial"/>
                <w:sz w:val="26"/>
                <w:szCs w:val="26"/>
              </w:rPr>
              <w:t>2</w:t>
            </w:r>
            <w:r w:rsidR="0047496D" w:rsidRPr="00C67536">
              <w:rPr>
                <w:rFonts w:ascii="Arial" w:hAnsi="Arial" w:cs="Arial"/>
                <w:sz w:val="26"/>
                <w:szCs w:val="26"/>
              </w:rPr>
              <w:t>5</w:t>
            </w:r>
            <w:r w:rsidR="007F2F09">
              <w:rPr>
                <w:rFonts w:ascii="Arial" w:hAnsi="Arial" w:cs="Arial"/>
                <w:sz w:val="26"/>
                <w:szCs w:val="26"/>
              </w:rPr>
              <w:t>-</w:t>
            </w:r>
            <w:r w:rsidR="00E9189D">
              <w:rPr>
                <w:rFonts w:ascii="Arial" w:hAnsi="Arial" w:cs="Arial"/>
                <w:sz w:val="26"/>
                <w:szCs w:val="26"/>
              </w:rPr>
              <w:t>1</w:t>
            </w:r>
            <w:r w:rsidR="007F2F09">
              <w:rPr>
                <w:rFonts w:ascii="Arial" w:hAnsi="Arial" w:cs="Arial"/>
                <w:sz w:val="26"/>
                <w:szCs w:val="26"/>
              </w:rPr>
              <w:t>16</w:t>
            </w:r>
          </w:p>
        </w:tc>
      </w:tr>
      <w:tr w:rsidR="00020250" w:rsidRPr="00C67536" w14:paraId="77D38BB6" w14:textId="77777777" w:rsidTr="00E9189D">
        <w:trPr>
          <w:trHeight w:val="882"/>
        </w:trPr>
        <w:tc>
          <w:tcPr>
            <w:tcW w:w="704" w:type="dxa"/>
            <w:vAlign w:val="center"/>
          </w:tcPr>
          <w:p w14:paraId="30C19C70" w14:textId="77777777" w:rsidR="00020250" w:rsidRPr="00C67536" w:rsidRDefault="00020250" w:rsidP="00020250">
            <w:pPr>
              <w:jc w:val="center"/>
              <w:rPr>
                <w:rFonts w:ascii="Arial" w:hAnsi="Arial" w:cs="Arial"/>
                <w:b/>
                <w:bCs/>
                <w:sz w:val="26"/>
                <w:szCs w:val="26"/>
              </w:rPr>
            </w:pPr>
          </w:p>
        </w:tc>
        <w:tc>
          <w:tcPr>
            <w:tcW w:w="3260" w:type="dxa"/>
            <w:vAlign w:val="center"/>
          </w:tcPr>
          <w:p w14:paraId="0E9B3D7C" w14:textId="34FEDE2E" w:rsidR="00020250" w:rsidRPr="00C67536" w:rsidRDefault="00020250" w:rsidP="00020250">
            <w:pPr>
              <w:pStyle w:val="Prrafo"/>
              <w:rPr>
                <w:b/>
              </w:rPr>
            </w:pPr>
            <w:r w:rsidRPr="00C67536">
              <w:rPr>
                <w:b/>
              </w:rPr>
              <w:t>VI.</w:t>
            </w:r>
            <w:r w:rsidR="00FD53D5" w:rsidRPr="00C67536">
              <w:rPr>
                <w:b/>
              </w:rPr>
              <w:t>3</w:t>
            </w:r>
            <w:r w:rsidRPr="00C67536">
              <w:rPr>
                <w:b/>
              </w:rPr>
              <w:t>.</w:t>
            </w:r>
            <w:r w:rsidR="00FD53D5" w:rsidRPr="00C67536">
              <w:rPr>
                <w:b/>
              </w:rPr>
              <w:t xml:space="preserve"> Seguridad jurídica</w:t>
            </w:r>
            <w:r w:rsidRPr="00C67536">
              <w:rPr>
                <w:b/>
              </w:rPr>
              <w:t>.</w:t>
            </w:r>
          </w:p>
        </w:tc>
        <w:tc>
          <w:tcPr>
            <w:tcW w:w="3828" w:type="dxa"/>
          </w:tcPr>
          <w:p w14:paraId="22F3B4ED" w14:textId="3BA77F57" w:rsidR="00020250" w:rsidRPr="00C67536" w:rsidRDefault="00020250" w:rsidP="00020250">
            <w:pPr>
              <w:jc w:val="both"/>
              <w:rPr>
                <w:rFonts w:ascii="Arial" w:hAnsi="Arial" w:cs="Arial"/>
                <w:sz w:val="26"/>
                <w:szCs w:val="26"/>
                <w:lang w:val="es-ES_tradnl"/>
              </w:rPr>
            </w:pPr>
            <w:r w:rsidRPr="00C67536">
              <w:rPr>
                <w:rFonts w:ascii="Arial" w:hAnsi="Arial" w:cs="Arial"/>
                <w:sz w:val="26"/>
                <w:szCs w:val="26"/>
                <w:lang w:val="es-ES_tradnl"/>
              </w:rPr>
              <w:t xml:space="preserve">El </w:t>
            </w:r>
            <w:r w:rsidRPr="00C67536">
              <w:rPr>
                <w:rFonts w:ascii="Arial" w:eastAsiaTheme="minorHAnsi" w:hAnsi="Arial" w:cs="Arial"/>
                <w:sz w:val="26"/>
                <w:szCs w:val="26"/>
                <w:lang w:eastAsia="en-US"/>
              </w:rPr>
              <w:t>numeral 1, inciso c)</w:t>
            </w:r>
            <w:r w:rsidR="007B24FE">
              <w:rPr>
                <w:rFonts w:ascii="Arial" w:eastAsiaTheme="minorHAnsi" w:hAnsi="Arial" w:cs="Arial"/>
                <w:sz w:val="26"/>
                <w:szCs w:val="26"/>
                <w:lang w:eastAsia="en-US"/>
              </w:rPr>
              <w:t>,</w:t>
            </w:r>
            <w:r w:rsidRPr="00C67536">
              <w:rPr>
                <w:rFonts w:ascii="Arial" w:eastAsiaTheme="minorHAnsi" w:hAnsi="Arial" w:cs="Arial"/>
                <w:sz w:val="26"/>
                <w:szCs w:val="26"/>
                <w:lang w:eastAsia="en-US"/>
              </w:rPr>
              <w:t xml:space="preserve"> de la</w:t>
            </w:r>
            <w:r w:rsidRPr="00C67536">
              <w:rPr>
                <w:rFonts w:ascii="Arial" w:hAnsi="Arial" w:cs="Arial"/>
                <w:sz w:val="26"/>
                <w:szCs w:val="26"/>
              </w:rPr>
              <w:t xml:space="preserve"> Modificación a la Norma Oficial Mexicana NOM-051- SCFI/SSA1-2010, Especificaciones generales de etiquetado para alimentos y bebidas no alcohólicas preenvasados-Información comercial y sanitaria</w:t>
            </w:r>
            <w:r w:rsidRPr="00C67536">
              <w:rPr>
                <w:rFonts w:ascii="Arial" w:hAnsi="Arial" w:cs="Arial"/>
                <w:sz w:val="26"/>
                <w:szCs w:val="26"/>
                <w:lang w:val="es-ES_tradnl"/>
              </w:rPr>
              <w:t>, no es trasgresor del derecho de seguridad jurídica.</w:t>
            </w:r>
          </w:p>
          <w:p w14:paraId="4B0EA9FE" w14:textId="27D7173E" w:rsidR="00020250" w:rsidRPr="00C67536" w:rsidRDefault="00020250" w:rsidP="00020250">
            <w:pPr>
              <w:jc w:val="both"/>
              <w:rPr>
                <w:rFonts w:ascii="Arial" w:hAnsi="Arial" w:cs="Arial"/>
                <w:sz w:val="26"/>
                <w:szCs w:val="26"/>
                <w:lang w:val="es-ES_tradnl"/>
              </w:rPr>
            </w:pPr>
            <w:r w:rsidRPr="00C67536">
              <w:rPr>
                <w:rFonts w:ascii="Arial" w:hAnsi="Arial" w:cs="Arial"/>
                <w:sz w:val="26"/>
                <w:szCs w:val="26"/>
                <w:lang w:val="es-ES_tradnl"/>
              </w:rPr>
              <w:t xml:space="preserve">Ello, porque el artículo 212 de la Ley General de Salud, </w:t>
            </w:r>
            <w:r w:rsidRPr="00C67536">
              <w:rPr>
                <w:rFonts w:ascii="Arial" w:hAnsi="Arial" w:cs="Arial"/>
                <w:iCs/>
                <w:sz w:val="26"/>
                <w:szCs w:val="26"/>
              </w:rPr>
              <w:t>prevé una cláusula habilitante, en el sentido de que corresponde a la Secretaría de Salud emitir todas las especificaciones sobre la naturaleza del producto y la información de las etiquetas y contraetiquetas</w:t>
            </w:r>
            <w:r w:rsidRPr="00C67536">
              <w:rPr>
                <w:rFonts w:ascii="Arial" w:hAnsi="Arial" w:cs="Arial"/>
                <w:sz w:val="26"/>
                <w:szCs w:val="26"/>
              </w:rPr>
              <w:t>, por ende, la norma oficial reclamada no hace otra cosa sino atender a la habilitación operativa que le fue conferida en el texto legal y, establecer todo lo relativo al sistema de etiquetado de los productos alimenticio y bebidas no alcohólicas preenvasados.</w:t>
            </w:r>
          </w:p>
          <w:p w14:paraId="5382F625" w14:textId="7977FD4C" w:rsidR="00020250" w:rsidRPr="00C67536" w:rsidRDefault="00020250" w:rsidP="00020250">
            <w:pPr>
              <w:rPr>
                <w:rFonts w:ascii="Arial" w:hAnsi="Arial" w:cs="Arial"/>
                <w:sz w:val="26"/>
                <w:szCs w:val="26"/>
              </w:rPr>
            </w:pPr>
          </w:p>
        </w:tc>
        <w:tc>
          <w:tcPr>
            <w:tcW w:w="1275" w:type="dxa"/>
          </w:tcPr>
          <w:p w14:paraId="11CEF676" w14:textId="77777777" w:rsidR="0047496D" w:rsidRPr="00C67536" w:rsidRDefault="0047496D" w:rsidP="00020250">
            <w:pPr>
              <w:jc w:val="center"/>
              <w:rPr>
                <w:rFonts w:ascii="Arial" w:hAnsi="Arial" w:cs="Arial"/>
                <w:sz w:val="26"/>
                <w:szCs w:val="26"/>
              </w:rPr>
            </w:pPr>
          </w:p>
          <w:p w14:paraId="484E4755" w14:textId="77777777" w:rsidR="0047496D" w:rsidRPr="00C67536" w:rsidRDefault="0047496D" w:rsidP="00020250">
            <w:pPr>
              <w:jc w:val="center"/>
              <w:rPr>
                <w:rFonts w:ascii="Arial" w:hAnsi="Arial" w:cs="Arial"/>
                <w:sz w:val="26"/>
                <w:szCs w:val="26"/>
              </w:rPr>
            </w:pPr>
          </w:p>
          <w:p w14:paraId="46F4F466" w14:textId="77777777" w:rsidR="0047496D" w:rsidRPr="00C67536" w:rsidRDefault="0047496D" w:rsidP="00020250">
            <w:pPr>
              <w:jc w:val="center"/>
              <w:rPr>
                <w:rFonts w:ascii="Arial" w:hAnsi="Arial" w:cs="Arial"/>
                <w:sz w:val="26"/>
                <w:szCs w:val="26"/>
              </w:rPr>
            </w:pPr>
          </w:p>
          <w:p w14:paraId="3A082697" w14:textId="77777777" w:rsidR="0047496D" w:rsidRPr="00C67536" w:rsidRDefault="0047496D" w:rsidP="00020250">
            <w:pPr>
              <w:jc w:val="center"/>
              <w:rPr>
                <w:rFonts w:ascii="Arial" w:hAnsi="Arial" w:cs="Arial"/>
                <w:sz w:val="26"/>
                <w:szCs w:val="26"/>
              </w:rPr>
            </w:pPr>
          </w:p>
          <w:p w14:paraId="29CE6402" w14:textId="77777777" w:rsidR="0047496D" w:rsidRPr="00C67536" w:rsidRDefault="0047496D" w:rsidP="00020250">
            <w:pPr>
              <w:jc w:val="center"/>
              <w:rPr>
                <w:rFonts w:ascii="Arial" w:hAnsi="Arial" w:cs="Arial"/>
                <w:sz w:val="26"/>
                <w:szCs w:val="26"/>
              </w:rPr>
            </w:pPr>
          </w:p>
          <w:p w14:paraId="31BE5ABA" w14:textId="77777777" w:rsidR="0047496D" w:rsidRPr="00C67536" w:rsidRDefault="0047496D" w:rsidP="00020250">
            <w:pPr>
              <w:jc w:val="center"/>
              <w:rPr>
                <w:rFonts w:ascii="Arial" w:hAnsi="Arial" w:cs="Arial"/>
                <w:sz w:val="26"/>
                <w:szCs w:val="26"/>
              </w:rPr>
            </w:pPr>
          </w:p>
          <w:p w14:paraId="412D6DDA" w14:textId="77777777" w:rsidR="0047496D" w:rsidRPr="00C67536" w:rsidRDefault="0047496D" w:rsidP="00020250">
            <w:pPr>
              <w:jc w:val="center"/>
              <w:rPr>
                <w:rFonts w:ascii="Arial" w:hAnsi="Arial" w:cs="Arial"/>
                <w:sz w:val="26"/>
                <w:szCs w:val="26"/>
              </w:rPr>
            </w:pPr>
          </w:p>
          <w:p w14:paraId="449E9AC5" w14:textId="77777777" w:rsidR="0047496D" w:rsidRPr="00C67536" w:rsidRDefault="0047496D" w:rsidP="00020250">
            <w:pPr>
              <w:jc w:val="center"/>
              <w:rPr>
                <w:rFonts w:ascii="Arial" w:hAnsi="Arial" w:cs="Arial"/>
                <w:sz w:val="26"/>
                <w:szCs w:val="26"/>
              </w:rPr>
            </w:pPr>
          </w:p>
          <w:p w14:paraId="22B40A5E" w14:textId="77777777" w:rsidR="0047496D" w:rsidRPr="00C67536" w:rsidRDefault="0047496D" w:rsidP="00020250">
            <w:pPr>
              <w:jc w:val="center"/>
              <w:rPr>
                <w:rFonts w:ascii="Arial" w:hAnsi="Arial" w:cs="Arial"/>
                <w:sz w:val="26"/>
                <w:szCs w:val="26"/>
              </w:rPr>
            </w:pPr>
          </w:p>
          <w:p w14:paraId="11F48273" w14:textId="77777777" w:rsidR="0047496D" w:rsidRPr="00C67536" w:rsidRDefault="0047496D" w:rsidP="00020250">
            <w:pPr>
              <w:jc w:val="center"/>
              <w:rPr>
                <w:rFonts w:ascii="Arial" w:hAnsi="Arial" w:cs="Arial"/>
                <w:sz w:val="26"/>
                <w:szCs w:val="26"/>
              </w:rPr>
            </w:pPr>
          </w:p>
          <w:p w14:paraId="0421D4BC" w14:textId="77777777" w:rsidR="0047496D" w:rsidRPr="00C67536" w:rsidRDefault="0047496D" w:rsidP="00020250">
            <w:pPr>
              <w:jc w:val="center"/>
              <w:rPr>
                <w:rFonts w:ascii="Arial" w:hAnsi="Arial" w:cs="Arial"/>
                <w:sz w:val="26"/>
                <w:szCs w:val="26"/>
              </w:rPr>
            </w:pPr>
          </w:p>
          <w:p w14:paraId="6CEF0315" w14:textId="77777777" w:rsidR="0047496D" w:rsidRPr="00C67536" w:rsidRDefault="0047496D" w:rsidP="00020250">
            <w:pPr>
              <w:jc w:val="center"/>
              <w:rPr>
                <w:rFonts w:ascii="Arial" w:hAnsi="Arial" w:cs="Arial"/>
                <w:sz w:val="26"/>
                <w:szCs w:val="26"/>
              </w:rPr>
            </w:pPr>
          </w:p>
          <w:p w14:paraId="0F8547D6" w14:textId="77777777" w:rsidR="0047496D" w:rsidRPr="00C67536" w:rsidRDefault="0047496D" w:rsidP="00020250">
            <w:pPr>
              <w:jc w:val="center"/>
              <w:rPr>
                <w:rFonts w:ascii="Arial" w:hAnsi="Arial" w:cs="Arial"/>
                <w:sz w:val="26"/>
                <w:szCs w:val="26"/>
              </w:rPr>
            </w:pPr>
          </w:p>
          <w:p w14:paraId="2E335FAE" w14:textId="77777777" w:rsidR="0047496D" w:rsidRPr="00C67536" w:rsidRDefault="0047496D" w:rsidP="00020250">
            <w:pPr>
              <w:jc w:val="center"/>
              <w:rPr>
                <w:rFonts w:ascii="Arial" w:hAnsi="Arial" w:cs="Arial"/>
                <w:sz w:val="26"/>
                <w:szCs w:val="26"/>
              </w:rPr>
            </w:pPr>
          </w:p>
          <w:p w14:paraId="6229C766" w14:textId="7E316E43" w:rsidR="00020250" w:rsidRPr="00C67536" w:rsidRDefault="0047496D" w:rsidP="0047496D">
            <w:pPr>
              <w:rPr>
                <w:rFonts w:ascii="Arial" w:hAnsi="Arial" w:cs="Arial"/>
                <w:sz w:val="26"/>
                <w:szCs w:val="26"/>
              </w:rPr>
            </w:pPr>
            <w:r w:rsidRPr="00C67536">
              <w:rPr>
                <w:rFonts w:ascii="Arial" w:hAnsi="Arial" w:cs="Arial"/>
                <w:sz w:val="26"/>
                <w:szCs w:val="26"/>
              </w:rPr>
              <w:t xml:space="preserve"> </w:t>
            </w:r>
            <w:r w:rsidR="00A20708" w:rsidRPr="00C67536">
              <w:rPr>
                <w:rFonts w:ascii="Arial" w:hAnsi="Arial" w:cs="Arial"/>
                <w:sz w:val="26"/>
                <w:szCs w:val="26"/>
              </w:rPr>
              <w:t>1</w:t>
            </w:r>
            <w:r w:rsidR="001603AA" w:rsidRPr="00C67536">
              <w:rPr>
                <w:rFonts w:ascii="Arial" w:hAnsi="Arial" w:cs="Arial"/>
                <w:sz w:val="26"/>
                <w:szCs w:val="26"/>
              </w:rPr>
              <w:t>1</w:t>
            </w:r>
            <w:r w:rsidR="00643B6E" w:rsidRPr="00C67536">
              <w:rPr>
                <w:rFonts w:ascii="Arial" w:hAnsi="Arial" w:cs="Arial"/>
                <w:sz w:val="26"/>
                <w:szCs w:val="26"/>
              </w:rPr>
              <w:t>6</w:t>
            </w:r>
            <w:r w:rsidR="00E9189D">
              <w:rPr>
                <w:rFonts w:ascii="Arial" w:hAnsi="Arial" w:cs="Arial"/>
                <w:sz w:val="26"/>
                <w:szCs w:val="26"/>
              </w:rPr>
              <w:t>-125</w:t>
            </w:r>
          </w:p>
        </w:tc>
      </w:tr>
      <w:tr w:rsidR="00020250" w:rsidRPr="00C67536" w14:paraId="6897BF71" w14:textId="77777777" w:rsidTr="00E9189D">
        <w:trPr>
          <w:trHeight w:val="882"/>
        </w:trPr>
        <w:tc>
          <w:tcPr>
            <w:tcW w:w="704" w:type="dxa"/>
            <w:vAlign w:val="center"/>
          </w:tcPr>
          <w:p w14:paraId="09A3C865" w14:textId="77777777" w:rsidR="00020250" w:rsidRPr="00C67536" w:rsidRDefault="00020250" w:rsidP="00020250">
            <w:pPr>
              <w:jc w:val="center"/>
              <w:rPr>
                <w:rFonts w:ascii="Arial" w:hAnsi="Arial" w:cs="Arial"/>
                <w:b/>
                <w:bCs/>
                <w:sz w:val="26"/>
                <w:szCs w:val="26"/>
              </w:rPr>
            </w:pPr>
          </w:p>
        </w:tc>
        <w:tc>
          <w:tcPr>
            <w:tcW w:w="3260" w:type="dxa"/>
            <w:vAlign w:val="center"/>
          </w:tcPr>
          <w:p w14:paraId="6B4B8728" w14:textId="2693515E" w:rsidR="00020250" w:rsidRPr="00C67536" w:rsidRDefault="00020250" w:rsidP="00020250">
            <w:pPr>
              <w:pStyle w:val="Prrafo"/>
              <w:spacing w:line="240" w:lineRule="auto"/>
              <w:rPr>
                <w:b/>
              </w:rPr>
            </w:pPr>
            <w:r w:rsidRPr="00C67536">
              <w:rPr>
                <w:b/>
              </w:rPr>
              <w:t>VI.</w:t>
            </w:r>
            <w:r w:rsidR="00A20708" w:rsidRPr="00C67536">
              <w:rPr>
                <w:b/>
              </w:rPr>
              <w:t>4</w:t>
            </w:r>
            <w:r w:rsidRPr="00C67536">
              <w:rPr>
                <w:b/>
              </w:rPr>
              <w:t>. Sustitución del juez de distrito en las facultades de las responsables.</w:t>
            </w:r>
          </w:p>
        </w:tc>
        <w:tc>
          <w:tcPr>
            <w:tcW w:w="3828" w:type="dxa"/>
          </w:tcPr>
          <w:p w14:paraId="088410C6" w14:textId="05FC27B1" w:rsidR="00020250" w:rsidRPr="00C67536" w:rsidRDefault="00020250" w:rsidP="00020250">
            <w:pPr>
              <w:numPr>
                <w:ilvl w:val="0"/>
                <w:numId w:val="3"/>
              </w:numPr>
              <w:tabs>
                <w:tab w:val="left" w:pos="142"/>
              </w:tabs>
              <w:spacing w:after="200"/>
              <w:ind w:left="0" w:hanging="567"/>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Es infundado el agravio, porque con base a los documentos que tomó en consideración el legislador para emitir las normas reclamadas, se puede sostener la constitucionalidad del actual sistema de etiquetado en México, pues proporcionan fuentes científicas sobre el sistema de alimentación y salud en el país, así como del sistema de etiquetado frontal de advertencia.</w:t>
            </w:r>
          </w:p>
          <w:p w14:paraId="738B6503" w14:textId="2E8C0FB8" w:rsidR="00020250" w:rsidRPr="00C67536" w:rsidRDefault="00020250" w:rsidP="00020250">
            <w:pPr>
              <w:jc w:val="both"/>
              <w:rPr>
                <w:rFonts w:ascii="Arial" w:hAnsi="Arial" w:cs="Arial"/>
                <w:sz w:val="26"/>
                <w:szCs w:val="26"/>
                <w:lang w:val="es-ES_tradnl"/>
              </w:rPr>
            </w:pPr>
            <w:r w:rsidRPr="00C67536">
              <w:rPr>
                <w:rFonts w:ascii="Arial" w:eastAsiaTheme="minorHAnsi" w:hAnsi="Arial" w:cs="Arial"/>
                <w:sz w:val="26"/>
                <w:szCs w:val="26"/>
                <w:lang w:eastAsia="en-US"/>
              </w:rPr>
              <w:t xml:space="preserve">Además, si bien el artículo 75 de la Ley de Amparo, establece que el acto reclamado se apreciara tal y </w:t>
            </w:r>
            <w:r w:rsidRPr="00C67536">
              <w:rPr>
                <w:rFonts w:ascii="Arial" w:hAnsi="Arial" w:cs="Arial"/>
                <w:sz w:val="26"/>
                <w:szCs w:val="26"/>
              </w:rPr>
              <w:t xml:space="preserve">como aparezca probado ante la autoridad responsable, lo cierto es que al analizar la constitucionalidad de una ley, el juez federal puede allegarse de diversos documentos e investigaciones que no se hayan tomado en consideración al emitir la norma reclamada, en aras de determinar la constitucionalidad o inconstitucionalidad de la misma, incluso cuando el artículo 1° constitucional, permite realizar una interpretación pro homine, para tomar en consideración los derechos humanos no solo reconocidos en la Carta Magna sino también en los diversos tratados internacionales en los que el Estado </w:t>
            </w:r>
            <w:r w:rsidR="007B24FE">
              <w:rPr>
                <w:rFonts w:ascii="Arial" w:hAnsi="Arial" w:cs="Arial"/>
                <w:sz w:val="26"/>
                <w:szCs w:val="26"/>
              </w:rPr>
              <w:t>M</w:t>
            </w:r>
            <w:r w:rsidRPr="00C67536">
              <w:rPr>
                <w:rFonts w:ascii="Arial" w:hAnsi="Arial" w:cs="Arial"/>
                <w:sz w:val="26"/>
                <w:szCs w:val="26"/>
              </w:rPr>
              <w:t>exicano es parte.</w:t>
            </w:r>
          </w:p>
        </w:tc>
        <w:tc>
          <w:tcPr>
            <w:tcW w:w="1275" w:type="dxa"/>
          </w:tcPr>
          <w:p w14:paraId="4EDDFE75" w14:textId="77777777" w:rsidR="001603AA" w:rsidRPr="00C67536" w:rsidRDefault="001603AA" w:rsidP="00020250">
            <w:pPr>
              <w:jc w:val="center"/>
              <w:rPr>
                <w:rFonts w:ascii="Arial" w:hAnsi="Arial" w:cs="Arial"/>
                <w:sz w:val="26"/>
                <w:szCs w:val="26"/>
              </w:rPr>
            </w:pPr>
          </w:p>
          <w:p w14:paraId="4DD4E35C" w14:textId="77777777" w:rsidR="001603AA" w:rsidRPr="00C67536" w:rsidRDefault="001603AA" w:rsidP="00020250">
            <w:pPr>
              <w:jc w:val="center"/>
              <w:rPr>
                <w:rFonts w:ascii="Arial" w:hAnsi="Arial" w:cs="Arial"/>
                <w:sz w:val="26"/>
                <w:szCs w:val="26"/>
              </w:rPr>
            </w:pPr>
          </w:p>
          <w:p w14:paraId="0DCD0157" w14:textId="77777777" w:rsidR="001603AA" w:rsidRPr="00C67536" w:rsidRDefault="001603AA" w:rsidP="00020250">
            <w:pPr>
              <w:jc w:val="center"/>
              <w:rPr>
                <w:rFonts w:ascii="Arial" w:hAnsi="Arial" w:cs="Arial"/>
                <w:sz w:val="26"/>
                <w:szCs w:val="26"/>
              </w:rPr>
            </w:pPr>
          </w:p>
          <w:p w14:paraId="36D0CAC8" w14:textId="77777777" w:rsidR="001603AA" w:rsidRPr="00C67536" w:rsidRDefault="001603AA" w:rsidP="00020250">
            <w:pPr>
              <w:jc w:val="center"/>
              <w:rPr>
                <w:rFonts w:ascii="Arial" w:hAnsi="Arial" w:cs="Arial"/>
                <w:sz w:val="26"/>
                <w:szCs w:val="26"/>
              </w:rPr>
            </w:pPr>
          </w:p>
          <w:p w14:paraId="37D415DD" w14:textId="77777777" w:rsidR="001603AA" w:rsidRPr="00C67536" w:rsidRDefault="001603AA" w:rsidP="00020250">
            <w:pPr>
              <w:jc w:val="center"/>
              <w:rPr>
                <w:rFonts w:ascii="Arial" w:hAnsi="Arial" w:cs="Arial"/>
                <w:sz w:val="26"/>
                <w:szCs w:val="26"/>
              </w:rPr>
            </w:pPr>
          </w:p>
          <w:p w14:paraId="616C4B5E" w14:textId="77777777" w:rsidR="001603AA" w:rsidRPr="00C67536" w:rsidRDefault="001603AA" w:rsidP="00020250">
            <w:pPr>
              <w:jc w:val="center"/>
              <w:rPr>
                <w:rFonts w:ascii="Arial" w:hAnsi="Arial" w:cs="Arial"/>
                <w:sz w:val="26"/>
                <w:szCs w:val="26"/>
              </w:rPr>
            </w:pPr>
          </w:p>
          <w:p w14:paraId="5C90326A" w14:textId="77777777" w:rsidR="001603AA" w:rsidRPr="00C67536" w:rsidRDefault="001603AA" w:rsidP="00020250">
            <w:pPr>
              <w:jc w:val="center"/>
              <w:rPr>
                <w:rFonts w:ascii="Arial" w:hAnsi="Arial" w:cs="Arial"/>
                <w:sz w:val="26"/>
                <w:szCs w:val="26"/>
              </w:rPr>
            </w:pPr>
          </w:p>
          <w:p w14:paraId="29264F69" w14:textId="77777777" w:rsidR="001603AA" w:rsidRPr="00C67536" w:rsidRDefault="001603AA" w:rsidP="00020250">
            <w:pPr>
              <w:jc w:val="center"/>
              <w:rPr>
                <w:rFonts w:ascii="Arial" w:hAnsi="Arial" w:cs="Arial"/>
                <w:sz w:val="26"/>
                <w:szCs w:val="26"/>
              </w:rPr>
            </w:pPr>
          </w:p>
          <w:p w14:paraId="38483DAE" w14:textId="77777777" w:rsidR="001603AA" w:rsidRPr="00C67536" w:rsidRDefault="001603AA" w:rsidP="00020250">
            <w:pPr>
              <w:jc w:val="center"/>
              <w:rPr>
                <w:rFonts w:ascii="Arial" w:hAnsi="Arial" w:cs="Arial"/>
                <w:sz w:val="26"/>
                <w:szCs w:val="26"/>
              </w:rPr>
            </w:pPr>
          </w:p>
          <w:p w14:paraId="47D9E5A1" w14:textId="77777777" w:rsidR="001603AA" w:rsidRPr="00C67536" w:rsidRDefault="001603AA" w:rsidP="00020250">
            <w:pPr>
              <w:jc w:val="center"/>
              <w:rPr>
                <w:rFonts w:ascii="Arial" w:hAnsi="Arial" w:cs="Arial"/>
                <w:sz w:val="26"/>
                <w:szCs w:val="26"/>
              </w:rPr>
            </w:pPr>
          </w:p>
          <w:p w14:paraId="15E9FCCA" w14:textId="77777777" w:rsidR="001603AA" w:rsidRPr="00C67536" w:rsidRDefault="001603AA" w:rsidP="00020250">
            <w:pPr>
              <w:jc w:val="center"/>
              <w:rPr>
                <w:rFonts w:ascii="Arial" w:hAnsi="Arial" w:cs="Arial"/>
                <w:sz w:val="26"/>
                <w:szCs w:val="26"/>
              </w:rPr>
            </w:pPr>
          </w:p>
          <w:p w14:paraId="51F26261" w14:textId="77777777" w:rsidR="001603AA" w:rsidRPr="00C67536" w:rsidRDefault="001603AA" w:rsidP="00020250">
            <w:pPr>
              <w:jc w:val="center"/>
              <w:rPr>
                <w:rFonts w:ascii="Arial" w:hAnsi="Arial" w:cs="Arial"/>
                <w:sz w:val="26"/>
                <w:szCs w:val="26"/>
              </w:rPr>
            </w:pPr>
          </w:p>
          <w:p w14:paraId="6C271C64" w14:textId="77777777" w:rsidR="001603AA" w:rsidRPr="00C67536" w:rsidRDefault="001603AA" w:rsidP="00020250">
            <w:pPr>
              <w:jc w:val="center"/>
              <w:rPr>
                <w:rFonts w:ascii="Arial" w:hAnsi="Arial" w:cs="Arial"/>
                <w:sz w:val="26"/>
                <w:szCs w:val="26"/>
              </w:rPr>
            </w:pPr>
          </w:p>
          <w:p w14:paraId="4A3FD94A" w14:textId="77777777" w:rsidR="001603AA" w:rsidRPr="00C67536" w:rsidRDefault="001603AA" w:rsidP="00020250">
            <w:pPr>
              <w:jc w:val="center"/>
              <w:rPr>
                <w:rFonts w:ascii="Arial" w:hAnsi="Arial" w:cs="Arial"/>
                <w:sz w:val="26"/>
                <w:szCs w:val="26"/>
              </w:rPr>
            </w:pPr>
          </w:p>
          <w:p w14:paraId="5552CD14" w14:textId="77777777" w:rsidR="001603AA" w:rsidRPr="00C67536" w:rsidRDefault="001603AA" w:rsidP="00020250">
            <w:pPr>
              <w:jc w:val="center"/>
              <w:rPr>
                <w:rFonts w:ascii="Arial" w:hAnsi="Arial" w:cs="Arial"/>
                <w:sz w:val="26"/>
                <w:szCs w:val="26"/>
              </w:rPr>
            </w:pPr>
          </w:p>
          <w:p w14:paraId="5DF9F53E" w14:textId="77777777" w:rsidR="001603AA" w:rsidRPr="00C67536" w:rsidRDefault="001603AA" w:rsidP="00020250">
            <w:pPr>
              <w:jc w:val="center"/>
              <w:rPr>
                <w:rFonts w:ascii="Arial" w:hAnsi="Arial" w:cs="Arial"/>
                <w:sz w:val="26"/>
                <w:szCs w:val="26"/>
              </w:rPr>
            </w:pPr>
          </w:p>
          <w:p w14:paraId="5E771AB7" w14:textId="77777777" w:rsidR="001603AA" w:rsidRPr="00C67536" w:rsidRDefault="001603AA" w:rsidP="00020250">
            <w:pPr>
              <w:jc w:val="center"/>
              <w:rPr>
                <w:rFonts w:ascii="Arial" w:hAnsi="Arial" w:cs="Arial"/>
                <w:sz w:val="26"/>
                <w:szCs w:val="26"/>
              </w:rPr>
            </w:pPr>
          </w:p>
          <w:p w14:paraId="76CAA5CE" w14:textId="77777777" w:rsidR="001603AA" w:rsidRPr="00C67536" w:rsidRDefault="001603AA" w:rsidP="00020250">
            <w:pPr>
              <w:jc w:val="center"/>
              <w:rPr>
                <w:rFonts w:ascii="Arial" w:hAnsi="Arial" w:cs="Arial"/>
                <w:sz w:val="26"/>
                <w:szCs w:val="26"/>
              </w:rPr>
            </w:pPr>
          </w:p>
          <w:p w14:paraId="79697CED" w14:textId="77777777" w:rsidR="001603AA" w:rsidRPr="00C67536" w:rsidRDefault="001603AA" w:rsidP="00020250">
            <w:pPr>
              <w:jc w:val="center"/>
              <w:rPr>
                <w:rFonts w:ascii="Arial" w:hAnsi="Arial" w:cs="Arial"/>
                <w:sz w:val="26"/>
                <w:szCs w:val="26"/>
              </w:rPr>
            </w:pPr>
          </w:p>
          <w:p w14:paraId="45AF13CF" w14:textId="5D9D495E" w:rsidR="00020250" w:rsidRPr="00C67536" w:rsidRDefault="00A20708" w:rsidP="00020250">
            <w:pPr>
              <w:jc w:val="center"/>
              <w:rPr>
                <w:rFonts w:ascii="Arial" w:hAnsi="Arial" w:cs="Arial"/>
                <w:sz w:val="26"/>
                <w:szCs w:val="26"/>
              </w:rPr>
            </w:pPr>
            <w:r w:rsidRPr="00C67536">
              <w:rPr>
                <w:rFonts w:ascii="Arial" w:hAnsi="Arial" w:cs="Arial"/>
                <w:sz w:val="26"/>
                <w:szCs w:val="26"/>
              </w:rPr>
              <w:t>1</w:t>
            </w:r>
            <w:r w:rsidR="001603AA" w:rsidRPr="00C67536">
              <w:rPr>
                <w:rFonts w:ascii="Arial" w:hAnsi="Arial" w:cs="Arial"/>
                <w:sz w:val="26"/>
                <w:szCs w:val="26"/>
              </w:rPr>
              <w:t>2</w:t>
            </w:r>
            <w:r w:rsidR="00643B6E" w:rsidRPr="00C67536">
              <w:rPr>
                <w:rFonts w:ascii="Arial" w:hAnsi="Arial" w:cs="Arial"/>
                <w:sz w:val="26"/>
                <w:szCs w:val="26"/>
              </w:rPr>
              <w:t>5</w:t>
            </w:r>
            <w:r w:rsidR="00E9189D">
              <w:rPr>
                <w:rFonts w:ascii="Arial" w:hAnsi="Arial" w:cs="Arial"/>
                <w:sz w:val="26"/>
                <w:szCs w:val="26"/>
              </w:rPr>
              <w:t>-133</w:t>
            </w:r>
          </w:p>
        </w:tc>
      </w:tr>
      <w:tr w:rsidR="00020250" w:rsidRPr="00C67536" w14:paraId="7421C280" w14:textId="77777777" w:rsidTr="00E9189D">
        <w:trPr>
          <w:trHeight w:val="882"/>
        </w:trPr>
        <w:tc>
          <w:tcPr>
            <w:tcW w:w="704" w:type="dxa"/>
            <w:vAlign w:val="center"/>
          </w:tcPr>
          <w:p w14:paraId="20984AB0" w14:textId="77777777" w:rsidR="00020250" w:rsidRPr="00C67536" w:rsidRDefault="00020250" w:rsidP="00020250">
            <w:pPr>
              <w:jc w:val="center"/>
              <w:rPr>
                <w:rFonts w:ascii="Arial" w:hAnsi="Arial" w:cs="Arial"/>
                <w:b/>
                <w:bCs/>
                <w:sz w:val="26"/>
                <w:szCs w:val="26"/>
              </w:rPr>
            </w:pPr>
            <w:r w:rsidRPr="00C67536">
              <w:rPr>
                <w:rFonts w:ascii="Arial" w:hAnsi="Arial" w:cs="Arial"/>
                <w:b/>
                <w:bCs/>
                <w:sz w:val="26"/>
                <w:szCs w:val="26"/>
              </w:rPr>
              <w:t>VII.</w:t>
            </w:r>
          </w:p>
        </w:tc>
        <w:tc>
          <w:tcPr>
            <w:tcW w:w="3260" w:type="dxa"/>
            <w:vAlign w:val="center"/>
          </w:tcPr>
          <w:p w14:paraId="0D76065A" w14:textId="7DA76350" w:rsidR="00020250" w:rsidRPr="00C67536" w:rsidRDefault="00020250" w:rsidP="00020250">
            <w:pPr>
              <w:pStyle w:val="Prrafo"/>
              <w:rPr>
                <w:b/>
              </w:rPr>
            </w:pPr>
            <w:r w:rsidRPr="00C67536">
              <w:rPr>
                <w:b/>
              </w:rPr>
              <w:t>REVISIÓN ADHESIVA</w:t>
            </w:r>
            <w:r w:rsidR="00586EEF">
              <w:rPr>
                <w:b/>
              </w:rPr>
              <w:t>.</w:t>
            </w:r>
          </w:p>
        </w:tc>
        <w:tc>
          <w:tcPr>
            <w:tcW w:w="3828" w:type="dxa"/>
          </w:tcPr>
          <w:p w14:paraId="68F2A47E" w14:textId="6EDAD74C" w:rsidR="00020250" w:rsidRPr="00C67536" w:rsidRDefault="00020250" w:rsidP="00020250">
            <w:pPr>
              <w:jc w:val="both"/>
              <w:rPr>
                <w:rFonts w:ascii="Arial" w:hAnsi="Arial" w:cs="Arial"/>
                <w:sz w:val="26"/>
                <w:szCs w:val="26"/>
                <w:lang w:val="es-ES_tradnl"/>
              </w:rPr>
            </w:pPr>
            <w:r w:rsidRPr="00C67536">
              <w:rPr>
                <w:rFonts w:ascii="Arial" w:hAnsi="Arial" w:cs="Arial"/>
                <w:sz w:val="26"/>
                <w:szCs w:val="26"/>
                <w:lang w:val="es-ES_tradnl"/>
              </w:rPr>
              <w:t>Al confirmarse la sentencia impugnada, la revisión adhesiva se declara sin materia.</w:t>
            </w:r>
          </w:p>
          <w:p w14:paraId="3F9D71A1" w14:textId="77777777" w:rsidR="00020250" w:rsidRPr="00C67536" w:rsidRDefault="00020250" w:rsidP="00020250">
            <w:pPr>
              <w:rPr>
                <w:rFonts w:ascii="Arial" w:hAnsi="Arial" w:cs="Arial"/>
                <w:sz w:val="26"/>
                <w:szCs w:val="26"/>
                <w:lang w:val="es-ES_tradnl"/>
              </w:rPr>
            </w:pPr>
          </w:p>
        </w:tc>
        <w:tc>
          <w:tcPr>
            <w:tcW w:w="1275" w:type="dxa"/>
          </w:tcPr>
          <w:p w14:paraId="1E6026AF" w14:textId="77777777" w:rsidR="00E9189D" w:rsidRDefault="00E9189D" w:rsidP="00020250">
            <w:pPr>
              <w:jc w:val="center"/>
              <w:rPr>
                <w:rFonts w:ascii="Arial" w:hAnsi="Arial" w:cs="Arial"/>
                <w:sz w:val="26"/>
                <w:szCs w:val="26"/>
              </w:rPr>
            </w:pPr>
          </w:p>
          <w:p w14:paraId="6ED5B46D" w14:textId="77777777" w:rsidR="00E9189D" w:rsidRDefault="00E9189D" w:rsidP="00020250">
            <w:pPr>
              <w:jc w:val="center"/>
              <w:rPr>
                <w:rFonts w:ascii="Arial" w:hAnsi="Arial" w:cs="Arial"/>
                <w:sz w:val="26"/>
                <w:szCs w:val="26"/>
              </w:rPr>
            </w:pPr>
          </w:p>
          <w:p w14:paraId="0D14BA57" w14:textId="01A8FEAF" w:rsidR="00020250" w:rsidRDefault="007B0322" w:rsidP="00020250">
            <w:pPr>
              <w:jc w:val="center"/>
              <w:rPr>
                <w:rFonts w:ascii="Arial" w:hAnsi="Arial" w:cs="Arial"/>
                <w:sz w:val="26"/>
                <w:szCs w:val="26"/>
              </w:rPr>
            </w:pPr>
            <w:r w:rsidRPr="00C67536">
              <w:rPr>
                <w:rFonts w:ascii="Arial" w:hAnsi="Arial" w:cs="Arial"/>
                <w:sz w:val="26"/>
                <w:szCs w:val="26"/>
              </w:rPr>
              <w:t>1</w:t>
            </w:r>
            <w:r w:rsidR="006C5745" w:rsidRPr="00C67536">
              <w:rPr>
                <w:rFonts w:ascii="Arial" w:hAnsi="Arial" w:cs="Arial"/>
                <w:sz w:val="26"/>
                <w:szCs w:val="26"/>
              </w:rPr>
              <w:t>3</w:t>
            </w:r>
            <w:r w:rsidR="00A37023" w:rsidRPr="00C67536">
              <w:rPr>
                <w:rFonts w:ascii="Arial" w:hAnsi="Arial" w:cs="Arial"/>
                <w:sz w:val="26"/>
                <w:szCs w:val="26"/>
              </w:rPr>
              <w:t>3</w:t>
            </w:r>
            <w:r w:rsidR="00E9189D">
              <w:rPr>
                <w:rFonts w:ascii="Arial" w:hAnsi="Arial" w:cs="Arial"/>
                <w:sz w:val="26"/>
                <w:szCs w:val="26"/>
              </w:rPr>
              <w:t>-134</w:t>
            </w:r>
          </w:p>
          <w:p w14:paraId="161D10FF" w14:textId="795808F9" w:rsidR="00E9189D" w:rsidRPr="00C67536" w:rsidRDefault="00E9189D" w:rsidP="00020250">
            <w:pPr>
              <w:jc w:val="center"/>
              <w:rPr>
                <w:rFonts w:ascii="Arial" w:hAnsi="Arial" w:cs="Arial"/>
                <w:sz w:val="26"/>
                <w:szCs w:val="26"/>
              </w:rPr>
            </w:pPr>
          </w:p>
        </w:tc>
      </w:tr>
      <w:tr w:rsidR="00020250" w:rsidRPr="00C67536" w14:paraId="644B91FC" w14:textId="77777777" w:rsidTr="00E9189D">
        <w:trPr>
          <w:trHeight w:val="882"/>
        </w:trPr>
        <w:tc>
          <w:tcPr>
            <w:tcW w:w="704" w:type="dxa"/>
            <w:vAlign w:val="center"/>
          </w:tcPr>
          <w:p w14:paraId="4E2FADB9" w14:textId="77777777" w:rsidR="00020250" w:rsidRPr="00C67536" w:rsidRDefault="00020250" w:rsidP="00020250">
            <w:pPr>
              <w:jc w:val="center"/>
              <w:rPr>
                <w:rFonts w:ascii="Arial" w:hAnsi="Arial" w:cs="Arial"/>
                <w:b/>
                <w:bCs/>
                <w:sz w:val="26"/>
                <w:szCs w:val="26"/>
              </w:rPr>
            </w:pPr>
            <w:r w:rsidRPr="00C67536">
              <w:rPr>
                <w:rFonts w:ascii="Arial" w:hAnsi="Arial" w:cs="Arial"/>
                <w:b/>
                <w:bCs/>
                <w:sz w:val="26"/>
                <w:szCs w:val="26"/>
              </w:rPr>
              <w:t>VIII.</w:t>
            </w:r>
          </w:p>
        </w:tc>
        <w:tc>
          <w:tcPr>
            <w:tcW w:w="3260" w:type="dxa"/>
            <w:vAlign w:val="center"/>
          </w:tcPr>
          <w:p w14:paraId="16286A8D" w14:textId="1999E43C" w:rsidR="00020250" w:rsidRPr="00C67536" w:rsidRDefault="00020250" w:rsidP="00020250">
            <w:pPr>
              <w:pStyle w:val="Heading3"/>
              <w:numPr>
                <w:ilvl w:val="0"/>
                <w:numId w:val="0"/>
              </w:numPr>
              <w:spacing w:before="0" w:after="0"/>
              <w:ind w:left="63"/>
              <w:jc w:val="both"/>
              <w:outlineLvl w:val="2"/>
            </w:pPr>
            <w:r w:rsidRPr="00C67536">
              <w:t>DECISIÓN</w:t>
            </w:r>
            <w:r w:rsidR="00586EEF">
              <w:t>.</w:t>
            </w:r>
          </w:p>
        </w:tc>
        <w:tc>
          <w:tcPr>
            <w:tcW w:w="3828" w:type="dxa"/>
          </w:tcPr>
          <w:p w14:paraId="194D73EE" w14:textId="66458C03" w:rsidR="00020250" w:rsidRPr="00C67536" w:rsidRDefault="00020250" w:rsidP="00020250">
            <w:pPr>
              <w:jc w:val="both"/>
              <w:rPr>
                <w:rFonts w:ascii="Arial" w:hAnsi="Arial" w:cs="Arial"/>
                <w:bCs/>
                <w:sz w:val="26"/>
                <w:szCs w:val="26"/>
              </w:rPr>
            </w:pPr>
            <w:r w:rsidRPr="00C67536">
              <w:rPr>
                <w:rFonts w:ascii="Arial" w:hAnsi="Arial" w:cs="Arial"/>
                <w:b/>
                <w:bCs/>
                <w:sz w:val="26"/>
                <w:szCs w:val="26"/>
              </w:rPr>
              <w:t xml:space="preserve">PRIMERO. </w:t>
            </w:r>
            <w:r w:rsidRPr="00C67536">
              <w:rPr>
                <w:rFonts w:ascii="Arial" w:hAnsi="Arial" w:cs="Arial"/>
                <w:bCs/>
                <w:sz w:val="26"/>
                <w:szCs w:val="26"/>
              </w:rPr>
              <w:t>En la materia de revisión, se confirma la sentencia recurrida.</w:t>
            </w:r>
          </w:p>
          <w:p w14:paraId="1F4CF6ED" w14:textId="21E97C3D" w:rsidR="00020250" w:rsidRPr="00C67536" w:rsidRDefault="00020250" w:rsidP="00020250">
            <w:pPr>
              <w:jc w:val="both"/>
              <w:rPr>
                <w:rFonts w:ascii="Arial" w:hAnsi="Arial" w:cs="Arial"/>
                <w:sz w:val="26"/>
                <w:szCs w:val="26"/>
              </w:rPr>
            </w:pPr>
            <w:r w:rsidRPr="00C67536">
              <w:rPr>
                <w:rFonts w:ascii="Arial" w:hAnsi="Arial" w:cs="Arial"/>
                <w:b/>
                <w:bCs/>
                <w:sz w:val="26"/>
                <w:szCs w:val="26"/>
              </w:rPr>
              <w:t>SEGUNDO</w:t>
            </w:r>
            <w:r w:rsidRPr="00C67536">
              <w:rPr>
                <w:rFonts w:ascii="Arial" w:hAnsi="Arial" w:cs="Arial"/>
                <w:bCs/>
                <w:sz w:val="26"/>
                <w:szCs w:val="26"/>
              </w:rPr>
              <w:t>.</w:t>
            </w:r>
            <w:r w:rsidR="002C2390" w:rsidRPr="00C67536">
              <w:rPr>
                <w:rFonts w:ascii="Arial" w:hAnsi="Arial" w:cs="Arial"/>
                <w:bCs/>
                <w:sz w:val="26"/>
                <w:szCs w:val="26"/>
              </w:rPr>
              <w:t xml:space="preserve"> </w:t>
            </w:r>
            <w:r w:rsidRPr="00C67536">
              <w:rPr>
                <w:rFonts w:ascii="Arial" w:hAnsi="Arial" w:cs="Arial"/>
                <w:bCs/>
                <w:sz w:val="26"/>
                <w:szCs w:val="26"/>
              </w:rPr>
              <w:t xml:space="preserve">La Justicia de la Unión no ampara ni protege a </w:t>
            </w:r>
            <w:r w:rsidRPr="00C67536">
              <w:rPr>
                <w:rFonts w:ascii="Arial" w:hAnsi="Arial" w:cs="Arial"/>
                <w:sz w:val="26"/>
                <w:szCs w:val="26"/>
              </w:rPr>
              <w:t>Desde el Corazón del Fruto, Sociedad Anónima de Capital Variable, contra los artículos 212, párrafo tercero, y 215, fracción VI, de la Ley General de Salud, en relación con la Modificación a la Norma Oficial Mexicana NOM-051- SCFI/SSA1</w:t>
            </w:r>
            <w:r w:rsidR="00A47350" w:rsidRPr="00C67536">
              <w:rPr>
                <w:rFonts w:ascii="Arial" w:hAnsi="Arial" w:cs="Arial"/>
                <w:sz w:val="26"/>
                <w:szCs w:val="26"/>
              </w:rPr>
              <w:t>-</w:t>
            </w:r>
            <w:r w:rsidRPr="00C67536">
              <w:rPr>
                <w:rFonts w:ascii="Arial" w:hAnsi="Arial" w:cs="Arial"/>
                <w:sz w:val="26"/>
                <w:szCs w:val="26"/>
              </w:rPr>
              <w:t xml:space="preserve">2010, publicada en </w:t>
            </w:r>
            <w:r w:rsidR="00E9189D">
              <w:rPr>
                <w:rFonts w:ascii="Arial" w:hAnsi="Arial" w:cs="Arial"/>
                <w:sz w:val="26"/>
                <w:szCs w:val="26"/>
              </w:rPr>
              <w:t xml:space="preserve">Diario Oficial de la Federación </w:t>
            </w:r>
            <w:r w:rsidRPr="00C67536">
              <w:rPr>
                <w:rFonts w:ascii="Arial" w:hAnsi="Arial" w:cs="Arial"/>
                <w:sz w:val="26"/>
                <w:szCs w:val="26"/>
              </w:rPr>
              <w:t>el veintisiete de marzo de dos mil veinte, específicamente por lo que hace a los numerales 1, 4.5.3.4 al 4.5.3.4.7 y 7.1.3, y el apéndice A (normativo), así como de la Nota Aclaratoria a dicha norma.</w:t>
            </w:r>
          </w:p>
          <w:p w14:paraId="354E73C8" w14:textId="34A3A89D" w:rsidR="00BA4ED6" w:rsidRPr="00C67536" w:rsidRDefault="00BA4ED6" w:rsidP="00020250">
            <w:pPr>
              <w:jc w:val="both"/>
              <w:rPr>
                <w:rFonts w:ascii="Arial" w:hAnsi="Arial" w:cs="Arial"/>
                <w:bCs/>
                <w:sz w:val="26"/>
                <w:szCs w:val="26"/>
              </w:rPr>
            </w:pPr>
            <w:r w:rsidRPr="00C67536">
              <w:rPr>
                <w:rFonts w:ascii="Arial" w:hAnsi="Arial" w:cs="Arial"/>
                <w:b/>
                <w:sz w:val="26"/>
                <w:szCs w:val="26"/>
              </w:rPr>
              <w:t xml:space="preserve">TERCERO. </w:t>
            </w:r>
            <w:r w:rsidRPr="00C67536">
              <w:rPr>
                <w:rFonts w:ascii="Arial" w:hAnsi="Arial" w:cs="Arial"/>
                <w:bCs/>
                <w:sz w:val="26"/>
                <w:szCs w:val="26"/>
              </w:rPr>
              <w:t>Queda sin materia la revisión adhesiva.</w:t>
            </w:r>
          </w:p>
        </w:tc>
        <w:tc>
          <w:tcPr>
            <w:tcW w:w="1275" w:type="dxa"/>
          </w:tcPr>
          <w:p w14:paraId="5173F875" w14:textId="77777777" w:rsidR="00E9189D" w:rsidRDefault="00E9189D" w:rsidP="00020250">
            <w:pPr>
              <w:jc w:val="center"/>
              <w:rPr>
                <w:rFonts w:ascii="Arial" w:hAnsi="Arial" w:cs="Arial"/>
                <w:sz w:val="26"/>
                <w:szCs w:val="26"/>
              </w:rPr>
            </w:pPr>
          </w:p>
          <w:p w14:paraId="1DBC851E" w14:textId="4B3F2B7B" w:rsidR="00020250" w:rsidRPr="00C67536" w:rsidRDefault="007B0322" w:rsidP="00020250">
            <w:pPr>
              <w:jc w:val="center"/>
              <w:rPr>
                <w:rFonts w:ascii="Arial" w:hAnsi="Arial" w:cs="Arial"/>
                <w:sz w:val="26"/>
                <w:szCs w:val="26"/>
              </w:rPr>
            </w:pPr>
            <w:r w:rsidRPr="00C67536">
              <w:rPr>
                <w:rFonts w:ascii="Arial" w:hAnsi="Arial" w:cs="Arial"/>
                <w:sz w:val="26"/>
                <w:szCs w:val="26"/>
              </w:rPr>
              <w:t>1</w:t>
            </w:r>
            <w:r w:rsidR="006C5745" w:rsidRPr="00C67536">
              <w:rPr>
                <w:rFonts w:ascii="Arial" w:hAnsi="Arial" w:cs="Arial"/>
                <w:sz w:val="26"/>
                <w:szCs w:val="26"/>
              </w:rPr>
              <w:t>3</w:t>
            </w:r>
            <w:r w:rsidR="00173FAB" w:rsidRPr="00C67536">
              <w:rPr>
                <w:rFonts w:ascii="Arial" w:hAnsi="Arial" w:cs="Arial"/>
                <w:sz w:val="26"/>
                <w:szCs w:val="26"/>
              </w:rPr>
              <w:t>4</w:t>
            </w:r>
          </w:p>
        </w:tc>
      </w:tr>
    </w:tbl>
    <w:p w14:paraId="422C5254" w14:textId="77777777" w:rsidR="00652869" w:rsidRPr="00C67536" w:rsidRDefault="00652869" w:rsidP="00076C42">
      <w:pPr>
        <w:spacing w:after="200" w:line="360" w:lineRule="auto"/>
        <w:rPr>
          <w:rFonts w:ascii="Arial" w:hAnsi="Arial" w:cs="Arial"/>
          <w:sz w:val="28"/>
          <w:szCs w:val="28"/>
        </w:rPr>
        <w:sectPr w:rsidR="00652869" w:rsidRPr="00C67536" w:rsidSect="00297A38">
          <w:headerReference w:type="even" r:id="rId12"/>
          <w:headerReference w:type="default" r:id="rId13"/>
          <w:footerReference w:type="even" r:id="rId14"/>
          <w:footerReference w:type="default" r:id="rId15"/>
          <w:headerReference w:type="first" r:id="rId16"/>
          <w:footerReference w:type="first" r:id="rId17"/>
          <w:pgSz w:w="12242" w:h="20163" w:code="5"/>
          <w:pgMar w:top="1702" w:right="1701" w:bottom="2268" w:left="1701" w:header="1134" w:footer="1701" w:gutter="0"/>
          <w:pgNumType w:fmt="upperRoman"/>
          <w:cols w:space="720"/>
          <w:titlePg/>
          <w:docGrid w:linePitch="272"/>
        </w:sectPr>
      </w:pPr>
    </w:p>
    <w:p w14:paraId="395F3BEE" w14:textId="270AA2E5" w:rsidR="00F935FB" w:rsidRPr="00C67536" w:rsidRDefault="00F935FB">
      <w:pPr>
        <w:spacing w:after="200" w:line="276" w:lineRule="auto"/>
        <w:rPr>
          <w:rFonts w:cs="Arial"/>
          <w:sz w:val="28"/>
          <w:szCs w:val="28"/>
        </w:rPr>
      </w:pPr>
    </w:p>
    <w:p w14:paraId="59A59FAA" w14:textId="77777777" w:rsidR="00AF14D1" w:rsidRPr="00C67536" w:rsidRDefault="00AF14D1">
      <w:pPr>
        <w:spacing w:after="200" w:line="276" w:lineRule="auto"/>
        <w:rPr>
          <w:rFonts w:cs="Arial"/>
          <w:sz w:val="28"/>
          <w:szCs w:val="28"/>
        </w:rPr>
      </w:pPr>
    </w:p>
    <w:p w14:paraId="74EB24F0" w14:textId="77777777" w:rsidR="00AF14D1" w:rsidRPr="00C67536" w:rsidRDefault="00AF14D1">
      <w:pPr>
        <w:spacing w:after="200" w:line="276" w:lineRule="auto"/>
        <w:rPr>
          <w:rFonts w:cs="Arial"/>
          <w:sz w:val="28"/>
          <w:szCs w:val="28"/>
        </w:rPr>
      </w:pPr>
    </w:p>
    <w:p w14:paraId="56F8A8D2" w14:textId="77777777" w:rsidR="00AF14D1" w:rsidRPr="00C67536" w:rsidRDefault="00AF14D1">
      <w:pPr>
        <w:spacing w:after="200" w:line="276" w:lineRule="auto"/>
        <w:rPr>
          <w:rFonts w:cs="Arial"/>
          <w:sz w:val="28"/>
          <w:szCs w:val="28"/>
        </w:rPr>
      </w:pPr>
    </w:p>
    <w:p w14:paraId="012750D9" w14:textId="77777777" w:rsidR="00AF14D1" w:rsidRPr="00C67536" w:rsidRDefault="00AF14D1">
      <w:pPr>
        <w:spacing w:after="200" w:line="276" w:lineRule="auto"/>
        <w:rPr>
          <w:rFonts w:cs="Arial"/>
          <w:sz w:val="28"/>
          <w:szCs w:val="28"/>
        </w:rPr>
      </w:pPr>
    </w:p>
    <w:p w14:paraId="41F6C41A" w14:textId="77777777" w:rsidR="00AF14D1" w:rsidRPr="00C67536" w:rsidRDefault="00AF14D1">
      <w:pPr>
        <w:spacing w:after="200" w:line="276" w:lineRule="auto"/>
        <w:rPr>
          <w:rFonts w:cs="Arial"/>
          <w:sz w:val="28"/>
          <w:szCs w:val="28"/>
        </w:rPr>
      </w:pPr>
    </w:p>
    <w:p w14:paraId="5C1C467F" w14:textId="77777777" w:rsidR="00AF14D1" w:rsidRPr="00C67536" w:rsidRDefault="00AF14D1">
      <w:pPr>
        <w:spacing w:after="200" w:line="276" w:lineRule="auto"/>
        <w:rPr>
          <w:rFonts w:cs="Arial"/>
          <w:sz w:val="28"/>
          <w:szCs w:val="28"/>
        </w:rPr>
      </w:pPr>
    </w:p>
    <w:p w14:paraId="476A1EBA" w14:textId="77777777" w:rsidR="00AF14D1" w:rsidRPr="00C67536" w:rsidRDefault="00AF14D1">
      <w:pPr>
        <w:spacing w:after="200" w:line="276" w:lineRule="auto"/>
        <w:rPr>
          <w:rFonts w:cs="Arial"/>
          <w:sz w:val="28"/>
          <w:szCs w:val="28"/>
        </w:rPr>
      </w:pPr>
    </w:p>
    <w:p w14:paraId="411CB1AF" w14:textId="77777777" w:rsidR="00AF14D1" w:rsidRPr="00C67536" w:rsidRDefault="00AF14D1">
      <w:pPr>
        <w:spacing w:after="200" w:line="276" w:lineRule="auto"/>
        <w:rPr>
          <w:rFonts w:cs="Arial"/>
          <w:sz w:val="28"/>
          <w:szCs w:val="28"/>
        </w:rPr>
      </w:pPr>
    </w:p>
    <w:p w14:paraId="2D306590" w14:textId="77777777" w:rsidR="00AF14D1" w:rsidRPr="00C67536" w:rsidRDefault="00AF14D1">
      <w:pPr>
        <w:spacing w:after="200" w:line="276" w:lineRule="auto"/>
        <w:rPr>
          <w:rFonts w:cs="Arial"/>
          <w:sz w:val="28"/>
          <w:szCs w:val="28"/>
        </w:rPr>
      </w:pPr>
    </w:p>
    <w:p w14:paraId="1AEB1219" w14:textId="77777777" w:rsidR="00AF14D1" w:rsidRPr="00C67536" w:rsidRDefault="00AF14D1">
      <w:pPr>
        <w:spacing w:after="200" w:line="276" w:lineRule="auto"/>
        <w:rPr>
          <w:rFonts w:ascii="Arial" w:hAnsi="Arial" w:cs="Arial"/>
          <w:b/>
          <w:caps/>
          <w:sz w:val="28"/>
          <w:szCs w:val="28"/>
        </w:rPr>
        <w:sectPr w:rsidR="00AF14D1" w:rsidRPr="00C67536" w:rsidSect="00297A38">
          <w:footerReference w:type="even" r:id="rId18"/>
          <w:footerReference w:type="default" r:id="rId19"/>
          <w:footerReference w:type="first" r:id="rId20"/>
          <w:type w:val="continuous"/>
          <w:pgSz w:w="12242" w:h="20163" w:code="5"/>
          <w:pgMar w:top="1701" w:right="1701" w:bottom="2268" w:left="1701" w:header="1276" w:footer="1701" w:gutter="0"/>
          <w:pgNumType w:start="1"/>
          <w:cols w:space="720"/>
          <w:titlePg/>
          <w:docGrid w:linePitch="272"/>
        </w:sectPr>
      </w:pPr>
    </w:p>
    <w:p w14:paraId="60479205" w14:textId="77777777" w:rsidR="00AF14D1" w:rsidRPr="00C67536" w:rsidRDefault="00AF14D1">
      <w:pPr>
        <w:spacing w:after="200" w:line="276" w:lineRule="auto"/>
        <w:rPr>
          <w:rFonts w:ascii="Arial" w:hAnsi="Arial" w:cs="Arial"/>
          <w:b/>
          <w:caps/>
          <w:sz w:val="28"/>
          <w:szCs w:val="28"/>
        </w:rPr>
      </w:pPr>
    </w:p>
    <w:p w14:paraId="158AE404" w14:textId="1B7F4041" w:rsidR="00942B03" w:rsidRPr="00C67536" w:rsidRDefault="00C94A65" w:rsidP="0037242E">
      <w:pPr>
        <w:pStyle w:val="corte1datos"/>
        <w:ind w:left="4111"/>
        <w:jc w:val="both"/>
        <w:rPr>
          <w:rFonts w:cs="Arial"/>
          <w:sz w:val="28"/>
          <w:szCs w:val="28"/>
        </w:rPr>
      </w:pPr>
      <w:bookmarkStart w:id="2" w:name="_Hlk77076144"/>
      <w:r w:rsidRPr="00C67536">
        <w:rPr>
          <w:rFonts w:cs="Arial"/>
          <w:sz w:val="28"/>
          <w:szCs w:val="28"/>
        </w:rPr>
        <w:t xml:space="preserve">AMPARO EN REVISIÓN </w:t>
      </w:r>
      <w:r w:rsidR="00774B16" w:rsidRPr="00C67536">
        <w:rPr>
          <w:rFonts w:cs="Arial"/>
          <w:sz w:val="28"/>
          <w:szCs w:val="28"/>
        </w:rPr>
        <w:t>358/2022</w:t>
      </w:r>
      <w:r w:rsidR="0037242E" w:rsidRPr="00C67536">
        <w:rPr>
          <w:rFonts w:cs="Arial"/>
          <w:sz w:val="28"/>
          <w:szCs w:val="28"/>
        </w:rPr>
        <w:t>.</w:t>
      </w:r>
    </w:p>
    <w:p w14:paraId="0C5A3D08" w14:textId="77777777" w:rsidR="00296B2F" w:rsidRPr="00C67536" w:rsidRDefault="00296B2F" w:rsidP="009C3066">
      <w:pPr>
        <w:pStyle w:val="corte1datos"/>
        <w:ind w:left="4111"/>
        <w:jc w:val="both"/>
        <w:rPr>
          <w:rFonts w:cs="Arial"/>
          <w:sz w:val="28"/>
          <w:szCs w:val="28"/>
        </w:rPr>
      </w:pPr>
    </w:p>
    <w:p w14:paraId="7CE40BA2" w14:textId="3CA2706B" w:rsidR="00C94A65" w:rsidRPr="00C67536" w:rsidRDefault="00766B4E" w:rsidP="003F080C">
      <w:pPr>
        <w:pStyle w:val="corte2ponente"/>
        <w:ind w:left="4111"/>
        <w:jc w:val="both"/>
        <w:rPr>
          <w:rFonts w:cs="Arial"/>
          <w:sz w:val="28"/>
          <w:szCs w:val="28"/>
        </w:rPr>
      </w:pPr>
      <w:r w:rsidRPr="00C67536">
        <w:rPr>
          <w:rFonts w:cs="Arial"/>
          <w:sz w:val="28"/>
          <w:szCs w:val="28"/>
        </w:rPr>
        <w:t xml:space="preserve">QUEJOSA Y </w:t>
      </w:r>
      <w:r w:rsidR="00F31255" w:rsidRPr="00C67536">
        <w:rPr>
          <w:rFonts w:cs="Arial"/>
          <w:sz w:val="28"/>
          <w:szCs w:val="28"/>
        </w:rPr>
        <w:t xml:space="preserve">Recurrente: </w:t>
      </w:r>
      <w:r w:rsidR="00774B16" w:rsidRPr="00C67536">
        <w:rPr>
          <w:rFonts w:cs="Arial"/>
          <w:sz w:val="28"/>
          <w:szCs w:val="28"/>
        </w:rPr>
        <w:t>DESDE EL CORAZÓN DEL FRUTO, SOCIEDAD ANÓNIMA DE CAPITAL VARIABLE</w:t>
      </w:r>
      <w:r w:rsidRPr="00C67536">
        <w:rPr>
          <w:rFonts w:cs="Arial"/>
          <w:sz w:val="28"/>
          <w:szCs w:val="28"/>
        </w:rPr>
        <w:t>.</w:t>
      </w:r>
    </w:p>
    <w:p w14:paraId="539F3ABD" w14:textId="77777777" w:rsidR="00C94A65" w:rsidRPr="00C67536" w:rsidRDefault="00C94A65" w:rsidP="00076C42">
      <w:pPr>
        <w:pStyle w:val="corte2ponente"/>
        <w:spacing w:line="360" w:lineRule="auto"/>
        <w:rPr>
          <w:rFonts w:cs="Arial"/>
          <w:sz w:val="28"/>
          <w:szCs w:val="28"/>
        </w:rPr>
      </w:pPr>
    </w:p>
    <w:bookmarkEnd w:id="2"/>
    <w:p w14:paraId="13846E61" w14:textId="77777777" w:rsidR="004377F5" w:rsidRPr="00C67536" w:rsidRDefault="004377F5" w:rsidP="004377F5">
      <w:pPr>
        <w:tabs>
          <w:tab w:val="left" w:pos="7227"/>
        </w:tabs>
        <w:spacing w:before="240" w:line="276" w:lineRule="auto"/>
        <w:jc w:val="both"/>
        <w:rPr>
          <w:rFonts w:ascii="Arial" w:eastAsia="Calibri" w:hAnsi="Arial" w:cs="Arial"/>
          <w:sz w:val="28"/>
          <w:szCs w:val="28"/>
          <w:lang w:eastAsia="en-US"/>
        </w:rPr>
      </w:pPr>
      <w:r w:rsidRPr="00C67536">
        <w:rPr>
          <w:rFonts w:ascii="Arial" w:eastAsia="Calibri" w:hAnsi="Arial" w:cs="Arial"/>
          <w:sz w:val="28"/>
          <w:szCs w:val="28"/>
          <w:lang w:eastAsia="en-US"/>
        </w:rPr>
        <w:t>VISTO BUENO</w:t>
      </w:r>
    </w:p>
    <w:p w14:paraId="5A8B3B41" w14:textId="4CA9523A" w:rsidR="004377F5" w:rsidRPr="00C67536" w:rsidRDefault="004377F5" w:rsidP="004377F5">
      <w:pPr>
        <w:tabs>
          <w:tab w:val="left" w:pos="7309"/>
        </w:tabs>
        <w:spacing w:line="276" w:lineRule="auto"/>
        <w:jc w:val="both"/>
        <w:rPr>
          <w:rFonts w:ascii="Arial" w:eastAsia="Calibri" w:hAnsi="Arial" w:cs="Arial"/>
          <w:sz w:val="28"/>
          <w:szCs w:val="28"/>
          <w:lang w:eastAsia="en-US"/>
        </w:rPr>
      </w:pPr>
      <w:r w:rsidRPr="00C67536">
        <w:rPr>
          <w:rFonts w:ascii="Arial" w:eastAsia="Calibri" w:hAnsi="Arial" w:cs="Arial"/>
          <w:sz w:val="28"/>
          <w:szCs w:val="28"/>
          <w:lang w:eastAsia="en-US"/>
        </w:rPr>
        <w:t>SRA. MINISTRA</w:t>
      </w:r>
      <w:r w:rsidR="003F080C" w:rsidRPr="00C67536">
        <w:rPr>
          <w:rFonts w:ascii="Arial" w:eastAsia="Calibri" w:hAnsi="Arial" w:cs="Arial"/>
          <w:sz w:val="28"/>
          <w:szCs w:val="28"/>
          <w:lang w:eastAsia="en-US"/>
        </w:rPr>
        <w:t>.</w:t>
      </w:r>
    </w:p>
    <w:p w14:paraId="2A6D1969" w14:textId="01A5CE3A" w:rsidR="004377F5" w:rsidRPr="00C67536" w:rsidRDefault="004377F5" w:rsidP="004377F5">
      <w:pPr>
        <w:spacing w:after="60" w:line="276" w:lineRule="auto"/>
        <w:jc w:val="both"/>
        <w:rPr>
          <w:rFonts w:ascii="Arial" w:eastAsia="Calibri" w:hAnsi="Arial" w:cs="Arial"/>
          <w:b/>
          <w:sz w:val="28"/>
          <w:szCs w:val="28"/>
          <w:lang w:eastAsia="en-US"/>
        </w:rPr>
      </w:pPr>
      <w:r w:rsidRPr="00C67536">
        <w:rPr>
          <w:rFonts w:ascii="Arial" w:eastAsia="Calibri" w:hAnsi="Arial" w:cs="Arial"/>
          <w:b/>
          <w:sz w:val="28"/>
          <w:szCs w:val="28"/>
          <w:lang w:eastAsia="en-US"/>
        </w:rPr>
        <w:t xml:space="preserve">PONENTE: </w:t>
      </w:r>
      <w:r w:rsidR="00774B16" w:rsidRPr="00C67536">
        <w:rPr>
          <w:rFonts w:ascii="Arial" w:eastAsia="Calibri" w:hAnsi="Arial" w:cs="Arial"/>
          <w:b/>
          <w:sz w:val="28"/>
          <w:szCs w:val="28"/>
          <w:lang w:eastAsia="en-US"/>
        </w:rPr>
        <w:t>MINISTRA YASMÍN ESQUIVEL MOSSA</w:t>
      </w:r>
      <w:r w:rsidR="003F080C" w:rsidRPr="00C67536">
        <w:rPr>
          <w:rFonts w:ascii="Arial" w:eastAsia="Calibri" w:hAnsi="Arial" w:cs="Arial"/>
          <w:b/>
          <w:sz w:val="28"/>
          <w:szCs w:val="28"/>
          <w:lang w:eastAsia="en-US"/>
        </w:rPr>
        <w:t>.</w:t>
      </w:r>
    </w:p>
    <w:p w14:paraId="3674A118" w14:textId="77777777" w:rsidR="003C5D4F" w:rsidRPr="00C67536" w:rsidRDefault="003C5D4F" w:rsidP="007623D0">
      <w:pPr>
        <w:spacing w:after="60"/>
        <w:jc w:val="both"/>
        <w:rPr>
          <w:rFonts w:ascii="Arial" w:eastAsia="Calibri" w:hAnsi="Arial" w:cs="Arial"/>
          <w:b/>
          <w:sz w:val="28"/>
          <w:szCs w:val="28"/>
          <w:lang w:eastAsia="en-US"/>
        </w:rPr>
      </w:pPr>
    </w:p>
    <w:p w14:paraId="3354E84A" w14:textId="77777777" w:rsidR="004377F5" w:rsidRPr="00C67536" w:rsidRDefault="004377F5" w:rsidP="004377F5">
      <w:pPr>
        <w:spacing w:line="276" w:lineRule="auto"/>
        <w:jc w:val="both"/>
        <w:rPr>
          <w:rFonts w:ascii="Arial" w:eastAsia="Calibri" w:hAnsi="Arial" w:cs="Arial"/>
          <w:sz w:val="28"/>
          <w:szCs w:val="28"/>
          <w:lang w:eastAsia="en-US"/>
        </w:rPr>
      </w:pPr>
      <w:r w:rsidRPr="00C67536">
        <w:rPr>
          <w:rFonts w:ascii="Arial" w:eastAsia="Calibri" w:hAnsi="Arial" w:cs="Arial"/>
          <w:sz w:val="28"/>
          <w:szCs w:val="28"/>
          <w:lang w:eastAsia="en-US"/>
        </w:rPr>
        <w:t>COTEJÓ</w:t>
      </w:r>
    </w:p>
    <w:p w14:paraId="5B603F2A" w14:textId="294D73DB" w:rsidR="004377F5" w:rsidRPr="00C67536" w:rsidRDefault="00774B16" w:rsidP="004377F5">
      <w:pPr>
        <w:spacing w:line="276" w:lineRule="auto"/>
        <w:jc w:val="both"/>
        <w:rPr>
          <w:rFonts w:ascii="Arial" w:eastAsia="Calibri" w:hAnsi="Arial" w:cs="Arial"/>
          <w:b/>
          <w:sz w:val="28"/>
          <w:szCs w:val="28"/>
          <w:lang w:eastAsia="en-US"/>
        </w:rPr>
      </w:pPr>
      <w:r w:rsidRPr="00C67536">
        <w:rPr>
          <w:rFonts w:ascii="Arial" w:eastAsia="Calibri" w:hAnsi="Arial" w:cs="Arial"/>
          <w:b/>
          <w:sz w:val="28"/>
          <w:szCs w:val="28"/>
          <w:lang w:eastAsia="en-US"/>
        </w:rPr>
        <w:t>SECRETARIO: JOZUE TONATIUH ROMERO MENDOZA</w:t>
      </w:r>
      <w:r w:rsidR="00EE0426" w:rsidRPr="00C67536">
        <w:rPr>
          <w:rFonts w:ascii="Arial" w:eastAsia="Calibri" w:hAnsi="Arial" w:cs="Arial"/>
          <w:b/>
          <w:sz w:val="28"/>
          <w:szCs w:val="28"/>
          <w:lang w:eastAsia="en-US"/>
        </w:rPr>
        <w:t>.</w:t>
      </w:r>
    </w:p>
    <w:p w14:paraId="55F62927" w14:textId="77777777" w:rsidR="00CF2083" w:rsidRPr="00C67536" w:rsidRDefault="00CF2083" w:rsidP="00CF2083">
      <w:pPr>
        <w:spacing w:line="276" w:lineRule="auto"/>
        <w:jc w:val="both"/>
        <w:rPr>
          <w:rFonts w:ascii="Arial" w:eastAsia="Calibri" w:hAnsi="Arial" w:cs="Arial"/>
          <w:bCs/>
          <w:sz w:val="28"/>
          <w:szCs w:val="28"/>
          <w:lang w:eastAsia="en-US"/>
        </w:rPr>
      </w:pPr>
      <w:r w:rsidRPr="00C67536">
        <w:rPr>
          <w:rFonts w:ascii="Arial" w:eastAsia="Calibri" w:hAnsi="Arial" w:cs="Arial"/>
          <w:bCs/>
          <w:sz w:val="28"/>
          <w:szCs w:val="28"/>
          <w:lang w:eastAsia="en-US"/>
        </w:rPr>
        <w:t>COLABORÓ: MARÍA JOSÉ AÑORVE FERNÁNDEZ.</w:t>
      </w:r>
    </w:p>
    <w:p w14:paraId="18F03DBA" w14:textId="77777777" w:rsidR="00C94A65" w:rsidRPr="00C67536" w:rsidRDefault="00C94A65" w:rsidP="00076C42">
      <w:pPr>
        <w:pStyle w:val="corte2ponente"/>
        <w:spacing w:line="360" w:lineRule="auto"/>
        <w:rPr>
          <w:rFonts w:cs="Arial"/>
          <w:sz w:val="28"/>
          <w:szCs w:val="28"/>
        </w:rPr>
      </w:pPr>
    </w:p>
    <w:p w14:paraId="29CC054F" w14:textId="0B295CF0" w:rsidR="006A3A58" w:rsidRPr="00C67536" w:rsidRDefault="006A3A58" w:rsidP="00722CC1">
      <w:pPr>
        <w:pStyle w:val="corte4fondoCarCar"/>
        <w:ind w:firstLine="0"/>
        <w:rPr>
          <w:rFonts w:cs="Arial"/>
          <w:sz w:val="28"/>
          <w:szCs w:val="28"/>
        </w:rPr>
      </w:pPr>
      <w:r w:rsidRPr="00C67536">
        <w:rPr>
          <w:rFonts w:cs="Arial"/>
          <w:color w:val="000000"/>
          <w:sz w:val="28"/>
          <w:szCs w:val="28"/>
          <w:lang w:val="es-MX"/>
        </w:rPr>
        <w:t>Ciudad de México. El Tribunal Pleno de la Suprema Corte de Justicia de la Nación, en sesión correspondiente al</w:t>
      </w:r>
      <w:r w:rsidRPr="00C67536">
        <w:rPr>
          <w:rFonts w:cs="Arial"/>
          <w:sz w:val="28"/>
          <w:szCs w:val="28"/>
        </w:rPr>
        <w:t xml:space="preserve"> </w:t>
      </w:r>
      <w:r w:rsidR="006D67FD" w:rsidRPr="000E4C71">
        <w:rPr>
          <w:rFonts w:cs="Arial"/>
          <w:b/>
          <w:bCs/>
          <w:sz w:val="28"/>
          <w:szCs w:val="28"/>
        </w:rPr>
        <w:t>nueve de abril de dos mil veinticuatro</w:t>
      </w:r>
      <w:r w:rsidRPr="00C67536">
        <w:rPr>
          <w:rFonts w:cs="Arial"/>
          <w:sz w:val="28"/>
          <w:szCs w:val="28"/>
        </w:rPr>
        <w:t xml:space="preserve">, emite la siguiente: </w:t>
      </w:r>
    </w:p>
    <w:p w14:paraId="765D6677" w14:textId="77777777" w:rsidR="00236A87" w:rsidRPr="00C67536" w:rsidRDefault="00236A87" w:rsidP="00076C42">
      <w:pPr>
        <w:pStyle w:val="corte3centro"/>
        <w:jc w:val="left"/>
        <w:rPr>
          <w:rFonts w:cs="Arial"/>
          <w:color w:val="000000"/>
          <w:sz w:val="28"/>
          <w:szCs w:val="28"/>
        </w:rPr>
      </w:pPr>
    </w:p>
    <w:p w14:paraId="7830CE3A" w14:textId="77777777" w:rsidR="00236A87" w:rsidRPr="00C67536" w:rsidRDefault="00640EA7" w:rsidP="00076C42">
      <w:pPr>
        <w:pStyle w:val="corte3centro"/>
        <w:rPr>
          <w:rFonts w:cs="Arial"/>
          <w:color w:val="000000"/>
          <w:sz w:val="28"/>
          <w:szCs w:val="28"/>
        </w:rPr>
      </w:pPr>
      <w:r w:rsidRPr="00C67536">
        <w:rPr>
          <w:rFonts w:cs="Arial"/>
          <w:color w:val="000000"/>
          <w:sz w:val="28"/>
          <w:szCs w:val="28"/>
        </w:rPr>
        <w:t>SENTENCIA</w:t>
      </w:r>
    </w:p>
    <w:p w14:paraId="03646F99" w14:textId="77777777" w:rsidR="00236A87" w:rsidRPr="00C67536" w:rsidRDefault="00236A87" w:rsidP="00076C42">
      <w:pPr>
        <w:pStyle w:val="corte4fondo"/>
        <w:ind w:firstLine="0"/>
        <w:rPr>
          <w:rFonts w:cs="Arial"/>
          <w:b/>
          <w:color w:val="000000"/>
          <w:sz w:val="28"/>
          <w:szCs w:val="28"/>
          <w:lang w:val="es-MX"/>
        </w:rPr>
      </w:pPr>
    </w:p>
    <w:p w14:paraId="3F1A030B" w14:textId="774E4E32" w:rsidR="009619A2" w:rsidRPr="00C67536" w:rsidRDefault="002B15A1" w:rsidP="00076C42">
      <w:pPr>
        <w:pStyle w:val="corte4fondo"/>
        <w:ind w:firstLine="0"/>
        <w:rPr>
          <w:rFonts w:cs="Arial"/>
          <w:sz w:val="28"/>
          <w:szCs w:val="28"/>
        </w:rPr>
      </w:pPr>
      <w:r w:rsidRPr="00C67536">
        <w:rPr>
          <w:rFonts w:cs="Arial"/>
          <w:color w:val="000000"/>
          <w:sz w:val="28"/>
          <w:szCs w:val="28"/>
          <w:lang w:val="es-MX"/>
        </w:rPr>
        <w:t>Mediante la cual se resuelve</w:t>
      </w:r>
      <w:r w:rsidR="002621C8" w:rsidRPr="00C67536">
        <w:rPr>
          <w:rFonts w:cs="Arial"/>
          <w:color w:val="000000"/>
          <w:sz w:val="28"/>
          <w:szCs w:val="28"/>
          <w:lang w:val="es-MX"/>
        </w:rPr>
        <w:t xml:space="preserve"> e</w:t>
      </w:r>
      <w:r w:rsidR="00236A87" w:rsidRPr="00C67536">
        <w:rPr>
          <w:rFonts w:cs="Arial"/>
          <w:color w:val="000000"/>
          <w:sz w:val="28"/>
          <w:szCs w:val="28"/>
          <w:lang w:val="es-MX"/>
        </w:rPr>
        <w:t xml:space="preserve">l </w:t>
      </w:r>
      <w:r w:rsidR="00107878" w:rsidRPr="00C67536">
        <w:rPr>
          <w:rFonts w:cs="Arial"/>
          <w:color w:val="000000"/>
          <w:sz w:val="28"/>
          <w:szCs w:val="28"/>
          <w:lang w:val="es-MX"/>
        </w:rPr>
        <w:t>recurso de revisión</w:t>
      </w:r>
      <w:r w:rsidR="00236A87" w:rsidRPr="00C67536">
        <w:rPr>
          <w:rFonts w:cs="Arial"/>
          <w:color w:val="000000"/>
          <w:sz w:val="28"/>
          <w:szCs w:val="28"/>
          <w:lang w:val="es-MX"/>
        </w:rPr>
        <w:t xml:space="preserve"> </w:t>
      </w:r>
      <w:r w:rsidR="00774B16" w:rsidRPr="00C67536">
        <w:rPr>
          <w:rFonts w:cs="Arial"/>
          <w:sz w:val="28"/>
          <w:szCs w:val="28"/>
        </w:rPr>
        <w:t>358/2022</w:t>
      </w:r>
      <w:r w:rsidR="002621C8" w:rsidRPr="00C67536">
        <w:rPr>
          <w:rFonts w:cs="Arial"/>
          <w:sz w:val="28"/>
          <w:szCs w:val="28"/>
        </w:rPr>
        <w:t>,</w:t>
      </w:r>
      <w:r w:rsidR="00C5659C" w:rsidRPr="00C67536">
        <w:rPr>
          <w:rFonts w:cs="Arial"/>
          <w:sz w:val="28"/>
          <w:szCs w:val="28"/>
        </w:rPr>
        <w:t xml:space="preserve"> </w:t>
      </w:r>
      <w:r w:rsidR="00236A87" w:rsidRPr="00C67536">
        <w:rPr>
          <w:rFonts w:cs="Arial"/>
          <w:sz w:val="28"/>
          <w:szCs w:val="28"/>
        </w:rPr>
        <w:t xml:space="preserve">interpuesto </w:t>
      </w:r>
      <w:r w:rsidR="002621C8" w:rsidRPr="00C67536">
        <w:rPr>
          <w:rFonts w:cs="Arial"/>
          <w:sz w:val="28"/>
          <w:szCs w:val="28"/>
        </w:rPr>
        <w:t>por</w:t>
      </w:r>
      <w:r w:rsidR="00422AD1" w:rsidRPr="00C67536">
        <w:rPr>
          <w:rFonts w:cs="Arial"/>
          <w:sz w:val="28"/>
          <w:szCs w:val="28"/>
        </w:rPr>
        <w:t xml:space="preserve"> </w:t>
      </w:r>
      <w:r w:rsidR="00774B16" w:rsidRPr="00C67536">
        <w:rPr>
          <w:rFonts w:cs="Arial"/>
          <w:sz w:val="28"/>
          <w:szCs w:val="28"/>
        </w:rPr>
        <w:t>Desde el Corazón del Fruto, Sociedad Anónima de Capital Variable</w:t>
      </w:r>
      <w:r w:rsidR="00CE150F" w:rsidRPr="00C67536">
        <w:rPr>
          <w:rFonts w:cs="Arial"/>
          <w:sz w:val="28"/>
          <w:szCs w:val="28"/>
        </w:rPr>
        <w:t>,</w:t>
      </w:r>
      <w:r w:rsidR="00774B16" w:rsidRPr="00C67536">
        <w:rPr>
          <w:rFonts w:cs="Arial"/>
          <w:sz w:val="28"/>
          <w:szCs w:val="28"/>
        </w:rPr>
        <w:t xml:space="preserve"> por </w:t>
      </w:r>
      <w:r w:rsidR="00CE150F" w:rsidRPr="00C67536">
        <w:rPr>
          <w:rFonts w:cs="Arial"/>
          <w:sz w:val="28"/>
          <w:szCs w:val="28"/>
        </w:rPr>
        <w:t>c</w:t>
      </w:r>
      <w:r w:rsidR="00774B16" w:rsidRPr="00C67536">
        <w:rPr>
          <w:rFonts w:cs="Arial"/>
          <w:sz w:val="28"/>
          <w:szCs w:val="28"/>
        </w:rPr>
        <w:t xml:space="preserve">onducto de su </w:t>
      </w:r>
      <w:r w:rsidR="00CE150F" w:rsidRPr="00C67536">
        <w:rPr>
          <w:rFonts w:cs="Arial"/>
          <w:sz w:val="28"/>
          <w:szCs w:val="28"/>
        </w:rPr>
        <w:t>a</w:t>
      </w:r>
      <w:r w:rsidR="00774B16" w:rsidRPr="00C67536">
        <w:rPr>
          <w:rFonts w:cs="Arial"/>
          <w:sz w:val="28"/>
          <w:szCs w:val="28"/>
        </w:rPr>
        <w:t xml:space="preserve">poderado </w:t>
      </w:r>
      <w:r w:rsidR="00CE150F" w:rsidRPr="00C67536">
        <w:rPr>
          <w:rFonts w:cs="Arial"/>
          <w:sz w:val="28"/>
          <w:szCs w:val="28"/>
        </w:rPr>
        <w:t>l</w:t>
      </w:r>
      <w:r w:rsidR="00774B16" w:rsidRPr="00C67536">
        <w:rPr>
          <w:rFonts w:cs="Arial"/>
          <w:sz w:val="28"/>
          <w:szCs w:val="28"/>
        </w:rPr>
        <w:t xml:space="preserve">egal Jorge </w:t>
      </w:r>
      <w:r w:rsidR="00B244F2" w:rsidRPr="00C67536">
        <w:rPr>
          <w:rFonts w:cs="Arial"/>
          <w:sz w:val="28"/>
          <w:szCs w:val="28"/>
        </w:rPr>
        <w:t>Arturo</w:t>
      </w:r>
      <w:r w:rsidR="00774B16" w:rsidRPr="00C67536">
        <w:rPr>
          <w:rFonts w:cs="Arial"/>
          <w:sz w:val="28"/>
          <w:szCs w:val="28"/>
        </w:rPr>
        <w:t xml:space="preserve"> Pérez Domínguez</w:t>
      </w:r>
      <w:r w:rsidR="00272950" w:rsidRPr="00C67536">
        <w:rPr>
          <w:rFonts w:cs="Arial"/>
          <w:sz w:val="28"/>
          <w:szCs w:val="28"/>
        </w:rPr>
        <w:t xml:space="preserve">, </w:t>
      </w:r>
      <w:r w:rsidR="00236A87" w:rsidRPr="00C67536">
        <w:rPr>
          <w:rFonts w:cs="Arial"/>
          <w:sz w:val="28"/>
          <w:szCs w:val="28"/>
        </w:rPr>
        <w:t xml:space="preserve">en contra de la </w:t>
      </w:r>
      <w:r w:rsidR="00107878" w:rsidRPr="00C67536">
        <w:rPr>
          <w:rFonts w:cs="Arial"/>
          <w:sz w:val="28"/>
          <w:szCs w:val="28"/>
        </w:rPr>
        <w:t>resolución</w:t>
      </w:r>
      <w:r w:rsidR="00236A87" w:rsidRPr="00C67536">
        <w:rPr>
          <w:rFonts w:cs="Arial"/>
          <w:sz w:val="28"/>
          <w:szCs w:val="28"/>
        </w:rPr>
        <w:t xml:space="preserve"> </w:t>
      </w:r>
      <w:r w:rsidR="00410989">
        <w:rPr>
          <w:rFonts w:cs="Arial"/>
          <w:sz w:val="28"/>
          <w:szCs w:val="28"/>
        </w:rPr>
        <w:t>d</w:t>
      </w:r>
      <w:r w:rsidR="002621C8" w:rsidRPr="00C67536">
        <w:rPr>
          <w:rFonts w:cs="Arial"/>
          <w:sz w:val="28"/>
          <w:szCs w:val="28"/>
        </w:rPr>
        <w:t xml:space="preserve">el </w:t>
      </w:r>
      <w:r w:rsidR="002E472C" w:rsidRPr="00C67536">
        <w:rPr>
          <w:rFonts w:cs="Arial"/>
          <w:sz w:val="28"/>
          <w:szCs w:val="28"/>
        </w:rPr>
        <w:t>trece de octubre de dos mil veintiuno</w:t>
      </w:r>
      <w:r w:rsidR="00393D77" w:rsidRPr="00C67536">
        <w:rPr>
          <w:rFonts w:cs="Arial"/>
          <w:sz w:val="28"/>
          <w:szCs w:val="28"/>
        </w:rPr>
        <w:t xml:space="preserve"> </w:t>
      </w:r>
      <w:r w:rsidR="00410989">
        <w:rPr>
          <w:rFonts w:cs="Arial"/>
          <w:sz w:val="28"/>
          <w:szCs w:val="28"/>
        </w:rPr>
        <w:t xml:space="preserve">que se terminó de engrosar el veintiséis de enero de dos mil veintidós </w:t>
      </w:r>
      <w:r w:rsidR="00393D77" w:rsidRPr="00C67536">
        <w:rPr>
          <w:rFonts w:cs="Arial"/>
          <w:sz w:val="28"/>
          <w:szCs w:val="28"/>
        </w:rPr>
        <w:t xml:space="preserve">por el </w:t>
      </w:r>
      <w:r w:rsidR="002E472C" w:rsidRPr="00C67536">
        <w:rPr>
          <w:rFonts w:eastAsiaTheme="minorHAnsi" w:cs="Arial"/>
          <w:b/>
          <w:bCs/>
          <w:sz w:val="28"/>
          <w:szCs w:val="28"/>
          <w:lang w:eastAsia="en-US"/>
        </w:rPr>
        <w:t>Juez Decimoquinto de Distrito</w:t>
      </w:r>
      <w:r w:rsidR="00F33190" w:rsidRPr="00C67536">
        <w:rPr>
          <w:rFonts w:eastAsiaTheme="minorHAnsi" w:cs="Arial"/>
          <w:b/>
          <w:bCs/>
          <w:sz w:val="28"/>
          <w:szCs w:val="28"/>
          <w:lang w:eastAsia="en-US"/>
        </w:rPr>
        <w:t xml:space="preserve"> en Materia Administrativa en la Ciudad de México</w:t>
      </w:r>
      <w:r w:rsidR="00393D77" w:rsidRPr="00C67536">
        <w:rPr>
          <w:rFonts w:cs="Arial"/>
          <w:sz w:val="28"/>
          <w:szCs w:val="28"/>
        </w:rPr>
        <w:t xml:space="preserve">, en el </w:t>
      </w:r>
      <w:r w:rsidR="00F33190" w:rsidRPr="00C67536">
        <w:rPr>
          <w:rFonts w:cs="Arial"/>
          <w:sz w:val="28"/>
          <w:szCs w:val="28"/>
        </w:rPr>
        <w:t>juicio de amparo indirecto</w:t>
      </w:r>
      <w:r w:rsidR="00393D77" w:rsidRPr="00C67536">
        <w:rPr>
          <w:rFonts w:cs="Arial"/>
          <w:sz w:val="28"/>
          <w:szCs w:val="28"/>
        </w:rPr>
        <w:t xml:space="preserve"> 8</w:t>
      </w:r>
      <w:r w:rsidR="00F33190" w:rsidRPr="00C67536">
        <w:rPr>
          <w:rFonts w:cs="Arial"/>
          <w:sz w:val="28"/>
          <w:szCs w:val="28"/>
        </w:rPr>
        <w:t>87</w:t>
      </w:r>
      <w:r w:rsidR="00393D77" w:rsidRPr="00C67536">
        <w:rPr>
          <w:rFonts w:cs="Arial"/>
          <w:sz w:val="28"/>
          <w:szCs w:val="28"/>
        </w:rPr>
        <w:t>/202</w:t>
      </w:r>
      <w:r w:rsidR="00F33190" w:rsidRPr="00C67536">
        <w:rPr>
          <w:rFonts w:cs="Arial"/>
          <w:sz w:val="28"/>
          <w:szCs w:val="28"/>
        </w:rPr>
        <w:t>0</w:t>
      </w:r>
      <w:r w:rsidR="00393D77" w:rsidRPr="00C67536">
        <w:rPr>
          <w:rFonts w:cs="Arial"/>
          <w:sz w:val="28"/>
          <w:szCs w:val="28"/>
        </w:rPr>
        <w:t>.</w:t>
      </w:r>
    </w:p>
    <w:p w14:paraId="63F39B41" w14:textId="77777777" w:rsidR="00BB6BA1" w:rsidRPr="00C67536" w:rsidRDefault="00BB6BA1" w:rsidP="00076C42">
      <w:pPr>
        <w:pStyle w:val="corte4fondo"/>
        <w:ind w:firstLine="0"/>
        <w:rPr>
          <w:rFonts w:cs="Arial"/>
          <w:sz w:val="28"/>
          <w:szCs w:val="28"/>
        </w:rPr>
      </w:pPr>
    </w:p>
    <w:p w14:paraId="5437ADC2" w14:textId="1084929C" w:rsidR="004F0DF2" w:rsidRPr="00C67536" w:rsidRDefault="00422AD1" w:rsidP="007B24FE">
      <w:pPr>
        <w:pStyle w:val="corte4fondo"/>
        <w:numPr>
          <w:ilvl w:val="0"/>
          <w:numId w:val="26"/>
        </w:numPr>
        <w:ind w:left="0" w:hanging="709"/>
        <w:rPr>
          <w:rFonts w:cs="Arial"/>
          <w:sz w:val="28"/>
          <w:szCs w:val="28"/>
        </w:rPr>
      </w:pPr>
      <w:r w:rsidRPr="00C67536">
        <w:rPr>
          <w:rFonts w:cs="Arial"/>
          <w:sz w:val="28"/>
          <w:szCs w:val="28"/>
        </w:rPr>
        <w:t>El problema jurídico a resolver por</w:t>
      </w:r>
      <w:r w:rsidR="00F33190" w:rsidRPr="00C67536">
        <w:rPr>
          <w:rFonts w:cs="Arial"/>
          <w:sz w:val="28"/>
          <w:szCs w:val="28"/>
        </w:rPr>
        <w:t xml:space="preserve"> est</w:t>
      </w:r>
      <w:r w:rsidR="00362BCA" w:rsidRPr="00C67536">
        <w:rPr>
          <w:rFonts w:cs="Arial"/>
          <w:sz w:val="28"/>
          <w:szCs w:val="28"/>
        </w:rPr>
        <w:t>e Pleno</w:t>
      </w:r>
      <w:r w:rsidR="007D5F34" w:rsidRPr="00C67536">
        <w:rPr>
          <w:rFonts w:cs="Arial"/>
          <w:sz w:val="28"/>
          <w:szCs w:val="28"/>
        </w:rPr>
        <w:t xml:space="preserve"> </w:t>
      </w:r>
      <w:r w:rsidRPr="00C67536">
        <w:rPr>
          <w:rFonts w:cs="Arial"/>
          <w:sz w:val="28"/>
          <w:szCs w:val="28"/>
        </w:rPr>
        <w:t xml:space="preserve">de la Suprema Corte de Justicia de la Nación consiste en determinar si </w:t>
      </w:r>
      <w:r w:rsidR="004F0DF2" w:rsidRPr="00C67536">
        <w:rPr>
          <w:rFonts w:cs="Arial"/>
          <w:sz w:val="28"/>
          <w:szCs w:val="28"/>
        </w:rPr>
        <w:t>el sistema de etiquetado frontal de advertencia, implementado con motivo de las reformas a los</w:t>
      </w:r>
      <w:r w:rsidR="004F0DF2" w:rsidRPr="00C67536">
        <w:rPr>
          <w:rFonts w:cs="Arial"/>
          <w:bCs/>
          <w:sz w:val="28"/>
          <w:szCs w:val="28"/>
          <w:lang w:val="es-MX"/>
        </w:rPr>
        <w:t xml:space="preserve"> </w:t>
      </w:r>
      <w:r w:rsidR="004F0DF2" w:rsidRPr="00C67536">
        <w:rPr>
          <w:rFonts w:cs="Arial"/>
          <w:sz w:val="28"/>
          <w:szCs w:val="28"/>
          <w:lang w:val="es-MX"/>
        </w:rPr>
        <w:t xml:space="preserve">artículos 212, párrafo tercero, y 215, fracción VI, de la Ley General de Salud, mediante </w:t>
      </w:r>
      <w:r w:rsidR="00766B4E" w:rsidRPr="00C67536">
        <w:rPr>
          <w:rFonts w:cs="Arial"/>
          <w:sz w:val="28"/>
          <w:szCs w:val="28"/>
          <w:lang w:val="es-MX"/>
        </w:rPr>
        <w:t>D</w:t>
      </w:r>
      <w:r w:rsidR="004F0DF2" w:rsidRPr="00C67536">
        <w:rPr>
          <w:rFonts w:cs="Arial"/>
          <w:sz w:val="28"/>
          <w:szCs w:val="28"/>
          <w:lang w:val="es-MX"/>
        </w:rPr>
        <w:t xml:space="preserve">ecreto publicado en el Diario Oficial de la Federación el ocho de noviembre de dos mil diecinueve, </w:t>
      </w:r>
      <w:r w:rsidR="000D7837" w:rsidRPr="00C67536">
        <w:rPr>
          <w:rFonts w:cs="Arial"/>
          <w:sz w:val="28"/>
          <w:szCs w:val="28"/>
          <w:lang w:val="es-MX"/>
        </w:rPr>
        <w:t xml:space="preserve">así como </w:t>
      </w:r>
      <w:r w:rsidR="004F0DF2" w:rsidRPr="00C67536">
        <w:rPr>
          <w:rFonts w:cs="Arial"/>
          <w:sz w:val="28"/>
          <w:szCs w:val="28"/>
          <w:lang w:val="es-MX"/>
        </w:rPr>
        <w:t>la Modificación a la Norma Oficial Mexicana NOM-051-SCFI/SSA</w:t>
      </w:r>
      <w:r w:rsidR="00766B4E" w:rsidRPr="00C67536">
        <w:rPr>
          <w:rFonts w:cs="Arial"/>
          <w:sz w:val="28"/>
          <w:szCs w:val="28"/>
          <w:lang w:val="es-MX"/>
        </w:rPr>
        <w:t>-</w:t>
      </w:r>
      <w:r w:rsidR="004F0DF2" w:rsidRPr="00C67536">
        <w:rPr>
          <w:rFonts w:cs="Arial"/>
          <w:sz w:val="28"/>
          <w:szCs w:val="28"/>
          <w:lang w:val="es-MX"/>
        </w:rPr>
        <w:t>2010, específicamente por lo que hace a los numerales 1, 4.5.3.4 al 4.5.3.4.7 y 7.1.3, el apéndice A (normativo)</w:t>
      </w:r>
      <w:r w:rsidR="006E55E4" w:rsidRPr="00C67536">
        <w:rPr>
          <w:rFonts w:cs="Arial"/>
          <w:sz w:val="28"/>
          <w:szCs w:val="28"/>
          <w:lang w:val="es-MX"/>
        </w:rPr>
        <w:t xml:space="preserve"> y la Nota Aclaratoria</w:t>
      </w:r>
      <w:r w:rsidR="004F0DF2" w:rsidRPr="00C67536">
        <w:rPr>
          <w:rFonts w:cs="Arial"/>
          <w:sz w:val="28"/>
          <w:szCs w:val="28"/>
        </w:rPr>
        <w:t>,</w:t>
      </w:r>
      <w:r w:rsidR="006E55E4" w:rsidRPr="00C67536">
        <w:rPr>
          <w:rFonts w:cs="Arial"/>
          <w:sz w:val="28"/>
          <w:szCs w:val="28"/>
        </w:rPr>
        <w:t xml:space="preserve"> sobre</w:t>
      </w:r>
      <w:r w:rsidR="004F0DF2" w:rsidRPr="00C67536">
        <w:rPr>
          <w:rFonts w:cs="Arial"/>
          <w:sz w:val="28"/>
          <w:szCs w:val="28"/>
        </w:rPr>
        <w:t xml:space="preserve"> Especificaciones generales de etiquetado para alimentos y bebidas no alcohólicas preenvasados- Información comercial y sanitaria</w:t>
      </w:r>
      <w:r w:rsidR="0097065D" w:rsidRPr="00C67536">
        <w:rPr>
          <w:rFonts w:cs="Arial"/>
          <w:sz w:val="28"/>
          <w:szCs w:val="28"/>
        </w:rPr>
        <w:t>, vulnera los derecho</w:t>
      </w:r>
      <w:r w:rsidR="008504B7">
        <w:rPr>
          <w:rFonts w:cs="Arial"/>
          <w:sz w:val="28"/>
          <w:szCs w:val="28"/>
        </w:rPr>
        <w:t>s</w:t>
      </w:r>
      <w:r w:rsidR="0097065D" w:rsidRPr="00C67536">
        <w:rPr>
          <w:rFonts w:cs="Arial"/>
          <w:sz w:val="28"/>
          <w:szCs w:val="28"/>
        </w:rPr>
        <w:t xml:space="preserve"> de igualad y seguridad jurídica.</w:t>
      </w:r>
    </w:p>
    <w:p w14:paraId="3614716D" w14:textId="47E4E92B" w:rsidR="00BA0C7A" w:rsidRPr="00C67536" w:rsidRDefault="00BA0C7A" w:rsidP="0097065D">
      <w:pPr>
        <w:pStyle w:val="corte4fondo"/>
        <w:spacing w:line="240" w:lineRule="auto"/>
        <w:ind w:firstLine="0"/>
        <w:rPr>
          <w:rFonts w:cs="Arial"/>
          <w:b/>
          <w:bCs/>
          <w:sz w:val="28"/>
          <w:szCs w:val="28"/>
        </w:rPr>
      </w:pPr>
    </w:p>
    <w:p w14:paraId="22F82B38" w14:textId="7A29DF05" w:rsidR="00BB6BA1" w:rsidRPr="00C67536" w:rsidRDefault="00952E93" w:rsidP="00076C42">
      <w:pPr>
        <w:pStyle w:val="corte4fondo"/>
        <w:ind w:left="993" w:firstLine="0"/>
        <w:jc w:val="center"/>
        <w:rPr>
          <w:rFonts w:cs="Arial"/>
          <w:b/>
          <w:color w:val="000000"/>
          <w:sz w:val="28"/>
          <w:szCs w:val="28"/>
          <w:lang w:val="es-MX"/>
        </w:rPr>
      </w:pPr>
      <w:r w:rsidRPr="00C67536">
        <w:rPr>
          <w:rFonts w:cs="Arial"/>
          <w:b/>
          <w:color w:val="000000"/>
          <w:sz w:val="28"/>
          <w:szCs w:val="28"/>
          <w:lang w:val="es-MX"/>
        </w:rPr>
        <w:t xml:space="preserve">ANTECEDENTES </w:t>
      </w:r>
      <w:r w:rsidR="005969F2" w:rsidRPr="00C67536">
        <w:rPr>
          <w:rFonts w:cs="Arial"/>
          <w:b/>
          <w:color w:val="000000"/>
          <w:sz w:val="28"/>
          <w:szCs w:val="28"/>
          <w:lang w:val="es-MX"/>
        </w:rPr>
        <w:t>Y TRÁMITE</w:t>
      </w:r>
      <w:r w:rsidR="007B24FE">
        <w:rPr>
          <w:rFonts w:cs="Arial"/>
          <w:b/>
          <w:color w:val="000000"/>
          <w:sz w:val="28"/>
          <w:szCs w:val="28"/>
          <w:lang w:val="es-MX"/>
        </w:rPr>
        <w:t>.</w:t>
      </w:r>
    </w:p>
    <w:p w14:paraId="259ECDF9" w14:textId="77777777" w:rsidR="00BB6BA1" w:rsidRPr="00C67536" w:rsidRDefault="00BB6BA1" w:rsidP="00076C42">
      <w:pPr>
        <w:pStyle w:val="corte4fondo"/>
        <w:ind w:left="4150" w:firstLine="0"/>
        <w:jc w:val="left"/>
        <w:rPr>
          <w:rFonts w:cs="Arial"/>
          <w:b/>
          <w:color w:val="000000"/>
          <w:sz w:val="28"/>
          <w:szCs w:val="28"/>
          <w:lang w:val="es-MX"/>
        </w:rPr>
      </w:pPr>
    </w:p>
    <w:p w14:paraId="5850A000" w14:textId="2226B9DB" w:rsidR="00422AD1" w:rsidRPr="00C67536" w:rsidRDefault="00BB6BA1" w:rsidP="00B144AE">
      <w:pPr>
        <w:pStyle w:val="corte4fondo"/>
        <w:numPr>
          <w:ilvl w:val="0"/>
          <w:numId w:val="15"/>
        </w:numPr>
        <w:tabs>
          <w:tab w:val="center" w:pos="4420"/>
          <w:tab w:val="left" w:pos="6975"/>
        </w:tabs>
        <w:ind w:left="0" w:hanging="567"/>
        <w:rPr>
          <w:rFonts w:cs="Arial"/>
          <w:bCs/>
          <w:color w:val="000000"/>
          <w:sz w:val="28"/>
          <w:szCs w:val="28"/>
        </w:rPr>
      </w:pPr>
      <w:r w:rsidRPr="00C67536">
        <w:rPr>
          <w:rFonts w:cs="Arial"/>
          <w:b/>
          <w:color w:val="000000"/>
          <w:sz w:val="28"/>
          <w:szCs w:val="28"/>
          <w:lang w:val="es-MX"/>
        </w:rPr>
        <w:t>Hechos</w:t>
      </w:r>
      <w:r w:rsidR="00F37792" w:rsidRPr="00C67536">
        <w:rPr>
          <w:rFonts w:cs="Arial"/>
          <w:b/>
          <w:color w:val="000000"/>
          <w:sz w:val="28"/>
          <w:szCs w:val="28"/>
          <w:lang w:val="es-MX"/>
        </w:rPr>
        <w:t xml:space="preserve"> que antecedieron a la demanda de amparo</w:t>
      </w:r>
      <w:r w:rsidRPr="00C67536">
        <w:rPr>
          <w:rFonts w:cs="Arial"/>
          <w:b/>
          <w:color w:val="000000"/>
          <w:sz w:val="28"/>
          <w:szCs w:val="28"/>
          <w:lang w:val="es-MX"/>
        </w:rPr>
        <w:t>.</w:t>
      </w:r>
      <w:r w:rsidR="00A45F12" w:rsidRPr="00C67536">
        <w:rPr>
          <w:rFonts w:cs="Arial"/>
          <w:b/>
          <w:color w:val="000000"/>
          <w:sz w:val="28"/>
          <w:szCs w:val="28"/>
          <w:lang w:val="es-MX"/>
        </w:rPr>
        <w:t xml:space="preserve"> </w:t>
      </w:r>
      <w:r w:rsidR="00422AD1" w:rsidRPr="00C67536">
        <w:rPr>
          <w:rFonts w:cs="Arial"/>
          <w:bCs/>
          <w:color w:val="000000"/>
          <w:sz w:val="28"/>
          <w:szCs w:val="28"/>
        </w:rPr>
        <w:t xml:space="preserve">De acuerdo con las constancias que obran en autos del </w:t>
      </w:r>
      <w:r w:rsidR="00E94AED" w:rsidRPr="00C67536">
        <w:rPr>
          <w:rFonts w:cs="Arial"/>
          <w:bCs/>
          <w:color w:val="000000"/>
          <w:sz w:val="28"/>
          <w:szCs w:val="28"/>
        </w:rPr>
        <w:t>amparo en revisión 128/2022</w:t>
      </w:r>
      <w:r w:rsidR="00422AD1" w:rsidRPr="00C67536">
        <w:rPr>
          <w:rFonts w:cs="Arial"/>
          <w:bCs/>
          <w:color w:val="000000"/>
          <w:sz w:val="28"/>
          <w:szCs w:val="28"/>
        </w:rPr>
        <w:t xml:space="preserve"> del índice del </w:t>
      </w:r>
      <w:r w:rsidR="00CE61CE" w:rsidRPr="00C67536">
        <w:rPr>
          <w:rFonts w:eastAsiaTheme="minorHAnsi" w:cs="Arial"/>
          <w:b/>
          <w:bCs/>
          <w:sz w:val="28"/>
          <w:szCs w:val="28"/>
          <w:lang w:eastAsia="en-US"/>
        </w:rPr>
        <w:t>Noveno Tribunal Colegiado en Materia Administrativa del Primer Circuito</w:t>
      </w:r>
      <w:r w:rsidR="00422AD1" w:rsidRPr="00C67536">
        <w:rPr>
          <w:rFonts w:cs="Arial"/>
          <w:bCs/>
          <w:color w:val="000000"/>
          <w:sz w:val="28"/>
          <w:szCs w:val="28"/>
        </w:rPr>
        <w:t>, se desprenden los antecedentes siguientes:</w:t>
      </w:r>
    </w:p>
    <w:p w14:paraId="1ED8A4EE" w14:textId="77777777" w:rsidR="005839A6" w:rsidRPr="00C67536" w:rsidRDefault="005839A6" w:rsidP="005839A6">
      <w:pPr>
        <w:pStyle w:val="corte4fondo"/>
        <w:tabs>
          <w:tab w:val="center" w:pos="4420"/>
          <w:tab w:val="left" w:pos="6975"/>
        </w:tabs>
        <w:ind w:firstLine="0"/>
        <w:rPr>
          <w:rFonts w:cs="Arial"/>
          <w:bCs/>
          <w:color w:val="000000"/>
          <w:sz w:val="28"/>
          <w:szCs w:val="28"/>
        </w:rPr>
      </w:pPr>
    </w:p>
    <w:p w14:paraId="0B177CDB" w14:textId="4B81725A" w:rsidR="00C677F1" w:rsidRPr="00C67536" w:rsidRDefault="00D37591" w:rsidP="00B144AE">
      <w:pPr>
        <w:pStyle w:val="corte4fondo"/>
        <w:numPr>
          <w:ilvl w:val="0"/>
          <w:numId w:val="15"/>
        </w:numPr>
        <w:tabs>
          <w:tab w:val="center" w:pos="4420"/>
          <w:tab w:val="left" w:pos="6975"/>
        </w:tabs>
        <w:ind w:left="0" w:hanging="567"/>
        <w:rPr>
          <w:rFonts w:cs="Arial"/>
          <w:bCs/>
          <w:color w:val="000000"/>
          <w:sz w:val="28"/>
          <w:szCs w:val="28"/>
          <w:lang w:val="es-MX"/>
        </w:rPr>
      </w:pPr>
      <w:r w:rsidRPr="00C67536">
        <w:rPr>
          <w:rFonts w:cs="Arial"/>
          <w:bCs/>
          <w:color w:val="000000"/>
          <w:sz w:val="28"/>
          <w:szCs w:val="28"/>
          <w:lang w:val="es-MX"/>
        </w:rPr>
        <w:t xml:space="preserve">La empresa quejosa </w:t>
      </w:r>
      <w:r w:rsidR="008D5FF4" w:rsidRPr="00C67536">
        <w:rPr>
          <w:rFonts w:cs="Arial"/>
          <w:bCs/>
          <w:color w:val="000000"/>
          <w:sz w:val="28"/>
          <w:szCs w:val="28"/>
          <w:lang w:val="es-MX"/>
        </w:rPr>
        <w:t xml:space="preserve"> </w:t>
      </w:r>
      <w:r w:rsidR="00014246" w:rsidRPr="00C67536">
        <w:rPr>
          <w:rFonts w:cs="Arial"/>
          <w:b/>
          <w:color w:val="000000"/>
          <w:sz w:val="28"/>
          <w:szCs w:val="28"/>
          <w:lang w:val="es-MX"/>
        </w:rPr>
        <w:t>Desde el Corazón del Fruto</w:t>
      </w:r>
      <w:r w:rsidR="00A9777D" w:rsidRPr="00C67536">
        <w:rPr>
          <w:rFonts w:cs="Arial"/>
          <w:bCs/>
          <w:color w:val="000000"/>
          <w:sz w:val="28"/>
          <w:szCs w:val="28"/>
        </w:rPr>
        <w:t xml:space="preserve">, </w:t>
      </w:r>
      <w:r w:rsidR="005850E3" w:rsidRPr="00C67536">
        <w:rPr>
          <w:rFonts w:cs="Arial"/>
          <w:bCs/>
          <w:color w:val="000000"/>
          <w:sz w:val="28"/>
          <w:szCs w:val="28"/>
        </w:rPr>
        <w:t xml:space="preserve">Sociedad Anónima </w:t>
      </w:r>
      <w:r w:rsidR="00A9777D" w:rsidRPr="00C67536">
        <w:rPr>
          <w:rFonts w:cs="Arial"/>
          <w:bCs/>
          <w:color w:val="000000"/>
          <w:sz w:val="28"/>
          <w:szCs w:val="28"/>
        </w:rPr>
        <w:t xml:space="preserve">de </w:t>
      </w:r>
      <w:r w:rsidR="005850E3" w:rsidRPr="00C67536">
        <w:rPr>
          <w:rFonts w:cs="Arial"/>
          <w:bCs/>
          <w:color w:val="000000"/>
          <w:sz w:val="28"/>
          <w:szCs w:val="28"/>
        </w:rPr>
        <w:t>Capital Variable</w:t>
      </w:r>
      <w:r w:rsidR="00A9777D" w:rsidRPr="00C67536">
        <w:rPr>
          <w:rFonts w:cs="Arial"/>
          <w:bCs/>
          <w:color w:val="000000"/>
          <w:sz w:val="28"/>
          <w:szCs w:val="28"/>
        </w:rPr>
        <w:t xml:space="preserve">, </w:t>
      </w:r>
      <w:r w:rsidR="00014246" w:rsidRPr="00C67536">
        <w:rPr>
          <w:rFonts w:cs="Arial"/>
          <w:bCs/>
          <w:color w:val="000000"/>
          <w:sz w:val="28"/>
          <w:szCs w:val="28"/>
        </w:rPr>
        <w:t>se constituy</w:t>
      </w:r>
      <w:r w:rsidR="00014246" w:rsidRPr="008D4F10">
        <w:rPr>
          <w:rFonts w:cs="Arial"/>
          <w:bCs/>
          <w:sz w:val="28"/>
          <w:szCs w:val="28"/>
        </w:rPr>
        <w:t>ó por escritura</w:t>
      </w:r>
      <w:r w:rsidR="00A9777D" w:rsidRPr="008D4F10">
        <w:rPr>
          <w:rFonts w:cs="Arial"/>
          <w:bCs/>
          <w:sz w:val="28"/>
          <w:szCs w:val="28"/>
        </w:rPr>
        <w:t xml:space="preserve"> </w:t>
      </w:r>
      <w:r w:rsidR="00014246" w:rsidRPr="008D4F10">
        <w:rPr>
          <w:rFonts w:cs="Arial"/>
          <w:bCs/>
          <w:sz w:val="28"/>
          <w:szCs w:val="28"/>
        </w:rPr>
        <w:t xml:space="preserve">pública número </w:t>
      </w:r>
      <w:r w:rsidR="00BA4F5B">
        <w:rPr>
          <w:rFonts w:cs="Arial"/>
          <w:bCs/>
          <w:color w:val="FF0000"/>
          <w:sz w:val="28"/>
          <w:szCs w:val="28"/>
        </w:rPr>
        <w:t>**********</w:t>
      </w:r>
      <w:r w:rsidR="00014246" w:rsidRPr="008D4F10">
        <w:rPr>
          <w:rFonts w:cs="Arial"/>
          <w:bCs/>
          <w:sz w:val="28"/>
          <w:szCs w:val="28"/>
        </w:rPr>
        <w:t>, d</w:t>
      </w:r>
      <w:r w:rsidR="00014246" w:rsidRPr="00C67536">
        <w:rPr>
          <w:rFonts w:cs="Arial"/>
          <w:bCs/>
          <w:sz w:val="28"/>
          <w:szCs w:val="28"/>
        </w:rPr>
        <w:t xml:space="preserve">e </w:t>
      </w:r>
      <w:r w:rsidR="00A9777D" w:rsidRPr="00C67536">
        <w:rPr>
          <w:rFonts w:cs="Arial"/>
          <w:bCs/>
          <w:sz w:val="28"/>
          <w:szCs w:val="28"/>
        </w:rPr>
        <w:t>veintisiete</w:t>
      </w:r>
      <w:r w:rsidR="00014246" w:rsidRPr="00C67536">
        <w:rPr>
          <w:rFonts w:cs="Arial"/>
          <w:bCs/>
          <w:sz w:val="28"/>
          <w:szCs w:val="28"/>
        </w:rPr>
        <w:t xml:space="preserve"> de junio de </w:t>
      </w:r>
      <w:r w:rsidR="00A9777D" w:rsidRPr="00C67536">
        <w:rPr>
          <w:rFonts w:cs="Arial"/>
          <w:bCs/>
          <w:sz w:val="28"/>
          <w:szCs w:val="28"/>
        </w:rPr>
        <w:t>dos mil once</w:t>
      </w:r>
      <w:r w:rsidR="00014246" w:rsidRPr="00C67536">
        <w:rPr>
          <w:rFonts w:cs="Arial"/>
          <w:bCs/>
          <w:color w:val="000000"/>
          <w:sz w:val="28"/>
          <w:szCs w:val="28"/>
        </w:rPr>
        <w:t>, ante el notario público número 79 del Estado de México, teniendo por</w:t>
      </w:r>
      <w:r w:rsidR="00A9777D" w:rsidRPr="00C67536">
        <w:rPr>
          <w:rFonts w:cs="Arial"/>
          <w:bCs/>
          <w:color w:val="000000"/>
          <w:sz w:val="28"/>
          <w:szCs w:val="28"/>
        </w:rPr>
        <w:t xml:space="preserve"> </w:t>
      </w:r>
      <w:r w:rsidR="00014246" w:rsidRPr="00C67536">
        <w:rPr>
          <w:rFonts w:cs="Arial"/>
          <w:bCs/>
          <w:color w:val="000000"/>
          <w:sz w:val="28"/>
          <w:szCs w:val="28"/>
          <w:lang w:val="es-MX"/>
        </w:rPr>
        <w:t>objeto preponderante</w:t>
      </w:r>
      <w:r w:rsidR="00910F59" w:rsidRPr="00C67536">
        <w:rPr>
          <w:rFonts w:cs="Arial"/>
          <w:bCs/>
          <w:color w:val="000000"/>
          <w:sz w:val="28"/>
          <w:szCs w:val="28"/>
          <w:lang w:val="es-MX"/>
        </w:rPr>
        <w:t xml:space="preserve"> l</w:t>
      </w:r>
      <w:r w:rsidR="00A6465D" w:rsidRPr="00C67536">
        <w:rPr>
          <w:rFonts w:cs="Arial"/>
          <w:bCs/>
          <w:color w:val="000000"/>
          <w:sz w:val="28"/>
          <w:szCs w:val="28"/>
          <w:lang w:val="es-MX"/>
        </w:rPr>
        <w:t xml:space="preserve">a compra, venta, producción, </w:t>
      </w:r>
      <w:r w:rsidR="00A6465D" w:rsidRPr="00C67536">
        <w:rPr>
          <w:rFonts w:cs="Arial"/>
          <w:b/>
          <w:bCs/>
          <w:color w:val="000000"/>
          <w:sz w:val="28"/>
          <w:szCs w:val="28"/>
          <w:lang w:val="es-MX"/>
        </w:rPr>
        <w:t xml:space="preserve">comercialización, </w:t>
      </w:r>
      <w:r w:rsidR="00A6465D" w:rsidRPr="00C67536">
        <w:rPr>
          <w:rFonts w:cs="Arial"/>
          <w:bCs/>
          <w:color w:val="000000"/>
          <w:sz w:val="28"/>
          <w:szCs w:val="28"/>
          <w:lang w:val="es-MX"/>
        </w:rPr>
        <w:t xml:space="preserve">distribución, promoción, explotación, importación y exportación </w:t>
      </w:r>
      <w:r w:rsidR="00A6465D" w:rsidRPr="00C67536">
        <w:rPr>
          <w:rFonts w:cs="Arial"/>
          <w:b/>
          <w:bCs/>
          <w:color w:val="000000"/>
          <w:sz w:val="28"/>
          <w:szCs w:val="28"/>
          <w:lang w:val="es-MX"/>
        </w:rPr>
        <w:t>de todo tipo de</w:t>
      </w:r>
      <w:r w:rsidR="00A6465D" w:rsidRPr="00C67536">
        <w:rPr>
          <w:rFonts w:cs="Arial"/>
          <w:bCs/>
          <w:color w:val="000000"/>
          <w:sz w:val="28"/>
          <w:szCs w:val="28"/>
          <w:lang w:val="es-MX"/>
        </w:rPr>
        <w:t xml:space="preserve"> </w:t>
      </w:r>
      <w:r w:rsidR="00A6465D" w:rsidRPr="00C67536">
        <w:rPr>
          <w:rFonts w:cs="Arial"/>
          <w:b/>
          <w:bCs/>
          <w:color w:val="000000"/>
          <w:sz w:val="28"/>
          <w:szCs w:val="28"/>
          <w:lang w:val="es-MX"/>
        </w:rPr>
        <w:t xml:space="preserve">productos, artículos y bienes, </w:t>
      </w:r>
      <w:r w:rsidR="00A6465D" w:rsidRPr="00C67536">
        <w:rPr>
          <w:rFonts w:cs="Arial"/>
          <w:bCs/>
          <w:color w:val="000000"/>
          <w:sz w:val="28"/>
          <w:szCs w:val="28"/>
          <w:lang w:val="es-MX"/>
        </w:rPr>
        <w:t xml:space="preserve">ya sean manufacturados o semifacturados </w:t>
      </w:r>
      <w:r w:rsidR="00A6465D" w:rsidRPr="00C67536">
        <w:rPr>
          <w:rFonts w:cs="Arial"/>
          <w:b/>
          <w:bCs/>
          <w:color w:val="000000"/>
          <w:sz w:val="28"/>
          <w:szCs w:val="28"/>
          <w:lang w:val="es-MX"/>
        </w:rPr>
        <w:t>y de manera enunciativa mas no limitativa, todo</w:t>
      </w:r>
      <w:r w:rsidR="00A6465D" w:rsidRPr="00C67536">
        <w:rPr>
          <w:rFonts w:cs="Arial"/>
          <w:bCs/>
          <w:color w:val="000000"/>
          <w:sz w:val="28"/>
          <w:szCs w:val="28"/>
          <w:lang w:val="es-MX"/>
        </w:rPr>
        <w:t xml:space="preserve"> </w:t>
      </w:r>
      <w:r w:rsidR="00A6465D" w:rsidRPr="00C67536">
        <w:rPr>
          <w:rFonts w:cs="Arial"/>
          <w:b/>
          <w:bCs/>
          <w:color w:val="000000"/>
          <w:sz w:val="28"/>
          <w:szCs w:val="28"/>
          <w:lang w:val="es-MX"/>
        </w:rPr>
        <w:t>tipo de bebidas, refrescos, jugos, néctares y sus concentrados</w:t>
      </w:r>
      <w:r w:rsidR="00C677F1" w:rsidRPr="00C67536">
        <w:rPr>
          <w:rFonts w:cs="Arial"/>
          <w:b/>
          <w:bCs/>
          <w:color w:val="000000"/>
          <w:sz w:val="28"/>
          <w:szCs w:val="28"/>
          <w:lang w:val="es-MX"/>
        </w:rPr>
        <w:t>.</w:t>
      </w:r>
    </w:p>
    <w:p w14:paraId="1F1D8C3E" w14:textId="77777777" w:rsidR="00C677F1" w:rsidRPr="00C67536" w:rsidRDefault="00C677F1" w:rsidP="00C677F1">
      <w:pPr>
        <w:pStyle w:val="ListParagraph"/>
        <w:rPr>
          <w:rFonts w:ascii="Arial" w:hAnsi="Arial" w:cs="Arial"/>
          <w:bCs/>
          <w:color w:val="000000"/>
          <w:sz w:val="28"/>
          <w:szCs w:val="28"/>
        </w:rPr>
      </w:pPr>
    </w:p>
    <w:p w14:paraId="0175A167" w14:textId="701189D0" w:rsidR="00CF23B7" w:rsidRPr="00C67536" w:rsidRDefault="001C64E6" w:rsidP="00B144AE">
      <w:pPr>
        <w:pStyle w:val="corte4fondo"/>
        <w:numPr>
          <w:ilvl w:val="0"/>
          <w:numId w:val="15"/>
        </w:numPr>
        <w:tabs>
          <w:tab w:val="center" w:pos="4420"/>
          <w:tab w:val="left" w:pos="6975"/>
        </w:tabs>
        <w:ind w:left="0" w:hanging="567"/>
        <w:rPr>
          <w:rFonts w:cs="Arial"/>
          <w:bCs/>
          <w:color w:val="000000"/>
          <w:sz w:val="28"/>
          <w:szCs w:val="28"/>
          <w:lang w:val="es-MX"/>
        </w:rPr>
      </w:pPr>
      <w:r w:rsidRPr="00C67536">
        <w:rPr>
          <w:rFonts w:cs="Arial"/>
          <w:bCs/>
          <w:color w:val="000000"/>
          <w:sz w:val="28"/>
          <w:szCs w:val="28"/>
        </w:rPr>
        <w:t xml:space="preserve">Para el desarrollo de su objeto social, la </w:t>
      </w:r>
      <w:r w:rsidR="00C677F1" w:rsidRPr="00C67536">
        <w:rPr>
          <w:rFonts w:cs="Arial"/>
          <w:bCs/>
          <w:color w:val="000000"/>
          <w:sz w:val="28"/>
          <w:szCs w:val="28"/>
        </w:rPr>
        <w:t>q</w:t>
      </w:r>
      <w:r w:rsidRPr="00C67536">
        <w:rPr>
          <w:rFonts w:cs="Arial"/>
          <w:bCs/>
          <w:color w:val="000000"/>
          <w:sz w:val="28"/>
          <w:szCs w:val="28"/>
        </w:rPr>
        <w:t>uejosa ha registrado</w:t>
      </w:r>
      <w:r w:rsidR="00D75E3F" w:rsidRPr="00C67536">
        <w:rPr>
          <w:rFonts w:cs="Arial"/>
          <w:bCs/>
          <w:color w:val="000000"/>
          <w:sz w:val="28"/>
          <w:szCs w:val="28"/>
        </w:rPr>
        <w:t xml:space="preserve"> </w:t>
      </w:r>
      <w:r w:rsidRPr="00C67536">
        <w:rPr>
          <w:rFonts w:cs="Arial"/>
          <w:bCs/>
          <w:color w:val="000000"/>
          <w:sz w:val="28"/>
          <w:szCs w:val="28"/>
        </w:rPr>
        <w:t>diversas marcas ante el Instituto Mexicano de la Propiedad</w:t>
      </w:r>
      <w:r w:rsidR="00160DB6" w:rsidRPr="00C67536">
        <w:rPr>
          <w:rFonts w:cs="Arial"/>
          <w:bCs/>
          <w:color w:val="000000"/>
          <w:sz w:val="28"/>
          <w:szCs w:val="28"/>
        </w:rPr>
        <w:t xml:space="preserve"> </w:t>
      </w:r>
      <w:r w:rsidRPr="00C67536">
        <w:rPr>
          <w:rFonts w:cs="Arial"/>
          <w:bCs/>
          <w:color w:val="000000"/>
          <w:sz w:val="28"/>
          <w:szCs w:val="28"/>
        </w:rPr>
        <w:t xml:space="preserve">Industrial, </w:t>
      </w:r>
      <w:r w:rsidR="00C677F1" w:rsidRPr="00C67536">
        <w:rPr>
          <w:rFonts w:cs="Arial"/>
          <w:bCs/>
          <w:color w:val="000000"/>
          <w:sz w:val="28"/>
          <w:szCs w:val="28"/>
        </w:rPr>
        <w:t>como son</w:t>
      </w:r>
      <w:r w:rsidR="005F5524" w:rsidRPr="00C67536">
        <w:rPr>
          <w:rFonts w:cs="Arial"/>
          <w:bCs/>
          <w:color w:val="000000"/>
          <w:sz w:val="28"/>
          <w:szCs w:val="28"/>
        </w:rPr>
        <w:t xml:space="preserve">: </w:t>
      </w:r>
      <w:r w:rsidR="00BB585E" w:rsidRPr="00C67536">
        <w:rPr>
          <w:rFonts w:cs="Arial"/>
          <w:bCs/>
          <w:color w:val="000000"/>
          <w:sz w:val="28"/>
          <w:szCs w:val="28"/>
        </w:rPr>
        <w:t>sangría señorial y sangría señorial light</w:t>
      </w:r>
      <w:r w:rsidR="00C677F1" w:rsidRPr="00C67536">
        <w:rPr>
          <w:rFonts w:cs="Arial"/>
          <w:bCs/>
          <w:color w:val="000000"/>
          <w:sz w:val="28"/>
          <w:szCs w:val="28"/>
        </w:rPr>
        <w:t>;</w:t>
      </w:r>
      <w:r w:rsidR="00BB585E" w:rsidRPr="00C67536">
        <w:rPr>
          <w:rFonts w:cs="Arial"/>
          <w:bCs/>
          <w:color w:val="000000"/>
          <w:sz w:val="28"/>
          <w:szCs w:val="28"/>
        </w:rPr>
        <w:t xml:space="preserve"> </w:t>
      </w:r>
      <w:r w:rsidR="00DB7D97" w:rsidRPr="00C67536">
        <w:rPr>
          <w:rFonts w:cs="Arial"/>
          <w:bCs/>
          <w:color w:val="000000"/>
          <w:sz w:val="28"/>
          <w:szCs w:val="28"/>
        </w:rPr>
        <w:t>tr</w:t>
      </w:r>
      <w:r w:rsidR="00D37591" w:rsidRPr="00C67536">
        <w:rPr>
          <w:rFonts w:cs="Arial"/>
          <w:bCs/>
          <w:color w:val="000000"/>
          <w:sz w:val="28"/>
          <w:szCs w:val="28"/>
        </w:rPr>
        <w:t>é</w:t>
      </w:r>
      <w:r w:rsidR="00DB7D97" w:rsidRPr="00C67536">
        <w:rPr>
          <w:rFonts w:cs="Arial"/>
          <w:bCs/>
          <w:color w:val="000000"/>
          <w:sz w:val="28"/>
          <w:szCs w:val="28"/>
        </w:rPr>
        <w:t xml:space="preserve">bol; </w:t>
      </w:r>
      <w:r w:rsidR="00BB585E" w:rsidRPr="00C67536">
        <w:rPr>
          <w:rFonts w:cs="Arial"/>
          <w:bCs/>
          <w:color w:val="000000"/>
          <w:sz w:val="28"/>
          <w:szCs w:val="28"/>
        </w:rPr>
        <w:t>chaparritas</w:t>
      </w:r>
      <w:r w:rsidR="00840FC0" w:rsidRPr="00C67536">
        <w:rPr>
          <w:rFonts w:cs="Arial"/>
          <w:bCs/>
          <w:color w:val="000000"/>
          <w:sz w:val="28"/>
          <w:szCs w:val="28"/>
        </w:rPr>
        <w:t>;</w:t>
      </w:r>
      <w:r w:rsidR="00BB585E" w:rsidRPr="00C67536">
        <w:rPr>
          <w:rFonts w:cs="Arial"/>
          <w:bCs/>
          <w:color w:val="000000"/>
          <w:sz w:val="28"/>
          <w:szCs w:val="28"/>
        </w:rPr>
        <w:t xml:space="preserve"> y</w:t>
      </w:r>
      <w:r w:rsidR="00840FC0" w:rsidRPr="00C67536">
        <w:rPr>
          <w:rFonts w:cs="Arial"/>
          <w:bCs/>
          <w:color w:val="000000"/>
          <w:sz w:val="28"/>
          <w:szCs w:val="28"/>
        </w:rPr>
        <w:t>,</w:t>
      </w:r>
      <w:r w:rsidR="00BB585E" w:rsidRPr="00C67536">
        <w:rPr>
          <w:rFonts w:cs="Arial"/>
          <w:bCs/>
          <w:color w:val="000000"/>
          <w:sz w:val="28"/>
          <w:szCs w:val="28"/>
        </w:rPr>
        <w:t xml:space="preserve"> barrilitos que son aplicables a: </w:t>
      </w:r>
      <w:r w:rsidR="00840FC0" w:rsidRPr="00C67536">
        <w:rPr>
          <w:rFonts w:cs="Arial"/>
          <w:bCs/>
          <w:color w:val="000000"/>
          <w:sz w:val="28"/>
          <w:szCs w:val="28"/>
        </w:rPr>
        <w:t>a</w:t>
      </w:r>
      <w:r w:rsidR="00BB585E" w:rsidRPr="00C67536">
        <w:rPr>
          <w:rFonts w:cs="Arial"/>
          <w:bCs/>
          <w:color w:val="000000"/>
          <w:sz w:val="28"/>
          <w:szCs w:val="28"/>
        </w:rPr>
        <w:t xml:space="preserve">guas minerales y gaseosas, bebidas </w:t>
      </w:r>
      <w:r w:rsidR="00840FC0" w:rsidRPr="00C67536">
        <w:rPr>
          <w:rFonts w:cs="Arial"/>
          <w:bCs/>
          <w:color w:val="000000"/>
          <w:sz w:val="28"/>
          <w:szCs w:val="28"/>
        </w:rPr>
        <w:t>s</w:t>
      </w:r>
      <w:r w:rsidR="00BB585E" w:rsidRPr="00C67536">
        <w:rPr>
          <w:rFonts w:cs="Arial"/>
          <w:bCs/>
          <w:color w:val="000000"/>
          <w:sz w:val="28"/>
          <w:szCs w:val="28"/>
        </w:rPr>
        <w:t>in alcohol, bebidas de frutas</w:t>
      </w:r>
      <w:r w:rsidR="00840FC0" w:rsidRPr="00C67536">
        <w:rPr>
          <w:rFonts w:cs="Arial"/>
          <w:bCs/>
          <w:color w:val="000000"/>
          <w:sz w:val="28"/>
          <w:szCs w:val="28"/>
        </w:rPr>
        <w:t xml:space="preserve"> y</w:t>
      </w:r>
      <w:r w:rsidR="00BB585E" w:rsidRPr="00C67536">
        <w:rPr>
          <w:rFonts w:cs="Arial"/>
          <w:bCs/>
          <w:color w:val="000000"/>
          <w:sz w:val="28"/>
          <w:szCs w:val="28"/>
        </w:rPr>
        <w:t xml:space="preserve"> refrescos.</w:t>
      </w:r>
    </w:p>
    <w:p w14:paraId="4E335ACF" w14:textId="77777777" w:rsidR="005F5524" w:rsidRPr="00C67536" w:rsidRDefault="005F5524" w:rsidP="005F5524">
      <w:pPr>
        <w:pStyle w:val="ListParagraph"/>
        <w:autoSpaceDE w:val="0"/>
        <w:autoSpaceDN w:val="0"/>
        <w:adjustRightInd w:val="0"/>
        <w:spacing w:line="360" w:lineRule="auto"/>
        <w:ind w:left="0"/>
        <w:jc w:val="both"/>
        <w:rPr>
          <w:rFonts w:ascii="Arial" w:hAnsi="Arial" w:cs="Arial"/>
          <w:bCs/>
          <w:color w:val="000000"/>
          <w:sz w:val="28"/>
          <w:szCs w:val="28"/>
          <w:lang w:val="es-ES_tradnl"/>
        </w:rPr>
      </w:pPr>
    </w:p>
    <w:p w14:paraId="37B82F82" w14:textId="5F1DEC99" w:rsidR="009619A2" w:rsidRPr="00C67536" w:rsidRDefault="00A7221E" w:rsidP="00B144AE">
      <w:pPr>
        <w:pStyle w:val="corte4fondo"/>
        <w:numPr>
          <w:ilvl w:val="0"/>
          <w:numId w:val="15"/>
        </w:numPr>
        <w:tabs>
          <w:tab w:val="center" w:pos="4420"/>
          <w:tab w:val="left" w:pos="6975"/>
        </w:tabs>
        <w:ind w:left="0" w:hanging="567"/>
        <w:rPr>
          <w:rFonts w:cs="Arial"/>
          <w:color w:val="000000"/>
          <w:sz w:val="28"/>
          <w:szCs w:val="28"/>
        </w:rPr>
      </w:pPr>
      <w:r w:rsidRPr="00C67536">
        <w:rPr>
          <w:rFonts w:cs="Arial"/>
          <w:b/>
          <w:color w:val="000000"/>
          <w:sz w:val="28"/>
          <w:szCs w:val="28"/>
          <w:lang w:val="es-MX"/>
        </w:rPr>
        <w:t>Demanda de amparo.</w:t>
      </w:r>
      <w:r w:rsidR="008E32D7" w:rsidRPr="00C67536">
        <w:rPr>
          <w:rFonts w:cs="Arial"/>
          <w:b/>
          <w:color w:val="000000"/>
          <w:sz w:val="28"/>
          <w:szCs w:val="28"/>
          <w:lang w:val="es-MX"/>
        </w:rPr>
        <w:t xml:space="preserve"> </w:t>
      </w:r>
      <w:r w:rsidR="008E32D7" w:rsidRPr="00C67536">
        <w:rPr>
          <w:rFonts w:cs="Arial"/>
          <w:bCs/>
          <w:color w:val="000000"/>
          <w:sz w:val="28"/>
          <w:szCs w:val="28"/>
        </w:rPr>
        <w:t xml:space="preserve">Por escrito presentado en la Oficina de Correspondencia Común de los Juzgados de Distrito en </w:t>
      </w:r>
      <w:r w:rsidR="008E32D7" w:rsidRPr="00C67536">
        <w:rPr>
          <w:rFonts w:cs="Arial"/>
          <w:bCs/>
          <w:color w:val="000000"/>
          <w:sz w:val="28"/>
          <w:szCs w:val="28"/>
          <w:lang w:val="es-MX"/>
        </w:rPr>
        <w:t xml:space="preserve">Materia Administrativa en la Ciudad de México, el </w:t>
      </w:r>
      <w:r w:rsidR="000A342D" w:rsidRPr="00C67536">
        <w:rPr>
          <w:rFonts w:cs="Arial"/>
          <w:color w:val="000000"/>
          <w:sz w:val="28"/>
          <w:szCs w:val="28"/>
          <w:lang w:val="es-MX"/>
        </w:rPr>
        <w:t>veintidós de octubre de dos mil veinte,</w:t>
      </w:r>
      <w:r w:rsidR="00766051" w:rsidRPr="00C67536">
        <w:rPr>
          <w:rFonts w:cs="Arial"/>
          <w:b/>
          <w:bCs/>
          <w:color w:val="000000"/>
          <w:sz w:val="28"/>
          <w:szCs w:val="28"/>
        </w:rPr>
        <w:t xml:space="preserve"> </w:t>
      </w:r>
      <w:r w:rsidR="00766051" w:rsidRPr="00C67536">
        <w:rPr>
          <w:rFonts w:cs="Arial"/>
          <w:color w:val="000000"/>
          <w:sz w:val="28"/>
          <w:szCs w:val="28"/>
          <w:lang w:val="es-MX"/>
        </w:rPr>
        <w:t>Jorge Arturo Pérez Domínguez, apoderado</w:t>
      </w:r>
      <w:r w:rsidR="00D37591" w:rsidRPr="00C67536">
        <w:rPr>
          <w:rFonts w:cs="Arial"/>
          <w:color w:val="000000"/>
          <w:sz w:val="28"/>
          <w:szCs w:val="28"/>
          <w:lang w:val="es-MX"/>
        </w:rPr>
        <w:t xml:space="preserve"> legal</w:t>
      </w:r>
      <w:r w:rsidR="00766051" w:rsidRPr="00C67536">
        <w:rPr>
          <w:rFonts w:cs="Arial"/>
          <w:color w:val="000000"/>
          <w:sz w:val="28"/>
          <w:szCs w:val="28"/>
          <w:lang w:val="es-MX"/>
        </w:rPr>
        <w:t xml:space="preserve"> de</w:t>
      </w:r>
      <w:r w:rsidR="00F65CC7" w:rsidRPr="00C67536">
        <w:rPr>
          <w:rFonts w:cs="Arial"/>
          <w:color w:val="000000"/>
          <w:sz w:val="28"/>
          <w:szCs w:val="28"/>
          <w:lang w:val="es-MX"/>
        </w:rPr>
        <w:t xml:space="preserve"> la moral</w:t>
      </w:r>
      <w:r w:rsidR="00766051" w:rsidRPr="00C67536">
        <w:rPr>
          <w:rFonts w:cs="Arial"/>
          <w:color w:val="000000"/>
          <w:sz w:val="28"/>
          <w:szCs w:val="28"/>
          <w:lang w:val="es-MX"/>
        </w:rPr>
        <w:t xml:space="preserve"> Desde el Corazón del Fruto, </w:t>
      </w:r>
      <w:r w:rsidR="00F65CC7" w:rsidRPr="00C67536">
        <w:rPr>
          <w:rFonts w:cs="Arial"/>
          <w:color w:val="000000"/>
          <w:sz w:val="28"/>
          <w:szCs w:val="28"/>
          <w:lang w:val="es-MX"/>
        </w:rPr>
        <w:t xml:space="preserve">Sociedad Anónima </w:t>
      </w:r>
      <w:r w:rsidR="00766051" w:rsidRPr="00C67536">
        <w:rPr>
          <w:rFonts w:cs="Arial"/>
          <w:color w:val="000000"/>
          <w:sz w:val="28"/>
          <w:szCs w:val="28"/>
          <w:lang w:val="es-MX"/>
        </w:rPr>
        <w:t xml:space="preserve">de </w:t>
      </w:r>
      <w:r w:rsidR="00F65CC7" w:rsidRPr="00C67536">
        <w:rPr>
          <w:rFonts w:cs="Arial"/>
          <w:color w:val="000000"/>
          <w:sz w:val="28"/>
          <w:szCs w:val="28"/>
          <w:lang w:val="es-MX"/>
        </w:rPr>
        <w:t>Capital Variable</w:t>
      </w:r>
      <w:r w:rsidR="00766051" w:rsidRPr="00C67536">
        <w:rPr>
          <w:rFonts w:cs="Arial"/>
          <w:color w:val="000000"/>
          <w:sz w:val="28"/>
          <w:szCs w:val="28"/>
          <w:lang w:val="es-MX"/>
        </w:rPr>
        <w:t xml:space="preserve">, </w:t>
      </w:r>
      <w:r w:rsidR="00073282" w:rsidRPr="00C67536">
        <w:rPr>
          <w:rFonts w:cs="Arial"/>
          <w:color w:val="000000"/>
          <w:sz w:val="28"/>
          <w:szCs w:val="28"/>
        </w:rPr>
        <w:t xml:space="preserve">solicitó el amparo y protección de la Justicia Federal contra </w:t>
      </w:r>
      <w:r w:rsidR="00073282" w:rsidRPr="00C67536">
        <w:rPr>
          <w:rFonts w:cs="Arial"/>
          <w:color w:val="000000"/>
          <w:sz w:val="28"/>
          <w:szCs w:val="28"/>
          <w:lang w:val="es-MX"/>
        </w:rPr>
        <w:t>las autoridades y actos siguientes:</w:t>
      </w:r>
    </w:p>
    <w:p w14:paraId="010CB313" w14:textId="77777777" w:rsidR="0087548B" w:rsidRPr="00C67536" w:rsidRDefault="0087548B" w:rsidP="0087548B">
      <w:pPr>
        <w:pStyle w:val="ListParagraph"/>
        <w:ind w:left="1418"/>
        <w:jc w:val="both"/>
        <w:rPr>
          <w:rFonts w:ascii="Arial" w:hAnsi="Arial" w:cs="Arial"/>
          <w:color w:val="000000"/>
          <w:sz w:val="28"/>
          <w:szCs w:val="28"/>
        </w:rPr>
      </w:pPr>
    </w:p>
    <w:p w14:paraId="022DA0F7" w14:textId="7BD3C0ED" w:rsidR="0087548B" w:rsidRPr="00C67536" w:rsidRDefault="0087548B" w:rsidP="00B21C4A">
      <w:pPr>
        <w:autoSpaceDE w:val="0"/>
        <w:autoSpaceDN w:val="0"/>
        <w:adjustRightInd w:val="0"/>
        <w:ind w:left="710"/>
        <w:jc w:val="center"/>
        <w:rPr>
          <w:rFonts w:ascii="Arial" w:eastAsiaTheme="minorHAnsi" w:hAnsi="Arial" w:cs="Arial"/>
          <w:sz w:val="28"/>
          <w:szCs w:val="28"/>
          <w:lang w:eastAsia="en-US"/>
        </w:rPr>
      </w:pPr>
      <w:r w:rsidRPr="00C67536">
        <w:rPr>
          <w:rFonts w:ascii="Arial" w:eastAsiaTheme="minorHAnsi" w:hAnsi="Arial" w:cs="Arial"/>
          <w:b/>
          <w:bCs/>
          <w:sz w:val="28"/>
          <w:szCs w:val="28"/>
          <w:lang w:eastAsia="en-US"/>
        </w:rPr>
        <w:t>Autoridades responsables</w:t>
      </w:r>
      <w:r w:rsidRPr="00C67536">
        <w:rPr>
          <w:rFonts w:ascii="Arial" w:eastAsiaTheme="minorHAnsi" w:hAnsi="Arial" w:cs="Arial"/>
          <w:sz w:val="28"/>
          <w:szCs w:val="28"/>
          <w:lang w:eastAsia="en-US"/>
        </w:rPr>
        <w:t>:</w:t>
      </w:r>
    </w:p>
    <w:p w14:paraId="7C85F8D3" w14:textId="77777777" w:rsidR="00B21C4A" w:rsidRPr="00C67536" w:rsidRDefault="00B21C4A" w:rsidP="0087548B">
      <w:pPr>
        <w:autoSpaceDE w:val="0"/>
        <w:autoSpaceDN w:val="0"/>
        <w:adjustRightInd w:val="0"/>
        <w:ind w:left="710"/>
        <w:jc w:val="both"/>
        <w:rPr>
          <w:rFonts w:ascii="Arial" w:eastAsiaTheme="minorHAnsi" w:hAnsi="Arial" w:cs="Arial"/>
          <w:sz w:val="28"/>
          <w:szCs w:val="28"/>
          <w:lang w:eastAsia="en-US"/>
        </w:rPr>
      </w:pPr>
    </w:p>
    <w:p w14:paraId="2B84E7C4" w14:textId="0DBE111B" w:rsidR="0087548B" w:rsidRPr="00C67536" w:rsidRDefault="0087548B" w:rsidP="00BA53B7">
      <w:pPr>
        <w:autoSpaceDE w:val="0"/>
        <w:autoSpaceDN w:val="0"/>
        <w:adjustRightInd w:val="0"/>
        <w:ind w:left="567"/>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1. Presidente Constitucional de los Estados Unidos Mexicanos;</w:t>
      </w:r>
    </w:p>
    <w:p w14:paraId="24BC2159" w14:textId="0F5343EC" w:rsidR="0087548B" w:rsidRPr="00C67536" w:rsidRDefault="0087548B" w:rsidP="00BA53B7">
      <w:pPr>
        <w:autoSpaceDE w:val="0"/>
        <w:autoSpaceDN w:val="0"/>
        <w:adjustRightInd w:val="0"/>
        <w:ind w:left="567"/>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2. Cámara de Diputados del Congreso de la Unión;</w:t>
      </w:r>
    </w:p>
    <w:p w14:paraId="60582753" w14:textId="41930FD4" w:rsidR="0087548B" w:rsidRPr="00C67536" w:rsidRDefault="0087548B" w:rsidP="00BA53B7">
      <w:pPr>
        <w:autoSpaceDE w:val="0"/>
        <w:autoSpaceDN w:val="0"/>
        <w:adjustRightInd w:val="0"/>
        <w:ind w:left="567"/>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3. Cámara de Senadores del Congreso de la Unión;</w:t>
      </w:r>
    </w:p>
    <w:p w14:paraId="65340DA4" w14:textId="2F08B084" w:rsidR="0087548B" w:rsidRPr="00C67536" w:rsidRDefault="0087548B" w:rsidP="00BA53B7">
      <w:pPr>
        <w:autoSpaceDE w:val="0"/>
        <w:autoSpaceDN w:val="0"/>
        <w:adjustRightInd w:val="0"/>
        <w:ind w:left="567"/>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4. Director General de Normas de la Secretaría de Economía de la Administración Pública Federal y Presidente del Comité Consultivo Nacional de Normalización (CCONNSE);</w:t>
      </w:r>
    </w:p>
    <w:p w14:paraId="3A55C604" w14:textId="0FE250B4" w:rsidR="0087548B" w:rsidRPr="00C67536" w:rsidRDefault="0087548B" w:rsidP="00BA53B7">
      <w:pPr>
        <w:autoSpaceDE w:val="0"/>
        <w:autoSpaceDN w:val="0"/>
        <w:adjustRightInd w:val="0"/>
        <w:ind w:left="567"/>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5. Comisionado Federal de la Comisión Federal para la Protección contra Riesgos Sanitarias y Presidente del Comité Consultivo Nacional de Normalización de Regulación y Fomento Sanitario (CCNNRFS); y</w:t>
      </w:r>
    </w:p>
    <w:p w14:paraId="61E28B17" w14:textId="741ABEC6" w:rsidR="0087548B" w:rsidRPr="00C67536" w:rsidRDefault="0087548B" w:rsidP="00BA53B7">
      <w:pPr>
        <w:autoSpaceDE w:val="0"/>
        <w:autoSpaceDN w:val="0"/>
        <w:adjustRightInd w:val="0"/>
        <w:ind w:left="567"/>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6. Comisión Nacional de Mejora Regulatoria.</w:t>
      </w:r>
    </w:p>
    <w:p w14:paraId="1D3B37BF" w14:textId="77777777" w:rsidR="00FB3235" w:rsidRPr="00C67536" w:rsidRDefault="00FB3235" w:rsidP="0087548B">
      <w:pPr>
        <w:autoSpaceDE w:val="0"/>
        <w:autoSpaceDN w:val="0"/>
        <w:adjustRightInd w:val="0"/>
        <w:ind w:left="710"/>
        <w:jc w:val="both"/>
        <w:rPr>
          <w:rFonts w:ascii="Arial" w:eastAsiaTheme="minorHAnsi" w:hAnsi="Arial" w:cs="Arial"/>
          <w:sz w:val="28"/>
          <w:szCs w:val="28"/>
          <w:lang w:eastAsia="en-US"/>
        </w:rPr>
      </w:pPr>
    </w:p>
    <w:p w14:paraId="01F86A0D" w14:textId="6D8E2971" w:rsidR="007D6F5C" w:rsidRPr="00C67536" w:rsidRDefault="0087548B" w:rsidP="00946870">
      <w:pPr>
        <w:pStyle w:val="ListParagraph"/>
        <w:jc w:val="center"/>
        <w:rPr>
          <w:rFonts w:ascii="Arial" w:hAnsi="Arial" w:cs="Arial"/>
          <w:b/>
          <w:bCs/>
          <w:color w:val="000000"/>
          <w:sz w:val="28"/>
          <w:szCs w:val="28"/>
        </w:rPr>
      </w:pPr>
      <w:r w:rsidRPr="00C67536">
        <w:rPr>
          <w:rFonts w:ascii="Arial" w:hAnsi="Arial" w:cs="Arial"/>
          <w:b/>
          <w:bCs/>
          <w:color w:val="000000"/>
          <w:sz w:val="28"/>
          <w:szCs w:val="28"/>
        </w:rPr>
        <w:t xml:space="preserve">Normas </w:t>
      </w:r>
      <w:r w:rsidR="00946870" w:rsidRPr="00C67536">
        <w:rPr>
          <w:rFonts w:ascii="Arial" w:hAnsi="Arial" w:cs="Arial"/>
          <w:b/>
          <w:bCs/>
          <w:color w:val="000000"/>
          <w:sz w:val="28"/>
          <w:szCs w:val="28"/>
        </w:rPr>
        <w:t>y actos reclamados</w:t>
      </w:r>
      <w:r w:rsidR="00613345">
        <w:rPr>
          <w:rFonts w:ascii="Arial" w:hAnsi="Arial" w:cs="Arial"/>
          <w:b/>
          <w:bCs/>
          <w:color w:val="000000"/>
          <w:sz w:val="28"/>
          <w:szCs w:val="28"/>
        </w:rPr>
        <w:t>.</w:t>
      </w:r>
    </w:p>
    <w:p w14:paraId="51E5ACE4" w14:textId="77777777" w:rsidR="00FB3235" w:rsidRPr="00C67536" w:rsidRDefault="00FB3235" w:rsidP="00FB3235">
      <w:pPr>
        <w:pStyle w:val="ListParagraph"/>
        <w:jc w:val="both"/>
        <w:rPr>
          <w:rFonts w:ascii="Arial" w:hAnsi="Arial" w:cs="Arial"/>
          <w:b/>
          <w:bCs/>
          <w:color w:val="000000"/>
          <w:sz w:val="28"/>
          <w:szCs w:val="28"/>
          <w:u w:val="single"/>
        </w:rPr>
      </w:pPr>
    </w:p>
    <w:p w14:paraId="7F32D06D" w14:textId="5411E9AB" w:rsidR="00946870" w:rsidRPr="00C67536" w:rsidRDefault="005C7940" w:rsidP="00B144AE">
      <w:pPr>
        <w:pStyle w:val="corte4fondo"/>
        <w:numPr>
          <w:ilvl w:val="0"/>
          <w:numId w:val="6"/>
        </w:numPr>
        <w:tabs>
          <w:tab w:val="center" w:pos="851"/>
          <w:tab w:val="left" w:pos="6975"/>
        </w:tabs>
        <w:spacing w:line="240" w:lineRule="auto"/>
        <w:ind w:left="567" w:firstLine="0"/>
        <w:rPr>
          <w:rFonts w:eastAsiaTheme="minorHAnsi" w:cs="Arial"/>
          <w:sz w:val="26"/>
          <w:szCs w:val="26"/>
          <w:lang w:val="es-MX" w:eastAsia="en-US"/>
        </w:rPr>
      </w:pPr>
      <w:r w:rsidRPr="00C67536">
        <w:rPr>
          <w:rFonts w:eastAsiaTheme="minorHAnsi" w:cs="Arial"/>
          <w:sz w:val="26"/>
          <w:szCs w:val="26"/>
          <w:lang w:val="es-MX" w:eastAsia="en-US"/>
        </w:rPr>
        <w:t>L</w:t>
      </w:r>
      <w:r w:rsidR="00DF6A80" w:rsidRPr="00C67536">
        <w:rPr>
          <w:rFonts w:eastAsiaTheme="minorHAnsi" w:cs="Arial"/>
          <w:sz w:val="26"/>
          <w:szCs w:val="26"/>
          <w:lang w:val="es-MX" w:eastAsia="en-US"/>
        </w:rPr>
        <w:t>a</w:t>
      </w:r>
      <w:r w:rsidRPr="00C67536">
        <w:rPr>
          <w:rFonts w:eastAsiaTheme="minorHAnsi" w:cs="Arial"/>
          <w:sz w:val="26"/>
          <w:szCs w:val="26"/>
          <w:lang w:val="es-MX" w:eastAsia="en-US"/>
        </w:rPr>
        <w:t xml:space="preserve"> </w:t>
      </w:r>
      <w:r w:rsidR="00DF6A80" w:rsidRPr="00C67536">
        <w:rPr>
          <w:rFonts w:eastAsiaTheme="minorHAnsi" w:cs="Arial"/>
          <w:sz w:val="26"/>
          <w:szCs w:val="26"/>
          <w:lang w:val="es-MX" w:eastAsia="en-US"/>
        </w:rPr>
        <w:t xml:space="preserve">discusión, </w:t>
      </w:r>
      <w:r w:rsidR="005D543E" w:rsidRPr="00C67536">
        <w:rPr>
          <w:rFonts w:eastAsiaTheme="minorHAnsi" w:cs="Arial"/>
          <w:sz w:val="26"/>
          <w:szCs w:val="26"/>
          <w:lang w:val="es-MX" w:eastAsia="en-US"/>
        </w:rPr>
        <w:t xml:space="preserve">votación, </w:t>
      </w:r>
      <w:r w:rsidR="00DF6A80" w:rsidRPr="00C67536">
        <w:rPr>
          <w:rFonts w:eastAsiaTheme="minorHAnsi" w:cs="Arial"/>
          <w:sz w:val="26"/>
          <w:szCs w:val="26"/>
          <w:lang w:val="es-MX" w:eastAsia="en-US"/>
        </w:rPr>
        <w:t>aprobación,</w:t>
      </w:r>
      <w:r w:rsidR="00267B75" w:rsidRPr="00C67536">
        <w:rPr>
          <w:rFonts w:eastAsiaTheme="minorHAnsi" w:cs="Arial"/>
          <w:sz w:val="26"/>
          <w:szCs w:val="26"/>
          <w:lang w:val="es-MX" w:eastAsia="en-US"/>
        </w:rPr>
        <w:t xml:space="preserve"> expedición y</w:t>
      </w:r>
      <w:r w:rsidR="00DF6A80" w:rsidRPr="00C67536">
        <w:rPr>
          <w:rFonts w:eastAsiaTheme="minorHAnsi" w:cs="Arial"/>
          <w:sz w:val="26"/>
          <w:szCs w:val="26"/>
          <w:lang w:val="es-MX" w:eastAsia="en-US"/>
        </w:rPr>
        <w:t xml:space="preserve"> promulgación del</w:t>
      </w:r>
      <w:r w:rsidR="004F3ADA" w:rsidRPr="00C67536">
        <w:rPr>
          <w:rFonts w:eastAsiaTheme="minorHAnsi" w:cs="Arial"/>
          <w:sz w:val="26"/>
          <w:szCs w:val="26"/>
          <w:lang w:val="es-MX" w:eastAsia="en-US"/>
        </w:rPr>
        <w:t xml:space="preserve"> </w:t>
      </w:r>
      <w:r w:rsidR="000B3470" w:rsidRPr="00C67536">
        <w:rPr>
          <w:rFonts w:eastAsiaTheme="minorHAnsi" w:cs="Arial"/>
          <w:sz w:val="26"/>
          <w:szCs w:val="26"/>
          <w:lang w:val="es-MX" w:eastAsia="en-US"/>
        </w:rPr>
        <w:t>Decreto por el que se reforman y adicionan</w:t>
      </w:r>
      <w:r w:rsidR="00345DB2" w:rsidRPr="00C67536">
        <w:rPr>
          <w:rFonts w:eastAsiaTheme="minorHAnsi" w:cs="Arial"/>
          <w:sz w:val="26"/>
          <w:szCs w:val="26"/>
          <w:lang w:val="es-MX" w:eastAsia="en-US"/>
        </w:rPr>
        <w:t xml:space="preserve"> diversas disposiciones de la Ley General de Salud, en materia de sobrepeso, obesidad</w:t>
      </w:r>
      <w:r w:rsidR="0010045B" w:rsidRPr="00C67536">
        <w:rPr>
          <w:rFonts w:eastAsiaTheme="minorHAnsi" w:cs="Arial"/>
          <w:sz w:val="26"/>
          <w:szCs w:val="26"/>
          <w:lang w:val="es-MX" w:eastAsia="en-US"/>
        </w:rPr>
        <w:t xml:space="preserve"> y de etiquetado de alimentos y bebidas alcohólicas, publicado</w:t>
      </w:r>
      <w:r w:rsidR="00064C1A" w:rsidRPr="00C67536">
        <w:rPr>
          <w:rFonts w:eastAsiaTheme="minorHAnsi" w:cs="Arial"/>
          <w:sz w:val="26"/>
          <w:szCs w:val="26"/>
          <w:lang w:val="es-MX" w:eastAsia="en-US"/>
        </w:rPr>
        <w:t xml:space="preserve"> en el Diario Oficial de la Federación el ocho de noviembre de dos mil diecinueve, en específico los</w:t>
      </w:r>
      <w:r w:rsidR="000B3470" w:rsidRPr="00C67536">
        <w:rPr>
          <w:rFonts w:eastAsiaTheme="minorHAnsi" w:cs="Arial"/>
          <w:sz w:val="26"/>
          <w:szCs w:val="26"/>
          <w:lang w:val="es-MX" w:eastAsia="en-US"/>
        </w:rPr>
        <w:t xml:space="preserve"> </w:t>
      </w:r>
      <w:r w:rsidR="00DF6A80" w:rsidRPr="00C67536">
        <w:rPr>
          <w:rFonts w:eastAsiaTheme="minorHAnsi" w:cs="Arial"/>
          <w:sz w:val="26"/>
          <w:szCs w:val="26"/>
          <w:lang w:val="es-MX" w:eastAsia="en-US"/>
        </w:rPr>
        <w:t>artículo</w:t>
      </w:r>
      <w:r w:rsidR="00064C1A" w:rsidRPr="00C67536">
        <w:rPr>
          <w:rFonts w:eastAsiaTheme="minorHAnsi" w:cs="Arial"/>
          <w:sz w:val="26"/>
          <w:szCs w:val="26"/>
          <w:lang w:val="es-MX" w:eastAsia="en-US"/>
        </w:rPr>
        <w:t>s</w:t>
      </w:r>
      <w:r w:rsidR="00DF6A80" w:rsidRPr="00C67536">
        <w:rPr>
          <w:rFonts w:eastAsiaTheme="minorHAnsi" w:cs="Arial"/>
          <w:sz w:val="26"/>
          <w:szCs w:val="26"/>
          <w:lang w:val="es-MX" w:eastAsia="en-US"/>
        </w:rPr>
        <w:t xml:space="preserve"> 212, párrafo tercero y</w:t>
      </w:r>
      <w:r w:rsidRPr="00C67536">
        <w:rPr>
          <w:rFonts w:eastAsiaTheme="minorHAnsi" w:cs="Arial"/>
          <w:sz w:val="26"/>
          <w:szCs w:val="26"/>
          <w:lang w:val="es-MX" w:eastAsia="en-US"/>
        </w:rPr>
        <w:t xml:space="preserve"> </w:t>
      </w:r>
      <w:r w:rsidR="00DF6A80" w:rsidRPr="00C67536">
        <w:rPr>
          <w:rFonts w:eastAsiaTheme="minorHAnsi" w:cs="Arial"/>
          <w:sz w:val="26"/>
          <w:szCs w:val="26"/>
          <w:lang w:val="es-MX" w:eastAsia="en-US"/>
        </w:rPr>
        <w:t>215, fracción VI</w:t>
      </w:r>
      <w:r w:rsidR="00064C1A" w:rsidRPr="00C67536">
        <w:rPr>
          <w:rFonts w:eastAsiaTheme="minorHAnsi" w:cs="Arial"/>
          <w:sz w:val="26"/>
          <w:szCs w:val="26"/>
          <w:lang w:val="es-MX" w:eastAsia="en-US"/>
        </w:rPr>
        <w:t>;</w:t>
      </w:r>
    </w:p>
    <w:p w14:paraId="1ACDD479" w14:textId="1ED3FA86" w:rsidR="001E2007" w:rsidRPr="00C67536" w:rsidRDefault="00946870" w:rsidP="00B144AE">
      <w:pPr>
        <w:pStyle w:val="corte4fondo"/>
        <w:numPr>
          <w:ilvl w:val="0"/>
          <w:numId w:val="6"/>
        </w:numPr>
        <w:tabs>
          <w:tab w:val="center" w:pos="851"/>
          <w:tab w:val="left" w:pos="6975"/>
        </w:tabs>
        <w:spacing w:line="240" w:lineRule="auto"/>
        <w:ind w:left="567" w:firstLine="0"/>
        <w:rPr>
          <w:rFonts w:eastAsiaTheme="minorHAnsi" w:cs="Arial"/>
          <w:sz w:val="26"/>
          <w:szCs w:val="26"/>
          <w:lang w:eastAsia="en-US"/>
        </w:rPr>
      </w:pPr>
      <w:r w:rsidRPr="00C67536">
        <w:rPr>
          <w:rFonts w:eastAsiaTheme="minorHAnsi" w:cs="Arial"/>
          <w:sz w:val="26"/>
          <w:szCs w:val="26"/>
          <w:lang w:val="es-MX" w:eastAsia="en-US"/>
        </w:rPr>
        <w:t>L</w:t>
      </w:r>
      <w:r w:rsidR="00DF6A80" w:rsidRPr="00C67536">
        <w:rPr>
          <w:rFonts w:eastAsiaTheme="minorHAnsi" w:cs="Arial"/>
          <w:sz w:val="26"/>
          <w:szCs w:val="26"/>
          <w:lang w:val="es-MX" w:eastAsia="en-US"/>
        </w:rPr>
        <w:t>a</w:t>
      </w:r>
      <w:r w:rsidR="005C7940" w:rsidRPr="00C67536">
        <w:rPr>
          <w:rFonts w:eastAsiaTheme="minorHAnsi" w:cs="Arial"/>
          <w:sz w:val="26"/>
          <w:szCs w:val="26"/>
          <w:lang w:val="es-MX" w:eastAsia="en-US"/>
        </w:rPr>
        <w:t xml:space="preserve"> </w:t>
      </w:r>
      <w:r w:rsidR="00DF6A80" w:rsidRPr="00C67536">
        <w:rPr>
          <w:rFonts w:eastAsiaTheme="minorHAnsi" w:cs="Arial"/>
          <w:sz w:val="26"/>
          <w:szCs w:val="26"/>
          <w:lang w:val="es-MX" w:eastAsia="en-US"/>
        </w:rPr>
        <w:t>expedición de la “Modificación a la Norma Oficial Mexicana NOM-</w:t>
      </w:r>
      <w:r w:rsidR="00677AEE" w:rsidRPr="00C67536">
        <w:rPr>
          <w:rFonts w:ascii="Times New Roman" w:eastAsiaTheme="minorHAnsi" w:hAnsi="Times New Roman" w:cs="Arial"/>
          <w:sz w:val="26"/>
          <w:szCs w:val="26"/>
          <w:lang w:val="es-MX" w:eastAsia="en-US"/>
        </w:rPr>
        <w:t xml:space="preserve"> </w:t>
      </w:r>
      <w:r w:rsidR="00677AEE" w:rsidRPr="00C67536">
        <w:rPr>
          <w:rFonts w:eastAsiaTheme="minorHAnsi" w:cs="Arial"/>
          <w:sz w:val="26"/>
          <w:szCs w:val="26"/>
          <w:lang w:val="es-MX" w:eastAsia="en-US"/>
        </w:rPr>
        <w:t>051-SCFI/SSA1-2010</w:t>
      </w:r>
      <w:r w:rsidR="005C7940" w:rsidRPr="00C67536">
        <w:rPr>
          <w:rFonts w:eastAsiaTheme="minorHAnsi" w:cs="Arial"/>
          <w:sz w:val="26"/>
          <w:szCs w:val="26"/>
          <w:lang w:eastAsia="en-US"/>
        </w:rPr>
        <w:t xml:space="preserve">, Especificaciones generales de etiquetado para alimentos y bebidas no alcohólicas preenvasados-información comercial y sanitaria, publicada en el Diario Oficial de la Federación el </w:t>
      </w:r>
      <w:r w:rsidR="001E2007" w:rsidRPr="00C67536">
        <w:rPr>
          <w:rFonts w:eastAsiaTheme="minorHAnsi" w:cs="Arial"/>
          <w:sz w:val="26"/>
          <w:szCs w:val="26"/>
          <w:lang w:eastAsia="en-US"/>
        </w:rPr>
        <w:t>veintisiete de marzo de dos mil veinte</w:t>
      </w:r>
      <w:r w:rsidR="005C7940" w:rsidRPr="00C67536">
        <w:rPr>
          <w:rFonts w:eastAsiaTheme="minorHAnsi" w:cs="Arial"/>
          <w:sz w:val="26"/>
          <w:szCs w:val="26"/>
          <w:lang w:eastAsia="en-US"/>
        </w:rPr>
        <w:t>, en especial los numerales 1, 3.31, 3.38, 3.42, 3.47, 4.5</w:t>
      </w:r>
      <w:r w:rsidR="00585864" w:rsidRPr="00C67536">
        <w:rPr>
          <w:rFonts w:eastAsiaTheme="minorHAnsi" w:cs="Arial"/>
          <w:sz w:val="26"/>
          <w:szCs w:val="26"/>
          <w:lang w:eastAsia="en-US"/>
        </w:rPr>
        <w:t xml:space="preserve"> (</w:t>
      </w:r>
      <w:r w:rsidR="00EC4784" w:rsidRPr="00C67536">
        <w:rPr>
          <w:rFonts w:eastAsiaTheme="minorHAnsi" w:cs="Arial"/>
          <w:sz w:val="26"/>
          <w:szCs w:val="26"/>
          <w:lang w:eastAsia="en-US"/>
        </w:rPr>
        <w:t>4.5.1, 4.5.3, 4.5.3.</w:t>
      </w:r>
      <w:r w:rsidR="00F13985" w:rsidRPr="00C67536">
        <w:rPr>
          <w:rFonts w:eastAsiaTheme="minorHAnsi" w:cs="Arial"/>
          <w:sz w:val="26"/>
          <w:szCs w:val="26"/>
          <w:lang w:eastAsia="en-US"/>
        </w:rPr>
        <w:t>4 y 4.5.3.4.1 a 4.5.3.4.</w:t>
      </w:r>
      <w:r w:rsidR="000267B3" w:rsidRPr="00C67536">
        <w:rPr>
          <w:rFonts w:eastAsiaTheme="minorHAnsi" w:cs="Arial"/>
          <w:sz w:val="26"/>
          <w:szCs w:val="26"/>
          <w:lang w:eastAsia="en-US"/>
        </w:rPr>
        <w:t>7)</w:t>
      </w:r>
      <w:r w:rsidR="00F13985" w:rsidRPr="00C67536">
        <w:rPr>
          <w:rFonts w:eastAsiaTheme="minorHAnsi" w:cs="Arial"/>
          <w:sz w:val="26"/>
          <w:szCs w:val="26"/>
          <w:lang w:eastAsia="en-US"/>
        </w:rPr>
        <w:t xml:space="preserve"> </w:t>
      </w:r>
      <w:r w:rsidR="005C7940" w:rsidRPr="00C67536">
        <w:rPr>
          <w:rFonts w:eastAsiaTheme="minorHAnsi" w:cs="Arial"/>
          <w:sz w:val="26"/>
          <w:szCs w:val="26"/>
          <w:lang w:eastAsia="en-US"/>
        </w:rPr>
        <w:t>7.1.3 y Apéndice;</w:t>
      </w:r>
    </w:p>
    <w:p w14:paraId="4F70A3C1" w14:textId="12E87F94" w:rsidR="00766C7A" w:rsidRPr="00C67536" w:rsidRDefault="001E2007" w:rsidP="00B144AE">
      <w:pPr>
        <w:pStyle w:val="corte4fondo"/>
        <w:numPr>
          <w:ilvl w:val="0"/>
          <w:numId w:val="6"/>
        </w:numPr>
        <w:tabs>
          <w:tab w:val="center" w:pos="851"/>
          <w:tab w:val="left" w:pos="6975"/>
        </w:tabs>
        <w:spacing w:line="240" w:lineRule="auto"/>
        <w:ind w:left="567" w:firstLine="0"/>
        <w:rPr>
          <w:rFonts w:eastAsiaTheme="minorHAnsi" w:cs="Arial"/>
          <w:sz w:val="28"/>
          <w:szCs w:val="28"/>
          <w:lang w:val="es-MX" w:eastAsia="en-US"/>
        </w:rPr>
      </w:pPr>
      <w:r w:rsidRPr="00C67536">
        <w:rPr>
          <w:rFonts w:eastAsiaTheme="minorHAnsi" w:cs="Arial"/>
          <w:sz w:val="26"/>
          <w:szCs w:val="26"/>
          <w:lang w:eastAsia="en-US"/>
        </w:rPr>
        <w:t>L</w:t>
      </w:r>
      <w:r w:rsidR="005C7940" w:rsidRPr="00C67536">
        <w:rPr>
          <w:rFonts w:eastAsiaTheme="minorHAnsi" w:cs="Arial"/>
          <w:sz w:val="26"/>
          <w:szCs w:val="26"/>
          <w:lang w:eastAsia="en-US"/>
        </w:rPr>
        <w:t>a expedición de la “Nota Aclaratoria</w:t>
      </w:r>
      <w:r w:rsidR="00FE024F" w:rsidRPr="00C67536">
        <w:rPr>
          <w:rFonts w:eastAsiaTheme="minorHAnsi" w:cs="Arial"/>
          <w:sz w:val="26"/>
          <w:szCs w:val="26"/>
          <w:lang w:eastAsia="en-US"/>
        </w:rPr>
        <w:t>”</w:t>
      </w:r>
      <w:r w:rsidR="005C7940" w:rsidRPr="00C67536">
        <w:rPr>
          <w:rFonts w:eastAsiaTheme="minorHAnsi" w:cs="Arial"/>
          <w:sz w:val="26"/>
          <w:szCs w:val="26"/>
          <w:lang w:eastAsia="en-US"/>
        </w:rPr>
        <w:t xml:space="preserve"> que emiten la Secretaría de Economía y la Secretaría de Salud</w:t>
      </w:r>
      <w:r w:rsidR="00FE024F" w:rsidRPr="00C67536">
        <w:rPr>
          <w:rFonts w:eastAsiaTheme="minorHAnsi" w:cs="Arial"/>
          <w:sz w:val="26"/>
          <w:szCs w:val="26"/>
          <w:lang w:eastAsia="en-US"/>
        </w:rPr>
        <w:t>,</w:t>
      </w:r>
      <w:r w:rsidR="005C7940" w:rsidRPr="00C67536">
        <w:rPr>
          <w:rFonts w:eastAsiaTheme="minorHAnsi" w:cs="Arial"/>
          <w:sz w:val="26"/>
          <w:szCs w:val="26"/>
          <w:lang w:eastAsia="en-US"/>
        </w:rPr>
        <w:t xml:space="preserve"> a través de la Comisión Federal para la Protección de Riesgos Sanitarios a la Modificación a la</w:t>
      </w:r>
      <w:r w:rsidR="00FE024F" w:rsidRPr="00C67536">
        <w:rPr>
          <w:rFonts w:eastAsiaTheme="minorHAnsi" w:cs="Arial"/>
          <w:sz w:val="26"/>
          <w:szCs w:val="26"/>
          <w:lang w:eastAsia="en-US"/>
        </w:rPr>
        <w:t xml:space="preserve"> c</w:t>
      </w:r>
      <w:r w:rsidR="00066A02" w:rsidRPr="00C67536">
        <w:rPr>
          <w:rFonts w:eastAsiaTheme="minorHAnsi" w:cs="Arial"/>
          <w:sz w:val="26"/>
          <w:szCs w:val="26"/>
          <w:lang w:eastAsia="en-US"/>
        </w:rPr>
        <w:t>it</w:t>
      </w:r>
      <w:r w:rsidR="00FE024F" w:rsidRPr="00C67536">
        <w:rPr>
          <w:rFonts w:eastAsiaTheme="minorHAnsi" w:cs="Arial"/>
          <w:sz w:val="26"/>
          <w:szCs w:val="26"/>
          <w:lang w:eastAsia="en-US"/>
        </w:rPr>
        <w:t>ada norma oficial</w:t>
      </w:r>
      <w:r w:rsidR="005C7940" w:rsidRPr="00C67536">
        <w:rPr>
          <w:rFonts w:eastAsiaTheme="minorHAnsi" w:cs="Arial"/>
          <w:sz w:val="26"/>
          <w:szCs w:val="26"/>
          <w:lang w:eastAsia="en-US"/>
        </w:rPr>
        <w:t xml:space="preserve">, </w:t>
      </w:r>
      <w:r w:rsidR="005C7940" w:rsidRPr="00C67536">
        <w:rPr>
          <w:rFonts w:eastAsiaTheme="minorHAnsi" w:cs="Arial"/>
          <w:b/>
          <w:bCs/>
          <w:sz w:val="26"/>
          <w:szCs w:val="26"/>
          <w:lang w:eastAsia="en-US"/>
        </w:rPr>
        <w:t>publicada en el Diario Oficial de la Federación el diecinueve de</w:t>
      </w:r>
      <w:r w:rsidR="005C7940" w:rsidRPr="00C67536">
        <w:rPr>
          <w:rFonts w:eastAsiaTheme="minorHAnsi" w:cs="Arial"/>
          <w:sz w:val="26"/>
          <w:szCs w:val="26"/>
          <w:lang w:eastAsia="en-US"/>
        </w:rPr>
        <w:t xml:space="preserve"> </w:t>
      </w:r>
      <w:r w:rsidR="005C7940" w:rsidRPr="00C67536">
        <w:rPr>
          <w:rFonts w:eastAsiaTheme="minorHAnsi" w:cs="Arial"/>
          <w:b/>
          <w:bCs/>
          <w:sz w:val="26"/>
          <w:szCs w:val="26"/>
          <w:lang w:val="es-MX" w:eastAsia="en-US"/>
        </w:rPr>
        <w:t>junio de dos mil veinte</w:t>
      </w:r>
      <w:r w:rsidR="00174744" w:rsidRPr="00C67536">
        <w:rPr>
          <w:rFonts w:eastAsiaTheme="minorHAnsi" w:cs="Arial"/>
          <w:sz w:val="26"/>
          <w:szCs w:val="26"/>
          <w:lang w:val="es-MX" w:eastAsia="en-US"/>
        </w:rPr>
        <w:t>.</w:t>
      </w:r>
    </w:p>
    <w:p w14:paraId="642DAE21" w14:textId="77777777" w:rsidR="009515E2" w:rsidRPr="00C67536" w:rsidRDefault="009515E2" w:rsidP="009515E2">
      <w:pPr>
        <w:pStyle w:val="corte4fondo"/>
        <w:tabs>
          <w:tab w:val="center" w:pos="4420"/>
          <w:tab w:val="left" w:pos="6975"/>
        </w:tabs>
        <w:ind w:left="709"/>
        <w:rPr>
          <w:rFonts w:eastAsiaTheme="minorHAnsi" w:cs="Arial"/>
          <w:b/>
          <w:bCs/>
          <w:i/>
          <w:iCs/>
          <w:sz w:val="28"/>
          <w:szCs w:val="28"/>
          <w:lang w:eastAsia="en-US"/>
        </w:rPr>
      </w:pPr>
    </w:p>
    <w:p w14:paraId="78FDDF60" w14:textId="34AF8EDC" w:rsidR="00E12CAF" w:rsidRPr="00C67536" w:rsidRDefault="008B749D" w:rsidP="00B144AE">
      <w:pPr>
        <w:pStyle w:val="corte4fondo"/>
        <w:numPr>
          <w:ilvl w:val="0"/>
          <w:numId w:val="15"/>
        </w:numPr>
        <w:tabs>
          <w:tab w:val="center" w:pos="4420"/>
          <w:tab w:val="left" w:pos="6975"/>
        </w:tabs>
        <w:ind w:left="0" w:hanging="567"/>
        <w:rPr>
          <w:rFonts w:cs="Arial"/>
          <w:bCs/>
          <w:color w:val="000000"/>
          <w:sz w:val="28"/>
          <w:szCs w:val="28"/>
          <w:lang w:val="es-MX"/>
        </w:rPr>
      </w:pPr>
      <w:r w:rsidRPr="00C67536">
        <w:rPr>
          <w:rFonts w:cs="Arial"/>
          <w:bCs/>
          <w:color w:val="000000"/>
          <w:sz w:val="28"/>
          <w:szCs w:val="28"/>
        </w:rPr>
        <w:t>Por razón de turno</w:t>
      </w:r>
      <w:r w:rsidR="00A6037B" w:rsidRPr="00C67536">
        <w:rPr>
          <w:rFonts w:cs="Arial"/>
          <w:bCs/>
          <w:color w:val="000000"/>
          <w:sz w:val="28"/>
          <w:szCs w:val="28"/>
        </w:rPr>
        <w:t>,</w:t>
      </w:r>
      <w:r w:rsidRPr="00C67536">
        <w:rPr>
          <w:rFonts w:cs="Arial"/>
          <w:bCs/>
          <w:color w:val="000000"/>
          <w:sz w:val="28"/>
          <w:szCs w:val="28"/>
        </w:rPr>
        <w:t xml:space="preserve"> tocó conocer de la citada demanda al Juzgado Decimoquinto de Distrito en Materia </w:t>
      </w:r>
      <w:r w:rsidRPr="00C67536">
        <w:rPr>
          <w:rFonts w:cs="Arial"/>
          <w:bCs/>
          <w:color w:val="000000"/>
          <w:sz w:val="28"/>
          <w:szCs w:val="28"/>
          <w:lang w:val="es-MX"/>
        </w:rPr>
        <w:t>Administrativa en la Ciudad de México</w:t>
      </w:r>
      <w:r w:rsidR="005C528B" w:rsidRPr="00C67536">
        <w:rPr>
          <w:rFonts w:cs="Arial"/>
          <w:bCs/>
          <w:color w:val="000000"/>
          <w:sz w:val="28"/>
          <w:szCs w:val="28"/>
        </w:rPr>
        <w:t xml:space="preserve">, </w:t>
      </w:r>
      <w:r w:rsidR="005C528B" w:rsidRPr="00C67536">
        <w:rPr>
          <w:rFonts w:cs="Arial"/>
          <w:bCs/>
          <w:color w:val="000000"/>
          <w:sz w:val="28"/>
          <w:szCs w:val="28"/>
          <w:lang w:val="es-MX"/>
        </w:rPr>
        <w:t xml:space="preserve">quien mediante proveído de veintiséis de octubre de dos mil veinte, </w:t>
      </w:r>
      <w:r w:rsidR="005210E4" w:rsidRPr="00C67536">
        <w:rPr>
          <w:rFonts w:cs="Arial"/>
          <w:bCs/>
          <w:color w:val="000000"/>
          <w:sz w:val="28"/>
          <w:szCs w:val="28"/>
          <w:lang w:val="es-MX"/>
        </w:rPr>
        <w:t xml:space="preserve">la </w:t>
      </w:r>
      <w:r w:rsidR="005C528B" w:rsidRPr="00C67536">
        <w:rPr>
          <w:rFonts w:cs="Arial"/>
          <w:bCs/>
          <w:color w:val="000000"/>
          <w:sz w:val="28"/>
          <w:szCs w:val="28"/>
          <w:lang w:val="es-MX"/>
        </w:rPr>
        <w:t>radicó con el número 887/2020</w:t>
      </w:r>
      <w:r w:rsidR="005210E4" w:rsidRPr="00C67536">
        <w:rPr>
          <w:rFonts w:cs="Arial"/>
          <w:bCs/>
          <w:color w:val="000000"/>
          <w:sz w:val="28"/>
          <w:szCs w:val="28"/>
          <w:lang w:val="es-MX"/>
        </w:rPr>
        <w:t xml:space="preserve"> y previno a la promovente.</w:t>
      </w:r>
    </w:p>
    <w:p w14:paraId="3E6F590A" w14:textId="77777777" w:rsidR="00E12CAF" w:rsidRPr="00C67536" w:rsidRDefault="00E12CAF" w:rsidP="00E12CAF">
      <w:pPr>
        <w:pStyle w:val="ListParagraph"/>
        <w:rPr>
          <w:rFonts w:ascii="Arial" w:eastAsiaTheme="minorHAnsi" w:hAnsi="Arial" w:cs="Arial"/>
          <w:sz w:val="28"/>
          <w:szCs w:val="28"/>
          <w:lang w:eastAsia="en-US"/>
        </w:rPr>
      </w:pPr>
    </w:p>
    <w:p w14:paraId="55395B7C" w14:textId="48409D6C" w:rsidR="00E12CAF" w:rsidRPr="00C67536" w:rsidRDefault="00E11A0B" w:rsidP="00B144AE">
      <w:pPr>
        <w:pStyle w:val="corte4fondo"/>
        <w:numPr>
          <w:ilvl w:val="0"/>
          <w:numId w:val="15"/>
        </w:numPr>
        <w:tabs>
          <w:tab w:val="center" w:pos="4420"/>
          <w:tab w:val="left" w:pos="6975"/>
        </w:tabs>
        <w:ind w:left="0" w:hanging="567"/>
        <w:rPr>
          <w:rFonts w:cs="Arial"/>
          <w:bCs/>
          <w:color w:val="000000"/>
          <w:sz w:val="28"/>
          <w:szCs w:val="28"/>
          <w:lang w:val="es-MX"/>
        </w:rPr>
      </w:pPr>
      <w:r w:rsidRPr="00C67536">
        <w:rPr>
          <w:rFonts w:eastAsiaTheme="minorHAnsi" w:cs="Arial"/>
          <w:b/>
          <w:bCs/>
          <w:sz w:val="28"/>
          <w:szCs w:val="28"/>
          <w:lang w:eastAsia="en-US"/>
        </w:rPr>
        <w:t>Admisión.</w:t>
      </w:r>
      <w:r w:rsidRPr="00C67536">
        <w:rPr>
          <w:rFonts w:eastAsiaTheme="minorHAnsi" w:cs="Arial"/>
          <w:sz w:val="28"/>
          <w:szCs w:val="28"/>
          <w:lang w:eastAsia="en-US"/>
        </w:rPr>
        <w:t xml:space="preserve"> </w:t>
      </w:r>
      <w:r w:rsidR="00BE32A4" w:rsidRPr="00C67536">
        <w:rPr>
          <w:rFonts w:eastAsiaTheme="minorHAnsi" w:cs="Arial"/>
          <w:sz w:val="28"/>
          <w:szCs w:val="28"/>
          <w:lang w:eastAsia="en-US"/>
        </w:rPr>
        <w:t xml:space="preserve">El </w:t>
      </w:r>
      <w:r w:rsidR="00E12CAF" w:rsidRPr="00C67536">
        <w:rPr>
          <w:rFonts w:eastAsiaTheme="minorHAnsi" w:cs="Arial"/>
          <w:sz w:val="28"/>
          <w:szCs w:val="28"/>
          <w:lang w:eastAsia="en-US"/>
        </w:rPr>
        <w:t>once de noviembre de dos mil veinte,</w:t>
      </w:r>
      <w:r w:rsidR="00DD0C7B" w:rsidRPr="00C67536">
        <w:rPr>
          <w:rFonts w:eastAsiaTheme="minorHAnsi" w:cs="Arial"/>
          <w:sz w:val="28"/>
          <w:szCs w:val="28"/>
          <w:lang w:eastAsia="en-US"/>
        </w:rPr>
        <w:t xml:space="preserve"> el juez de Distrito</w:t>
      </w:r>
      <w:r w:rsidR="00E12CAF" w:rsidRPr="00C67536">
        <w:rPr>
          <w:rFonts w:eastAsiaTheme="minorHAnsi" w:cs="Arial"/>
          <w:sz w:val="28"/>
          <w:szCs w:val="28"/>
          <w:lang w:eastAsia="en-US"/>
        </w:rPr>
        <w:t xml:space="preserve"> desechó</w:t>
      </w:r>
      <w:r w:rsidR="00DD0C7B" w:rsidRPr="00C67536">
        <w:rPr>
          <w:rFonts w:eastAsiaTheme="minorHAnsi" w:cs="Arial"/>
          <w:sz w:val="28"/>
          <w:szCs w:val="28"/>
          <w:lang w:eastAsia="en-US"/>
        </w:rPr>
        <w:t xml:space="preserve"> parcialmente la demanda</w:t>
      </w:r>
      <w:r w:rsidR="00E12CAF" w:rsidRPr="00C67536">
        <w:rPr>
          <w:rFonts w:eastAsiaTheme="minorHAnsi" w:cs="Arial"/>
          <w:sz w:val="28"/>
          <w:szCs w:val="28"/>
          <w:lang w:eastAsia="en-US"/>
        </w:rPr>
        <w:t xml:space="preserve"> y por otra la admitió a trámite, por lo que requirió el informe justificado a las autoridades responsables, otorgó la intervención que en derecho corresponde al agente del Ministerio Público de la Federación adscrito y, señaló fecha y hora para la</w:t>
      </w:r>
      <w:r w:rsidR="00E12CAF" w:rsidRPr="00C67536">
        <w:rPr>
          <w:rFonts w:cs="Arial"/>
          <w:bCs/>
          <w:color w:val="000000"/>
          <w:sz w:val="28"/>
          <w:szCs w:val="28"/>
          <w:lang w:val="es-MX"/>
        </w:rPr>
        <w:t xml:space="preserve"> </w:t>
      </w:r>
      <w:r w:rsidR="00E12CAF" w:rsidRPr="00C67536">
        <w:rPr>
          <w:rFonts w:eastAsiaTheme="minorHAnsi" w:cs="Arial"/>
          <w:sz w:val="28"/>
          <w:szCs w:val="28"/>
          <w:lang w:eastAsia="en-US"/>
        </w:rPr>
        <w:t>audiencia constitucional.</w:t>
      </w:r>
    </w:p>
    <w:p w14:paraId="5CC05F9B" w14:textId="77777777" w:rsidR="00E11A0B" w:rsidRPr="00C67536" w:rsidRDefault="00E11A0B" w:rsidP="00E11A0B">
      <w:pPr>
        <w:pStyle w:val="ListParagraph"/>
        <w:rPr>
          <w:rFonts w:ascii="Arial" w:hAnsi="Arial" w:cs="Arial"/>
          <w:bCs/>
          <w:color w:val="000000"/>
          <w:sz w:val="28"/>
          <w:szCs w:val="28"/>
        </w:rPr>
      </w:pPr>
    </w:p>
    <w:p w14:paraId="56BE4741" w14:textId="528D1D64" w:rsidR="00E11A0B" w:rsidRPr="0081780F" w:rsidRDefault="00E11A0B" w:rsidP="00B144AE">
      <w:pPr>
        <w:pStyle w:val="corte4fondo"/>
        <w:numPr>
          <w:ilvl w:val="0"/>
          <w:numId w:val="15"/>
        </w:numPr>
        <w:tabs>
          <w:tab w:val="center" w:pos="4420"/>
          <w:tab w:val="left" w:pos="6975"/>
        </w:tabs>
        <w:ind w:left="0" w:hanging="567"/>
        <w:rPr>
          <w:rFonts w:cs="Arial"/>
          <w:bCs/>
          <w:color w:val="000000"/>
          <w:sz w:val="28"/>
          <w:szCs w:val="28"/>
          <w:lang w:val="es-MX"/>
        </w:rPr>
      </w:pPr>
      <w:r w:rsidRPr="0081780F">
        <w:rPr>
          <w:rFonts w:cs="Arial"/>
          <w:b/>
          <w:color w:val="000000"/>
          <w:sz w:val="28"/>
          <w:szCs w:val="28"/>
          <w:lang w:val="es-MX"/>
        </w:rPr>
        <w:t>Sentencia.</w:t>
      </w:r>
      <w:r w:rsidRPr="0081780F">
        <w:rPr>
          <w:rFonts w:cs="Arial"/>
          <w:bCs/>
          <w:color w:val="000000"/>
          <w:sz w:val="28"/>
          <w:szCs w:val="28"/>
          <w:lang w:val="es-MX"/>
        </w:rPr>
        <w:t xml:space="preserve"> </w:t>
      </w:r>
      <w:r w:rsidR="009C1C82" w:rsidRPr="0081780F">
        <w:rPr>
          <w:rFonts w:cs="Arial"/>
          <w:bCs/>
          <w:color w:val="000000"/>
          <w:sz w:val="28"/>
          <w:szCs w:val="28"/>
          <w:lang w:val="es-MX"/>
        </w:rPr>
        <w:t>El trece de octubre de dos mil veintiuno, tuvo verificativo la audiencia constitucional y el veintiséis de enero</w:t>
      </w:r>
      <w:r w:rsidR="00246319" w:rsidRPr="0081780F">
        <w:rPr>
          <w:rFonts w:cs="Arial"/>
          <w:bCs/>
          <w:color w:val="000000"/>
          <w:sz w:val="28"/>
          <w:szCs w:val="28"/>
          <w:lang w:val="es-MX"/>
        </w:rPr>
        <w:t xml:space="preserve"> de dos mil veintidós se dictó sentencia, en la que se resolvió sobreseer en el juicio y negar la protección de la Justicia Federa</w:t>
      </w:r>
      <w:r w:rsidR="00BD7585" w:rsidRPr="0081780F">
        <w:rPr>
          <w:rFonts w:cs="Arial"/>
          <w:bCs/>
          <w:color w:val="000000"/>
          <w:sz w:val="28"/>
          <w:szCs w:val="28"/>
          <w:lang w:val="es-MX"/>
        </w:rPr>
        <w:t>l, por los motivos siguientes:</w:t>
      </w:r>
    </w:p>
    <w:p w14:paraId="4C6B2CD4" w14:textId="77777777" w:rsidR="008448B6" w:rsidRPr="00C67536" w:rsidRDefault="008448B6" w:rsidP="008448B6">
      <w:pPr>
        <w:pStyle w:val="ListParagraph"/>
        <w:rPr>
          <w:rFonts w:ascii="Arial" w:hAnsi="Arial" w:cs="Arial"/>
          <w:bCs/>
          <w:color w:val="000000"/>
          <w:sz w:val="28"/>
          <w:szCs w:val="28"/>
        </w:rPr>
      </w:pPr>
    </w:p>
    <w:p w14:paraId="6AB2120B" w14:textId="34EF2418" w:rsidR="008448B6" w:rsidRPr="00C67536" w:rsidRDefault="008448B6" w:rsidP="00441E60">
      <w:pPr>
        <w:pStyle w:val="corte4fondo"/>
        <w:numPr>
          <w:ilvl w:val="0"/>
          <w:numId w:val="4"/>
        </w:numPr>
        <w:tabs>
          <w:tab w:val="center" w:pos="851"/>
          <w:tab w:val="left" w:pos="6975"/>
        </w:tabs>
        <w:spacing w:line="240" w:lineRule="auto"/>
        <w:ind w:left="567" w:firstLine="0"/>
        <w:rPr>
          <w:rFonts w:cs="Arial"/>
          <w:bCs/>
          <w:color w:val="000000"/>
          <w:sz w:val="26"/>
          <w:szCs w:val="26"/>
        </w:rPr>
      </w:pPr>
      <w:r w:rsidRPr="00C67536">
        <w:rPr>
          <w:rFonts w:cs="Arial"/>
          <w:bCs/>
          <w:color w:val="000000"/>
          <w:sz w:val="26"/>
          <w:szCs w:val="26"/>
          <w:lang w:val="es-MX"/>
        </w:rPr>
        <w:t xml:space="preserve">Después de fijar los actos reclamados, </w:t>
      </w:r>
      <w:r w:rsidR="00CE7E40" w:rsidRPr="00C67536">
        <w:rPr>
          <w:rFonts w:cs="Arial"/>
          <w:bCs/>
          <w:color w:val="000000"/>
          <w:sz w:val="26"/>
          <w:szCs w:val="26"/>
          <w:lang w:val="es-MX"/>
        </w:rPr>
        <w:t>determinó no tener</w:t>
      </w:r>
      <w:r w:rsidRPr="00C67536">
        <w:rPr>
          <w:rFonts w:cs="Arial"/>
          <w:bCs/>
          <w:color w:val="000000"/>
          <w:sz w:val="26"/>
          <w:szCs w:val="26"/>
        </w:rPr>
        <w:t xml:space="preserve"> como acto reclamado, la omisión del cumplimiento de la Ley General de Mejora Regulatoria, en concreto en sus artículos 7, 69, 71, 72, 73 y 75, en virtud </w:t>
      </w:r>
      <w:r w:rsidR="005C7D69" w:rsidRPr="00C67536">
        <w:rPr>
          <w:rFonts w:cs="Arial"/>
          <w:bCs/>
          <w:color w:val="000000"/>
          <w:sz w:val="26"/>
          <w:szCs w:val="26"/>
        </w:rPr>
        <w:t>que,</w:t>
      </w:r>
      <w:r w:rsidRPr="00C67536">
        <w:rPr>
          <w:rFonts w:cs="Arial"/>
          <w:bCs/>
          <w:color w:val="000000"/>
          <w:sz w:val="26"/>
          <w:szCs w:val="26"/>
        </w:rPr>
        <w:t xml:space="preserve"> de la demanda de amparo, se adv</w:t>
      </w:r>
      <w:r w:rsidR="007B5637" w:rsidRPr="00C67536">
        <w:rPr>
          <w:rFonts w:cs="Arial"/>
          <w:bCs/>
          <w:color w:val="000000"/>
          <w:sz w:val="26"/>
          <w:szCs w:val="26"/>
        </w:rPr>
        <w:t>ertía</w:t>
      </w:r>
      <w:r w:rsidRPr="00C67536">
        <w:rPr>
          <w:rFonts w:cs="Arial"/>
          <w:bCs/>
          <w:color w:val="000000"/>
          <w:sz w:val="26"/>
          <w:szCs w:val="26"/>
        </w:rPr>
        <w:t xml:space="preserve"> que lo que en realidad pretend</w:t>
      </w:r>
      <w:r w:rsidR="007B5637" w:rsidRPr="00C67536">
        <w:rPr>
          <w:rFonts w:cs="Arial"/>
          <w:bCs/>
          <w:color w:val="000000"/>
          <w:sz w:val="26"/>
          <w:szCs w:val="26"/>
        </w:rPr>
        <w:t>ía la quejosa</w:t>
      </w:r>
      <w:r w:rsidRPr="00C67536">
        <w:rPr>
          <w:rFonts w:cs="Arial"/>
          <w:bCs/>
          <w:color w:val="000000"/>
          <w:sz w:val="26"/>
          <w:szCs w:val="26"/>
        </w:rPr>
        <w:t xml:space="preserve"> es hacer valer un concepto de violación respecto de los vicios en el procedimiento para la </w:t>
      </w:r>
      <w:r w:rsidRPr="00C67536">
        <w:rPr>
          <w:rFonts w:cs="Arial"/>
          <w:bCs/>
          <w:color w:val="000000"/>
          <w:sz w:val="26"/>
          <w:szCs w:val="26"/>
          <w:lang w:val="es-MX"/>
        </w:rPr>
        <w:t>emisión de la norma oficial mexicana.</w:t>
      </w:r>
    </w:p>
    <w:p w14:paraId="0714C0ED" w14:textId="0EB68EC6" w:rsidR="00CD01B6" w:rsidRPr="00C67536" w:rsidRDefault="00D722BE" w:rsidP="00441E60">
      <w:pPr>
        <w:pStyle w:val="corte4fondo"/>
        <w:numPr>
          <w:ilvl w:val="0"/>
          <w:numId w:val="4"/>
        </w:numPr>
        <w:tabs>
          <w:tab w:val="center" w:pos="851"/>
          <w:tab w:val="left" w:pos="6975"/>
        </w:tabs>
        <w:spacing w:line="240" w:lineRule="auto"/>
        <w:ind w:left="567" w:firstLine="0"/>
        <w:rPr>
          <w:rFonts w:cs="Arial"/>
          <w:bCs/>
          <w:color w:val="000000"/>
          <w:sz w:val="26"/>
          <w:szCs w:val="26"/>
        </w:rPr>
      </w:pPr>
      <w:r w:rsidRPr="00C67536">
        <w:rPr>
          <w:rFonts w:cs="Arial"/>
          <w:bCs/>
          <w:color w:val="000000"/>
          <w:sz w:val="26"/>
          <w:szCs w:val="26"/>
          <w:lang w:val="es-MX"/>
        </w:rPr>
        <w:t>Luego, indicó que el</w:t>
      </w:r>
      <w:r w:rsidR="00CD01B6" w:rsidRPr="00C67536">
        <w:rPr>
          <w:rFonts w:cs="Arial"/>
          <w:bCs/>
          <w:color w:val="000000"/>
          <w:sz w:val="26"/>
          <w:szCs w:val="26"/>
        </w:rPr>
        <w:t xml:space="preserve"> </w:t>
      </w:r>
      <w:r w:rsidRPr="00C67536">
        <w:rPr>
          <w:rFonts w:cs="Arial"/>
          <w:bCs/>
          <w:color w:val="000000"/>
          <w:sz w:val="26"/>
          <w:szCs w:val="26"/>
        </w:rPr>
        <w:t xml:space="preserve">Presidente </w:t>
      </w:r>
      <w:r w:rsidR="00CD01B6" w:rsidRPr="00C67536">
        <w:rPr>
          <w:rFonts w:cs="Arial"/>
          <w:bCs/>
          <w:color w:val="000000"/>
          <w:sz w:val="26"/>
          <w:szCs w:val="26"/>
        </w:rPr>
        <w:t xml:space="preserve">del Comité Consultivo Nacional de Normalización (CCONNSE) y </w:t>
      </w:r>
      <w:r w:rsidR="000D07DB" w:rsidRPr="00C67536">
        <w:rPr>
          <w:rFonts w:cs="Arial"/>
          <w:bCs/>
          <w:color w:val="000000"/>
          <w:sz w:val="26"/>
          <w:szCs w:val="26"/>
        </w:rPr>
        <w:t>e</w:t>
      </w:r>
      <w:r w:rsidR="00CD01B6" w:rsidRPr="00C67536">
        <w:rPr>
          <w:rFonts w:cs="Arial"/>
          <w:bCs/>
          <w:color w:val="000000"/>
          <w:sz w:val="26"/>
          <w:szCs w:val="26"/>
        </w:rPr>
        <w:t xml:space="preserve">l </w:t>
      </w:r>
      <w:r w:rsidR="000D07DB" w:rsidRPr="00C67536">
        <w:rPr>
          <w:rFonts w:cs="Arial"/>
          <w:bCs/>
          <w:color w:val="000000"/>
          <w:sz w:val="26"/>
          <w:szCs w:val="26"/>
        </w:rPr>
        <w:t xml:space="preserve">Presidente </w:t>
      </w:r>
      <w:r w:rsidR="00CD01B6" w:rsidRPr="00C67536">
        <w:rPr>
          <w:rFonts w:cs="Arial"/>
          <w:bCs/>
          <w:color w:val="000000"/>
          <w:sz w:val="26"/>
          <w:szCs w:val="26"/>
        </w:rPr>
        <w:t xml:space="preserve">del Comité Consultivo de Normalización de Regularización y Fomento Sanitario, </w:t>
      </w:r>
      <w:r w:rsidR="000D07DB" w:rsidRPr="00C67536">
        <w:rPr>
          <w:rFonts w:cs="Arial"/>
          <w:bCs/>
          <w:color w:val="000000"/>
          <w:sz w:val="26"/>
          <w:szCs w:val="26"/>
        </w:rPr>
        <w:t xml:space="preserve">negaron la existencia del acto </w:t>
      </w:r>
      <w:r w:rsidR="00CD01B6" w:rsidRPr="00C67536">
        <w:rPr>
          <w:rFonts w:cs="Arial"/>
          <w:bCs/>
          <w:color w:val="000000"/>
          <w:sz w:val="26"/>
          <w:szCs w:val="26"/>
        </w:rPr>
        <w:t xml:space="preserve">consistente en la expedición de la “Nota Aclaratoria que emiten la Secretaría de Economía y la Secretaría de Salud a través de la Comisión Federal para la Protección de Riesgos Sanitarios a la Modificación a la Norma Oficial Mexicana NOM-051-SCFI/SSA1-2010, Especificaciones generales de etiquetado para alimentos y bebidas no alcohólicas preenvasados-Información comercial y sanitaria publicada el </w:t>
      </w:r>
      <w:r w:rsidR="00B5047E" w:rsidRPr="00C67536">
        <w:rPr>
          <w:rFonts w:cs="Arial"/>
          <w:bCs/>
          <w:color w:val="000000"/>
          <w:sz w:val="26"/>
          <w:szCs w:val="26"/>
        </w:rPr>
        <w:t>veintisiete</w:t>
      </w:r>
      <w:r w:rsidR="00CD01B6" w:rsidRPr="00C67536">
        <w:rPr>
          <w:rFonts w:cs="Arial"/>
          <w:bCs/>
          <w:color w:val="000000"/>
          <w:sz w:val="26"/>
          <w:szCs w:val="26"/>
        </w:rPr>
        <w:t xml:space="preserve"> de marzo de</w:t>
      </w:r>
      <w:r w:rsidR="00B5047E" w:rsidRPr="00C67536">
        <w:rPr>
          <w:rFonts w:cs="Arial"/>
          <w:bCs/>
          <w:color w:val="000000"/>
          <w:sz w:val="26"/>
          <w:szCs w:val="26"/>
        </w:rPr>
        <w:t xml:space="preserve"> dos mil veinte</w:t>
      </w:r>
      <w:r w:rsidR="00CD01B6" w:rsidRPr="00C67536">
        <w:rPr>
          <w:rFonts w:cs="Arial"/>
          <w:bCs/>
          <w:color w:val="000000"/>
          <w:sz w:val="26"/>
          <w:szCs w:val="26"/>
        </w:rPr>
        <w:t>”, publicada en el Diario Oficial de la Federación el diecinueve de junio de dos mil veinte,</w:t>
      </w:r>
      <w:r w:rsidR="00B5047E" w:rsidRPr="00C67536">
        <w:rPr>
          <w:rFonts w:cs="Arial"/>
          <w:bCs/>
          <w:color w:val="000000"/>
          <w:sz w:val="26"/>
          <w:szCs w:val="26"/>
        </w:rPr>
        <w:t xml:space="preserve"> por lo que decretó el sobreseimiento del </w:t>
      </w:r>
      <w:r w:rsidR="0042102A" w:rsidRPr="00C67536">
        <w:rPr>
          <w:rFonts w:cs="Arial"/>
          <w:bCs/>
          <w:color w:val="000000"/>
          <w:sz w:val="26"/>
          <w:szCs w:val="26"/>
        </w:rPr>
        <w:t>juicio de amparo</w:t>
      </w:r>
      <w:r w:rsidR="0042102A" w:rsidRPr="00C67536">
        <w:rPr>
          <w:rFonts w:cs="Arial"/>
          <w:bCs/>
          <w:color w:val="000000"/>
          <w:sz w:val="26"/>
          <w:szCs w:val="26"/>
          <w:lang w:val="es-MX"/>
        </w:rPr>
        <w:t>.</w:t>
      </w:r>
    </w:p>
    <w:p w14:paraId="3B7B03CB" w14:textId="0F4D3337" w:rsidR="00CD01B6" w:rsidRPr="00C67536" w:rsidRDefault="0042102A" w:rsidP="00441E60">
      <w:pPr>
        <w:pStyle w:val="corte4fondo"/>
        <w:numPr>
          <w:ilvl w:val="0"/>
          <w:numId w:val="4"/>
        </w:numPr>
        <w:tabs>
          <w:tab w:val="center" w:pos="851"/>
          <w:tab w:val="left" w:pos="6975"/>
        </w:tabs>
        <w:spacing w:line="240" w:lineRule="auto"/>
        <w:ind w:left="567" w:firstLine="0"/>
        <w:rPr>
          <w:rFonts w:cs="Arial"/>
          <w:bCs/>
          <w:color w:val="000000"/>
          <w:sz w:val="26"/>
          <w:szCs w:val="26"/>
        </w:rPr>
      </w:pPr>
      <w:r w:rsidRPr="00C67536">
        <w:rPr>
          <w:rFonts w:cs="Arial"/>
          <w:bCs/>
          <w:color w:val="000000"/>
          <w:sz w:val="26"/>
          <w:szCs w:val="26"/>
          <w:lang w:val="es-MX"/>
        </w:rPr>
        <w:t>En el siguiente considerando, t</w:t>
      </w:r>
      <w:r w:rsidR="00CD01B6" w:rsidRPr="00C67536">
        <w:rPr>
          <w:rFonts w:cs="Arial"/>
          <w:bCs/>
          <w:color w:val="000000"/>
          <w:sz w:val="26"/>
          <w:szCs w:val="26"/>
          <w:lang w:val="es-MX"/>
        </w:rPr>
        <w:t>uvo por ciertos los</w:t>
      </w:r>
      <w:r w:rsidR="00B75368" w:rsidRPr="00C67536">
        <w:rPr>
          <w:rFonts w:cs="Arial"/>
          <w:bCs/>
          <w:color w:val="000000"/>
          <w:sz w:val="26"/>
          <w:szCs w:val="26"/>
          <w:lang w:val="es-MX"/>
        </w:rPr>
        <w:t xml:space="preserve"> restantes actos reclamados</w:t>
      </w:r>
      <w:r w:rsidR="00A7308A" w:rsidRPr="00C67536">
        <w:rPr>
          <w:rFonts w:cs="Arial"/>
          <w:bCs/>
          <w:color w:val="000000"/>
          <w:sz w:val="26"/>
          <w:szCs w:val="26"/>
          <w:lang w:val="es-MX"/>
        </w:rPr>
        <w:t>.</w:t>
      </w:r>
      <w:r w:rsidRPr="00C67536">
        <w:rPr>
          <w:rFonts w:cs="Arial"/>
          <w:bCs/>
          <w:color w:val="000000"/>
          <w:sz w:val="26"/>
          <w:szCs w:val="26"/>
          <w:lang w:val="es-MX"/>
        </w:rPr>
        <w:t xml:space="preserve"> </w:t>
      </w:r>
    </w:p>
    <w:p w14:paraId="08FA6C08" w14:textId="549AFA69" w:rsidR="00A63A77" w:rsidRPr="00C67536" w:rsidRDefault="00A7308A" w:rsidP="00441E60">
      <w:pPr>
        <w:pStyle w:val="corte4fondo"/>
        <w:numPr>
          <w:ilvl w:val="0"/>
          <w:numId w:val="4"/>
        </w:numPr>
        <w:tabs>
          <w:tab w:val="center" w:pos="851"/>
          <w:tab w:val="left" w:pos="6975"/>
        </w:tabs>
        <w:spacing w:line="240" w:lineRule="auto"/>
        <w:ind w:left="567" w:firstLine="0"/>
        <w:rPr>
          <w:rFonts w:cs="Arial"/>
          <w:bCs/>
          <w:color w:val="000000"/>
          <w:sz w:val="26"/>
          <w:szCs w:val="26"/>
        </w:rPr>
      </w:pPr>
      <w:r w:rsidRPr="00C67536">
        <w:rPr>
          <w:rFonts w:cs="Arial"/>
          <w:bCs/>
          <w:color w:val="000000"/>
          <w:sz w:val="26"/>
          <w:szCs w:val="26"/>
        </w:rPr>
        <w:t xml:space="preserve">Posteriormente, </w:t>
      </w:r>
      <w:r w:rsidR="00C9091D" w:rsidRPr="00C67536">
        <w:rPr>
          <w:rFonts w:cs="Arial"/>
          <w:bCs/>
          <w:color w:val="000000"/>
          <w:sz w:val="26"/>
          <w:szCs w:val="26"/>
        </w:rPr>
        <w:t>de oficio, consideró que se actualiz</w:t>
      </w:r>
      <w:r w:rsidR="005F3E87" w:rsidRPr="00C67536">
        <w:rPr>
          <w:rFonts w:cs="Arial"/>
          <w:bCs/>
          <w:color w:val="000000"/>
          <w:sz w:val="26"/>
          <w:szCs w:val="26"/>
        </w:rPr>
        <w:t>aba</w:t>
      </w:r>
      <w:r w:rsidR="00C9091D" w:rsidRPr="00C67536">
        <w:rPr>
          <w:rFonts w:cs="Arial"/>
          <w:bCs/>
          <w:color w:val="000000"/>
          <w:sz w:val="26"/>
          <w:szCs w:val="26"/>
        </w:rPr>
        <w:t xml:space="preserve"> </w:t>
      </w:r>
      <w:r w:rsidR="00A63A77" w:rsidRPr="00C67536">
        <w:rPr>
          <w:rFonts w:cs="Arial"/>
          <w:bCs/>
          <w:color w:val="000000"/>
          <w:sz w:val="26"/>
          <w:szCs w:val="26"/>
        </w:rPr>
        <w:t>la causal de improcedencia prevista en el artículo 61, fracción XII, de la Ley de Amparo, respecto de los numerales 3.31, 3.38, 3.42 y 3.47 de la “</w:t>
      </w:r>
      <w:r w:rsidR="008B0325" w:rsidRPr="00C67536">
        <w:rPr>
          <w:rFonts w:cs="Arial"/>
          <w:bCs/>
          <w:color w:val="000000"/>
          <w:sz w:val="26"/>
          <w:szCs w:val="26"/>
        </w:rPr>
        <w:t xml:space="preserve">Modificación </w:t>
      </w:r>
      <w:r w:rsidR="00A63A77" w:rsidRPr="00C67536">
        <w:rPr>
          <w:rFonts w:cs="Arial"/>
          <w:bCs/>
          <w:color w:val="000000"/>
          <w:sz w:val="26"/>
          <w:szCs w:val="26"/>
        </w:rPr>
        <w:t xml:space="preserve">a la Norma Oficial Mexicana </w:t>
      </w:r>
      <w:r w:rsidR="00A63A77" w:rsidRPr="00C67536">
        <w:rPr>
          <w:rFonts w:cs="Arial"/>
          <w:bCs/>
          <w:color w:val="000000"/>
          <w:sz w:val="26"/>
          <w:szCs w:val="26"/>
          <w:lang w:val="es-MX"/>
        </w:rPr>
        <w:t xml:space="preserve">NOM-051-SCFI/SSA1-2010, </w:t>
      </w:r>
      <w:r w:rsidR="00A63A77" w:rsidRPr="00C67536">
        <w:rPr>
          <w:rFonts w:cs="Arial"/>
          <w:bCs/>
          <w:color w:val="000000"/>
          <w:sz w:val="26"/>
          <w:szCs w:val="26"/>
        </w:rPr>
        <w:t xml:space="preserve">al referir que en dichas normativas únicamente se establecen “definiciones” que no traen aparejada alguna ejecución o perjuicio a la parte quejosa, aunado que no hizo valer concepto de violación alguno en su contra, por lo que, por este aspecto, decretó el </w:t>
      </w:r>
      <w:r w:rsidR="00A63A77" w:rsidRPr="00C67536">
        <w:rPr>
          <w:rFonts w:cs="Arial"/>
          <w:bCs/>
          <w:color w:val="000000"/>
          <w:sz w:val="26"/>
          <w:szCs w:val="26"/>
          <w:lang w:val="es-MX"/>
        </w:rPr>
        <w:t>sobreseimiento en el juicio.</w:t>
      </w:r>
    </w:p>
    <w:p w14:paraId="1BECFE72" w14:textId="0AD376AD" w:rsidR="00A63A77" w:rsidRPr="0002384B" w:rsidRDefault="002C4F03" w:rsidP="0002384B">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color w:val="000000"/>
          <w:sz w:val="26"/>
          <w:szCs w:val="26"/>
          <w:lang w:eastAsia="en-US"/>
        </w:rPr>
      </w:pPr>
      <w:r w:rsidRPr="0002384B">
        <w:rPr>
          <w:rFonts w:ascii="Arial" w:eastAsiaTheme="minorHAnsi" w:hAnsi="Arial" w:cs="Arial"/>
          <w:bCs/>
          <w:color w:val="000000"/>
          <w:sz w:val="26"/>
          <w:szCs w:val="26"/>
          <w:lang w:eastAsia="en-US"/>
        </w:rPr>
        <w:t>Luego, d</w:t>
      </w:r>
      <w:r w:rsidR="00A63A77" w:rsidRPr="0002384B">
        <w:rPr>
          <w:rFonts w:ascii="Arial" w:eastAsiaTheme="minorHAnsi" w:hAnsi="Arial" w:cs="Arial"/>
          <w:bCs/>
          <w:color w:val="000000"/>
          <w:sz w:val="26"/>
          <w:szCs w:val="26"/>
          <w:lang w:eastAsia="en-US"/>
        </w:rPr>
        <w:t>esestimó la</w:t>
      </w:r>
      <w:r w:rsidRPr="0002384B">
        <w:rPr>
          <w:rFonts w:ascii="Arial" w:eastAsiaTheme="minorHAnsi" w:hAnsi="Arial" w:cs="Arial"/>
          <w:bCs/>
          <w:color w:val="000000"/>
          <w:sz w:val="26"/>
          <w:szCs w:val="26"/>
          <w:lang w:eastAsia="en-US"/>
        </w:rPr>
        <w:t xml:space="preserve"> causal de improcedencia</w:t>
      </w:r>
      <w:r w:rsidR="00A63A77" w:rsidRPr="0002384B">
        <w:rPr>
          <w:rFonts w:ascii="Arial" w:eastAsiaTheme="minorHAnsi" w:hAnsi="Arial" w:cs="Arial"/>
          <w:bCs/>
          <w:color w:val="000000"/>
          <w:sz w:val="26"/>
          <w:szCs w:val="26"/>
          <w:lang w:eastAsia="en-US"/>
        </w:rPr>
        <w:t xml:space="preserve"> invocada por el </w:t>
      </w:r>
      <w:r w:rsidRPr="0002384B">
        <w:rPr>
          <w:rFonts w:ascii="Arial" w:eastAsiaTheme="minorHAnsi" w:hAnsi="Arial" w:cs="Arial"/>
          <w:bCs/>
          <w:color w:val="000000"/>
          <w:sz w:val="26"/>
          <w:szCs w:val="26"/>
          <w:lang w:eastAsia="en-US"/>
        </w:rPr>
        <w:t xml:space="preserve">Director General </w:t>
      </w:r>
      <w:r w:rsidR="00A63A77" w:rsidRPr="0002384B">
        <w:rPr>
          <w:rFonts w:ascii="Arial" w:eastAsiaTheme="minorHAnsi" w:hAnsi="Arial" w:cs="Arial"/>
          <w:bCs/>
          <w:color w:val="000000"/>
          <w:sz w:val="26"/>
          <w:szCs w:val="26"/>
          <w:lang w:eastAsia="en-US"/>
        </w:rPr>
        <w:t>de Normas de la Secretaría de Economía, contemplada en el artículo 61, fracción XVI, de la Ley de Amparo, quien sostuvo que la norma oficial mexicana impugnada constituía un acto consumado de modo irreparable.</w:t>
      </w:r>
    </w:p>
    <w:p w14:paraId="75412ED5" w14:textId="15530FFC" w:rsidR="00A63A77" w:rsidRPr="00C67536" w:rsidRDefault="00A63A77"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val="es-MX" w:eastAsia="en-US"/>
        </w:rPr>
      </w:pPr>
      <w:r w:rsidRPr="00C67536">
        <w:rPr>
          <w:rFonts w:eastAsiaTheme="minorHAnsi" w:cs="Arial"/>
          <w:bCs/>
          <w:sz w:val="26"/>
          <w:szCs w:val="26"/>
          <w:lang w:eastAsia="en-US"/>
        </w:rPr>
        <w:t>Así también</w:t>
      </w:r>
      <w:r w:rsidR="00827C1A" w:rsidRPr="00C67536">
        <w:rPr>
          <w:rFonts w:eastAsiaTheme="minorHAnsi" w:cs="Arial"/>
          <w:bCs/>
          <w:sz w:val="26"/>
          <w:szCs w:val="26"/>
          <w:lang w:eastAsia="en-US"/>
        </w:rPr>
        <w:t>,</w:t>
      </w:r>
      <w:r w:rsidRPr="00C67536">
        <w:rPr>
          <w:rFonts w:eastAsiaTheme="minorHAnsi" w:cs="Arial"/>
          <w:bCs/>
          <w:sz w:val="26"/>
          <w:szCs w:val="26"/>
          <w:lang w:eastAsia="en-US"/>
        </w:rPr>
        <w:t xml:space="preserve"> la</w:t>
      </w:r>
      <w:r w:rsidR="00827C1A" w:rsidRPr="00C67536">
        <w:rPr>
          <w:rFonts w:eastAsiaTheme="minorHAnsi" w:cs="Arial"/>
          <w:bCs/>
          <w:sz w:val="26"/>
          <w:szCs w:val="26"/>
          <w:lang w:eastAsia="en-US"/>
        </w:rPr>
        <w:t xml:space="preserve"> diversa propuesta por la misma autoridad, relativa</w:t>
      </w:r>
      <w:r w:rsidR="00BB52F9" w:rsidRPr="00C67536">
        <w:rPr>
          <w:rFonts w:eastAsiaTheme="minorHAnsi" w:cs="Arial"/>
          <w:bCs/>
          <w:sz w:val="26"/>
          <w:szCs w:val="26"/>
          <w:lang w:eastAsia="en-US"/>
        </w:rPr>
        <w:t xml:space="preserve"> a la</w:t>
      </w:r>
      <w:r w:rsidRPr="00C67536">
        <w:rPr>
          <w:rFonts w:eastAsiaTheme="minorHAnsi" w:cs="Arial"/>
          <w:bCs/>
          <w:sz w:val="26"/>
          <w:szCs w:val="26"/>
          <w:lang w:eastAsia="en-US"/>
        </w:rPr>
        <w:t xml:space="preserve"> falta de interés jurídico,</w:t>
      </w:r>
      <w:r w:rsidR="00BB52F9" w:rsidRPr="00C67536">
        <w:rPr>
          <w:rFonts w:eastAsiaTheme="minorHAnsi" w:cs="Arial"/>
          <w:bCs/>
          <w:sz w:val="26"/>
          <w:szCs w:val="26"/>
          <w:lang w:eastAsia="en-US"/>
        </w:rPr>
        <w:t xml:space="preserve"> prevista en el artículo 61, fracción XII, de la Ley de Amparo, </w:t>
      </w:r>
      <w:r w:rsidRPr="00C67536">
        <w:rPr>
          <w:rFonts w:eastAsiaTheme="minorHAnsi" w:cs="Arial"/>
          <w:bCs/>
          <w:sz w:val="26"/>
          <w:szCs w:val="26"/>
          <w:lang w:eastAsia="en-US"/>
        </w:rPr>
        <w:t>al no existir un acto</w:t>
      </w:r>
      <w:r w:rsidRPr="00C67536">
        <w:rPr>
          <w:rFonts w:cs="Arial"/>
          <w:bCs/>
          <w:color w:val="000000"/>
          <w:sz w:val="26"/>
          <w:szCs w:val="26"/>
        </w:rPr>
        <w:t xml:space="preserve"> </w:t>
      </w:r>
      <w:r w:rsidRPr="00C67536">
        <w:rPr>
          <w:rFonts w:eastAsiaTheme="minorHAnsi" w:cs="Arial"/>
          <w:bCs/>
          <w:sz w:val="26"/>
          <w:szCs w:val="26"/>
          <w:lang w:eastAsia="en-US"/>
        </w:rPr>
        <w:t xml:space="preserve">concreto de aplicación de las normas impugnadas. </w:t>
      </w:r>
      <w:r w:rsidR="006E6525" w:rsidRPr="00C67536">
        <w:rPr>
          <w:rFonts w:eastAsiaTheme="minorHAnsi" w:cs="Arial"/>
          <w:bCs/>
          <w:sz w:val="26"/>
          <w:szCs w:val="26"/>
          <w:lang w:eastAsia="en-US"/>
        </w:rPr>
        <w:t>Ello, porque la</w:t>
      </w:r>
      <w:r w:rsidRPr="00C67536">
        <w:rPr>
          <w:rFonts w:eastAsiaTheme="minorHAnsi" w:cs="Arial"/>
          <w:bCs/>
          <w:sz w:val="26"/>
          <w:szCs w:val="26"/>
          <w:lang w:val="es-MX" w:eastAsia="en-US"/>
        </w:rPr>
        <w:t xml:space="preserve"> quejosa aportó</w:t>
      </w:r>
      <w:r w:rsidR="006E6525" w:rsidRPr="00C67536">
        <w:rPr>
          <w:rFonts w:eastAsiaTheme="minorHAnsi" w:cs="Arial"/>
          <w:bCs/>
          <w:sz w:val="26"/>
          <w:szCs w:val="26"/>
          <w:lang w:val="es-MX" w:eastAsia="en-US"/>
        </w:rPr>
        <w:t xml:space="preserve"> documentales para </w:t>
      </w:r>
      <w:r w:rsidR="006E0436" w:rsidRPr="00C67536">
        <w:rPr>
          <w:rFonts w:eastAsiaTheme="minorHAnsi" w:cs="Arial"/>
          <w:bCs/>
          <w:sz w:val="26"/>
          <w:szCs w:val="26"/>
          <w:lang w:val="es-MX" w:eastAsia="en-US"/>
        </w:rPr>
        <w:t>justificar que realiza</w:t>
      </w:r>
      <w:r w:rsidRPr="00C67536">
        <w:rPr>
          <w:rFonts w:eastAsiaTheme="minorHAnsi" w:cs="Arial"/>
          <w:bCs/>
          <w:sz w:val="26"/>
          <w:szCs w:val="26"/>
          <w:lang w:val="es-MX" w:eastAsia="en-US"/>
        </w:rPr>
        <w:t xml:space="preserve"> actividades comerciales que se encuentran estrechamente relacionadas con la norma oficial mexicana reclamada.</w:t>
      </w:r>
    </w:p>
    <w:p w14:paraId="10F268DB" w14:textId="2F8E068A" w:rsidR="00015F5E" w:rsidRPr="00C67536" w:rsidRDefault="007E4452"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val="es-MX" w:eastAsia="en-US"/>
        </w:rPr>
      </w:pPr>
      <w:r w:rsidRPr="00C67536">
        <w:rPr>
          <w:rFonts w:eastAsiaTheme="minorHAnsi" w:cs="Arial"/>
          <w:bCs/>
          <w:sz w:val="26"/>
          <w:szCs w:val="26"/>
          <w:lang w:eastAsia="en-US"/>
        </w:rPr>
        <w:t>También, declaró</w:t>
      </w:r>
      <w:r w:rsidR="00FC0001" w:rsidRPr="00C67536">
        <w:rPr>
          <w:rFonts w:eastAsiaTheme="minorHAnsi" w:cs="Arial"/>
          <w:bCs/>
          <w:sz w:val="26"/>
          <w:szCs w:val="26"/>
          <w:lang w:eastAsia="en-US"/>
        </w:rPr>
        <w:t xml:space="preserve"> infundada la diversa causa</w:t>
      </w:r>
      <w:r w:rsidR="00B84B40" w:rsidRPr="00C67536">
        <w:rPr>
          <w:rFonts w:eastAsiaTheme="minorHAnsi" w:cs="Arial"/>
          <w:bCs/>
          <w:sz w:val="26"/>
          <w:szCs w:val="26"/>
          <w:lang w:eastAsia="en-US"/>
        </w:rPr>
        <w:t>l</w:t>
      </w:r>
      <w:r w:rsidR="00FC0001" w:rsidRPr="00C67536">
        <w:rPr>
          <w:rFonts w:eastAsiaTheme="minorHAnsi" w:cs="Arial"/>
          <w:bCs/>
          <w:sz w:val="26"/>
          <w:szCs w:val="26"/>
          <w:lang w:eastAsia="en-US"/>
        </w:rPr>
        <w:t xml:space="preserve"> de improcedencia prevista en </w:t>
      </w:r>
      <w:r w:rsidR="00FC0001" w:rsidRPr="00C67536">
        <w:rPr>
          <w:rFonts w:eastAsiaTheme="minorHAnsi" w:cs="Arial"/>
          <w:bCs/>
          <w:sz w:val="26"/>
          <w:szCs w:val="26"/>
          <w:lang w:val="es-MX" w:eastAsia="en-US"/>
        </w:rPr>
        <w:t>el artículo 61, fracción XXIII, en relación con los diversos 73 y 77, fracción I, de la Ley  de Amparo</w:t>
      </w:r>
      <w:r w:rsidR="00C346DF" w:rsidRPr="00C67536">
        <w:rPr>
          <w:rFonts w:eastAsiaTheme="minorHAnsi" w:cs="Arial"/>
          <w:bCs/>
          <w:sz w:val="26"/>
          <w:szCs w:val="26"/>
          <w:lang w:val="es-MX" w:eastAsia="en-US"/>
        </w:rPr>
        <w:t xml:space="preserve">, al considerar que en el </w:t>
      </w:r>
      <w:r w:rsidR="00015F5E" w:rsidRPr="00C67536">
        <w:rPr>
          <w:rFonts w:eastAsiaTheme="minorHAnsi" w:cs="Arial"/>
          <w:bCs/>
          <w:sz w:val="26"/>
          <w:szCs w:val="26"/>
          <w:lang w:val="es-MX" w:eastAsia="en-US"/>
        </w:rPr>
        <w:t>supuesto de que se concediera la protección constitucional, el efecto de esa decisión sería únicamente en su beneficio, al ordenarse la no aplicación de la norma y la insubsistencia del acto concreto de aplicación de la misma, por lo que no se darían efectos generales a la ejecutoria de amparo, pues en ningún momento se vincularía a los demás gobernados, o bien, a la sociedad en general, ni se perjudicaría a los consumidores.</w:t>
      </w:r>
    </w:p>
    <w:p w14:paraId="4964CE56" w14:textId="51CF8FCD" w:rsidR="00015F5E" w:rsidRPr="00C67536" w:rsidRDefault="00DC2A8D"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val="es-MX" w:eastAsia="en-US"/>
        </w:rPr>
      </w:pPr>
      <w:r w:rsidRPr="00C67536">
        <w:rPr>
          <w:rFonts w:eastAsiaTheme="minorHAnsi" w:cs="Arial"/>
          <w:bCs/>
          <w:sz w:val="26"/>
          <w:szCs w:val="26"/>
          <w:lang w:eastAsia="en-US"/>
        </w:rPr>
        <w:t xml:space="preserve">De igual forma, indicó que tampoco se actualizaba la hipótesis prevista en el </w:t>
      </w:r>
      <w:r w:rsidR="00015F5E" w:rsidRPr="00C67536">
        <w:rPr>
          <w:rFonts w:eastAsiaTheme="minorHAnsi" w:cs="Arial"/>
          <w:bCs/>
          <w:sz w:val="26"/>
          <w:szCs w:val="26"/>
          <w:lang w:eastAsia="en-US"/>
        </w:rPr>
        <w:t xml:space="preserve">artículo 61, fracción XX, de la Ley de Amparo, </w:t>
      </w:r>
      <w:r w:rsidRPr="00C67536">
        <w:rPr>
          <w:rFonts w:eastAsiaTheme="minorHAnsi" w:cs="Arial"/>
          <w:bCs/>
          <w:sz w:val="26"/>
          <w:szCs w:val="26"/>
          <w:lang w:eastAsia="en-US"/>
        </w:rPr>
        <w:t xml:space="preserve">ya que las </w:t>
      </w:r>
      <w:r w:rsidR="00015F5E" w:rsidRPr="00C67536">
        <w:rPr>
          <w:rFonts w:eastAsiaTheme="minorHAnsi" w:cs="Arial"/>
          <w:bCs/>
          <w:sz w:val="26"/>
          <w:szCs w:val="26"/>
          <w:lang w:eastAsia="en-US"/>
        </w:rPr>
        <w:t>normas oficiales mexicanas constituyen actos materialmente legislativos, razón por la que la quejosa no estaba obligada a agotar el medio de defensa ordinario.</w:t>
      </w:r>
    </w:p>
    <w:p w14:paraId="70DF2D14" w14:textId="7AF55FAD" w:rsidR="00115EF0" w:rsidRPr="00C67536" w:rsidRDefault="00924697" w:rsidP="00441E60">
      <w:pPr>
        <w:pStyle w:val="corte4fondo"/>
        <w:numPr>
          <w:ilvl w:val="0"/>
          <w:numId w:val="4"/>
        </w:numPr>
        <w:tabs>
          <w:tab w:val="center" w:pos="851"/>
          <w:tab w:val="left" w:pos="6975"/>
        </w:tabs>
        <w:autoSpaceDE w:val="0"/>
        <w:autoSpaceDN w:val="0"/>
        <w:adjustRightInd w:val="0"/>
        <w:spacing w:line="240" w:lineRule="auto"/>
        <w:ind w:left="567" w:firstLine="0"/>
        <w:rPr>
          <w:rFonts w:eastAsiaTheme="minorHAnsi" w:cs="Arial"/>
          <w:bCs/>
          <w:color w:val="000000"/>
          <w:sz w:val="26"/>
          <w:szCs w:val="26"/>
          <w:lang w:eastAsia="en-US"/>
        </w:rPr>
      </w:pPr>
      <w:r w:rsidRPr="00C67536">
        <w:rPr>
          <w:rFonts w:eastAsiaTheme="minorHAnsi" w:cs="Arial"/>
          <w:bCs/>
          <w:sz w:val="26"/>
          <w:szCs w:val="26"/>
          <w:lang w:eastAsia="en-US"/>
        </w:rPr>
        <w:t>En el siguiente considerando</w:t>
      </w:r>
      <w:r w:rsidR="00015F5E" w:rsidRPr="00C67536">
        <w:rPr>
          <w:rFonts w:eastAsiaTheme="minorHAnsi" w:cs="Arial"/>
          <w:bCs/>
          <w:sz w:val="26"/>
          <w:szCs w:val="26"/>
          <w:lang w:eastAsia="en-US"/>
        </w:rPr>
        <w:t>, procedió al estudio de los conceptos de violación</w:t>
      </w:r>
      <w:r w:rsidR="00524DEE" w:rsidRPr="00C67536">
        <w:rPr>
          <w:rFonts w:eastAsiaTheme="minorHAnsi" w:cs="Arial"/>
          <w:bCs/>
          <w:sz w:val="26"/>
          <w:szCs w:val="26"/>
          <w:lang w:eastAsia="en-US"/>
        </w:rPr>
        <w:t xml:space="preserve"> y analizó de forma conjunta los relativos</w:t>
      </w:r>
      <w:r w:rsidR="001F7CBB" w:rsidRPr="00C67536">
        <w:rPr>
          <w:rFonts w:eastAsiaTheme="minorHAnsi" w:cs="Arial"/>
          <w:bCs/>
          <w:sz w:val="26"/>
          <w:szCs w:val="26"/>
          <w:lang w:eastAsia="en-US"/>
        </w:rPr>
        <w:t xml:space="preserve"> a los temas</w:t>
      </w:r>
      <w:r w:rsidR="00524DEE" w:rsidRPr="00C67536">
        <w:rPr>
          <w:rFonts w:eastAsiaTheme="minorHAnsi" w:cs="Arial"/>
          <w:bCs/>
          <w:color w:val="000000"/>
          <w:sz w:val="26"/>
          <w:szCs w:val="26"/>
          <w:lang w:eastAsia="en-US"/>
        </w:rPr>
        <w:t xml:space="preserve"> de igualdad, proporcionalidad, falta de justificación de</w:t>
      </w:r>
      <w:r w:rsidR="00DA46EF"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la norma</w:t>
      </w:r>
      <w:r w:rsidR="001F7CBB" w:rsidRPr="00C67536">
        <w:rPr>
          <w:rFonts w:eastAsiaTheme="minorHAnsi" w:cs="Arial"/>
          <w:bCs/>
          <w:color w:val="000000"/>
          <w:sz w:val="26"/>
          <w:szCs w:val="26"/>
          <w:lang w:eastAsia="en-US"/>
        </w:rPr>
        <w:t xml:space="preserve"> y</w:t>
      </w:r>
      <w:r w:rsidR="00524DEE" w:rsidRPr="00C67536">
        <w:rPr>
          <w:rFonts w:eastAsiaTheme="minorHAnsi" w:cs="Arial"/>
          <w:bCs/>
          <w:color w:val="000000"/>
          <w:sz w:val="26"/>
          <w:szCs w:val="26"/>
          <w:lang w:eastAsia="en-US"/>
        </w:rPr>
        <w:t xml:space="preserve"> falta de seguridad jurídica, derivada</w:t>
      </w:r>
      <w:r w:rsidR="00DA46EF"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de los motivos, objetivos y razones de la norma.</w:t>
      </w:r>
    </w:p>
    <w:p w14:paraId="14219F25" w14:textId="77777777" w:rsidR="00151F79" w:rsidRPr="00C67536" w:rsidRDefault="00115EF0" w:rsidP="00441E60">
      <w:pPr>
        <w:pStyle w:val="corte4fondo"/>
        <w:numPr>
          <w:ilvl w:val="0"/>
          <w:numId w:val="4"/>
        </w:numPr>
        <w:tabs>
          <w:tab w:val="center" w:pos="851"/>
          <w:tab w:val="left" w:pos="6975"/>
        </w:tabs>
        <w:autoSpaceDE w:val="0"/>
        <w:autoSpaceDN w:val="0"/>
        <w:adjustRightInd w:val="0"/>
        <w:spacing w:line="240" w:lineRule="auto"/>
        <w:ind w:left="567" w:firstLine="0"/>
        <w:rPr>
          <w:rFonts w:eastAsiaTheme="minorHAnsi" w:cs="Arial"/>
          <w:bCs/>
          <w:color w:val="000000"/>
          <w:sz w:val="26"/>
          <w:szCs w:val="26"/>
          <w:lang w:eastAsia="en-US"/>
        </w:rPr>
      </w:pPr>
      <w:r w:rsidRPr="00C67536">
        <w:rPr>
          <w:rFonts w:eastAsiaTheme="minorHAnsi" w:cs="Arial"/>
          <w:bCs/>
          <w:sz w:val="26"/>
          <w:szCs w:val="26"/>
          <w:lang w:eastAsia="en-US"/>
        </w:rPr>
        <w:t xml:space="preserve">Para ello, advirtió </w:t>
      </w:r>
      <w:r w:rsidR="00524DEE" w:rsidRPr="00C67536">
        <w:rPr>
          <w:rFonts w:eastAsiaTheme="minorHAnsi" w:cs="Arial"/>
          <w:bCs/>
          <w:color w:val="000000"/>
          <w:sz w:val="26"/>
          <w:szCs w:val="26"/>
          <w:lang w:eastAsia="en-US"/>
        </w:rPr>
        <w:t>que de los criterios emitidos por la Suprema</w:t>
      </w:r>
      <w:r w:rsidR="006D0023"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Corte de Justicia de la Nación, destaca que el cumplimiento</w:t>
      </w:r>
      <w:r w:rsidR="006D0023"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de los principios de razonabilidad y proporcionalidad implica</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que, al fijar el alcance de un derecho fundamental por parte</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del legislador, debe: a)</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perseguir una finalidad constitucionalmente legítima; b) ser</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adecuada, idónea, apta y susceptible de alcanzar el fin</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perseguido; c) ser necesaria, es decir, suficiente para lograr</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dicha finalidad, de tal forma que no implique una carga</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desmedida, excesiva o injustificada para el gobernado; y, d)</w:t>
      </w:r>
      <w:r w:rsidR="00F05F01" w:rsidRPr="00C67536">
        <w:rPr>
          <w:rFonts w:eastAsiaTheme="minorHAnsi" w:cs="Arial"/>
          <w:bCs/>
          <w:color w:val="000000"/>
          <w:sz w:val="26"/>
          <w:szCs w:val="26"/>
          <w:lang w:eastAsia="en-US"/>
        </w:rPr>
        <w:t xml:space="preserve"> </w:t>
      </w:r>
      <w:r w:rsidR="00524DEE" w:rsidRPr="00C67536">
        <w:rPr>
          <w:rFonts w:eastAsiaTheme="minorHAnsi" w:cs="Arial"/>
          <w:bCs/>
          <w:color w:val="000000"/>
          <w:sz w:val="26"/>
          <w:szCs w:val="26"/>
          <w:lang w:eastAsia="en-US"/>
        </w:rPr>
        <w:t>estar justificada en razones constitucionales.</w:t>
      </w:r>
    </w:p>
    <w:p w14:paraId="64A15720" w14:textId="57DA2C42" w:rsidR="00524DEE" w:rsidRPr="00C67536" w:rsidRDefault="00524DEE" w:rsidP="00441E60">
      <w:pPr>
        <w:pStyle w:val="corte4fondo"/>
        <w:numPr>
          <w:ilvl w:val="0"/>
          <w:numId w:val="4"/>
        </w:numPr>
        <w:tabs>
          <w:tab w:val="center" w:pos="851"/>
          <w:tab w:val="left" w:pos="6975"/>
        </w:tabs>
        <w:autoSpaceDE w:val="0"/>
        <w:autoSpaceDN w:val="0"/>
        <w:adjustRightInd w:val="0"/>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Bajo ese marco constitucional, el juzgado federal citó</w:t>
      </w:r>
      <w:r w:rsidR="00151F79"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el contenido del sistema normativo que dio origen a la</w:t>
      </w:r>
      <w:r w:rsidR="00151F79"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modificación de la Norma Oficial Mexicana NOM-051-SCFI/SSA1-2010, Especificaciones Generales de Etiquetado</w:t>
      </w:r>
      <w:r w:rsidR="00151F79"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para Alimentos y Bebidas no Alcohólicas Preenvasados-Información Comercial y Sanitaria, entre ellos, los artículos</w:t>
      </w:r>
      <w:r w:rsidR="00151F79"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212 y 215 de la Ley General de Salud.</w:t>
      </w:r>
    </w:p>
    <w:p w14:paraId="0A01868C" w14:textId="4F7BDB01" w:rsidR="00015F5E" w:rsidRPr="00C67536" w:rsidRDefault="00EF5788"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val="es-MX" w:eastAsia="en-US"/>
        </w:rPr>
      </w:pPr>
      <w:r w:rsidRPr="00C67536">
        <w:rPr>
          <w:rFonts w:eastAsiaTheme="minorHAnsi" w:cs="Arial"/>
          <w:bCs/>
          <w:sz w:val="26"/>
          <w:szCs w:val="26"/>
          <w:lang w:eastAsia="en-US"/>
        </w:rPr>
        <w:t xml:space="preserve">Así, indicó que </w:t>
      </w:r>
      <w:r w:rsidR="000D2741" w:rsidRPr="00C67536">
        <w:rPr>
          <w:rFonts w:eastAsiaTheme="minorHAnsi" w:cs="Arial"/>
          <w:bCs/>
          <w:sz w:val="26"/>
          <w:szCs w:val="26"/>
          <w:lang w:eastAsia="en-US"/>
        </w:rPr>
        <w:t xml:space="preserve">los artículos 212 y 215 de la Ley General de Salud, </w:t>
      </w:r>
      <w:r w:rsidR="000D2741" w:rsidRPr="00C67536">
        <w:rPr>
          <w:rFonts w:eastAsiaTheme="minorHAnsi" w:cs="Arial"/>
          <w:bCs/>
          <w:sz w:val="26"/>
          <w:szCs w:val="26"/>
          <w:lang w:val="es-MX" w:eastAsia="en-US"/>
        </w:rPr>
        <w:t>se desprende que las etiquetas o contra etiquetas para los alimentos y bebidas no alcohólicas, deberán incluir información nutrimental de fácil comprensión, veraz, directa, sencilla y visible.</w:t>
      </w:r>
    </w:p>
    <w:p w14:paraId="4062FA93" w14:textId="582FEDA8" w:rsidR="000D2741" w:rsidRPr="00C67536" w:rsidRDefault="003B37F9"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val="es-MX" w:eastAsia="en-US"/>
        </w:rPr>
        <w:t xml:space="preserve">También, </w:t>
      </w:r>
      <w:r w:rsidR="000D2741" w:rsidRPr="00C67536">
        <w:rPr>
          <w:rFonts w:eastAsiaTheme="minorHAnsi" w:cs="Arial"/>
          <w:bCs/>
          <w:sz w:val="26"/>
          <w:szCs w:val="26"/>
          <w:lang w:eastAsia="en-US"/>
        </w:rPr>
        <w:t xml:space="preserve">que el etiquetado frontal de advertencia deberá hacerse en forma separada e independiente a la declaración de ingredientes e información nutrimental, para indicar los productos que excedan los límites máximos de contenido energético, azúcares añadidos, grasas saturadas, sodio y los demás nutrimentos críticos e ingredientes que establezcan las disposiciones normativas competentes, al tener la Secretaría de Salud la facultad de ordenar la inclusión de leyendas o pictogramas cuando lo </w:t>
      </w:r>
      <w:r w:rsidR="000D2741" w:rsidRPr="00C67536">
        <w:rPr>
          <w:rFonts w:eastAsiaTheme="minorHAnsi" w:cs="Arial"/>
          <w:bCs/>
          <w:sz w:val="26"/>
          <w:szCs w:val="26"/>
          <w:lang w:val="es-MX" w:eastAsia="en-US"/>
        </w:rPr>
        <w:t>considera necesario.</w:t>
      </w:r>
    </w:p>
    <w:p w14:paraId="05C731C2" w14:textId="526BB65C" w:rsidR="000D2741" w:rsidRPr="00C67536" w:rsidRDefault="000D2741"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val="es-MX" w:eastAsia="en-US"/>
        </w:rPr>
        <w:t xml:space="preserve">Refirió que </w:t>
      </w:r>
      <w:r w:rsidRPr="00C67536">
        <w:rPr>
          <w:rFonts w:eastAsiaTheme="minorHAnsi" w:cs="Arial"/>
          <w:bCs/>
          <w:sz w:val="26"/>
          <w:szCs w:val="26"/>
          <w:lang w:eastAsia="en-US"/>
        </w:rPr>
        <w:t xml:space="preserve">el objeto de la modificación de la Norma Oficial Mexicana NOM-051-SCFI/SSA1-2010, Especificaciones Generales de Etiquetado para Alimentos y Bebidas no Alcohólicas Preenvasados Información Comercial y Sanitaria, </w:t>
      </w:r>
      <w:r w:rsidRPr="00C67536">
        <w:rPr>
          <w:rFonts w:eastAsiaTheme="minorHAnsi" w:cs="Arial"/>
          <w:bCs/>
          <w:sz w:val="26"/>
          <w:szCs w:val="26"/>
          <w:lang w:val="es-MX" w:eastAsia="en-US"/>
        </w:rPr>
        <w:t xml:space="preserve">radica en </w:t>
      </w:r>
      <w:r w:rsidRPr="00C67536">
        <w:rPr>
          <w:rFonts w:eastAsiaTheme="minorHAnsi" w:cs="Arial"/>
          <w:bCs/>
          <w:sz w:val="26"/>
          <w:szCs w:val="26"/>
          <w:lang w:eastAsia="en-US"/>
        </w:rPr>
        <w:t>establecer un sistema de etiquetado frontal, el cual debe advertir de forma clara y veraz sobre el contenido de nutrientes críticos e ingredientes que representen riesgos para la salud en un consumo excesivo</w:t>
      </w:r>
      <w:r w:rsidRPr="00C67536">
        <w:rPr>
          <w:rFonts w:eastAsiaTheme="minorHAnsi" w:cs="Arial"/>
          <w:bCs/>
          <w:sz w:val="26"/>
          <w:szCs w:val="26"/>
          <w:lang w:val="es-MX" w:eastAsia="en-US"/>
        </w:rPr>
        <w:t>.</w:t>
      </w:r>
    </w:p>
    <w:p w14:paraId="2751EAFF" w14:textId="2CC5E988" w:rsidR="000D2741" w:rsidRPr="00C67536" w:rsidRDefault="00201295"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Además, que dicha norma</w:t>
      </w:r>
      <w:r w:rsidR="000D2741" w:rsidRPr="00C67536">
        <w:rPr>
          <w:rFonts w:eastAsiaTheme="minorHAnsi" w:cs="Arial"/>
          <w:bCs/>
          <w:sz w:val="26"/>
          <w:szCs w:val="26"/>
          <w:lang w:eastAsia="en-US"/>
        </w:rPr>
        <w:t xml:space="preserve">, es un acto generado de la epidemia considerada en la exposición de motivos de la reforma y adición a la Ley General de Salud, consistente en el sobrepeso, obesidad, hipertensión, entre otras, y como consecuencia de las distintas enfermedades que se pueden desarrollar por esas </w:t>
      </w:r>
      <w:r w:rsidR="000D2741" w:rsidRPr="00C67536">
        <w:rPr>
          <w:rFonts w:eastAsiaTheme="minorHAnsi" w:cs="Arial"/>
          <w:bCs/>
          <w:sz w:val="26"/>
          <w:szCs w:val="26"/>
          <w:lang w:val="es-MX" w:eastAsia="en-US"/>
        </w:rPr>
        <w:t xml:space="preserve">afecciones en la salud, pues </w:t>
      </w:r>
      <w:r w:rsidR="000D2741" w:rsidRPr="00C67536">
        <w:rPr>
          <w:rFonts w:eastAsiaTheme="minorHAnsi" w:cs="Arial"/>
          <w:bCs/>
          <w:sz w:val="26"/>
          <w:szCs w:val="26"/>
          <w:lang w:eastAsia="en-US"/>
        </w:rPr>
        <w:t xml:space="preserve">lo que se pretendió es que los consumidores cuenten con la información necesaria para poder realizar la elección de sus alimentos y con ello tener </w:t>
      </w:r>
      <w:r w:rsidR="000D2741" w:rsidRPr="00C67536">
        <w:rPr>
          <w:rFonts w:eastAsiaTheme="minorHAnsi" w:cs="Arial"/>
          <w:bCs/>
          <w:sz w:val="26"/>
          <w:szCs w:val="26"/>
          <w:lang w:val="es-MX" w:eastAsia="en-US"/>
        </w:rPr>
        <w:t>una mejor nutrición.</w:t>
      </w:r>
    </w:p>
    <w:p w14:paraId="7F7A8AF1" w14:textId="01D14EFE" w:rsidR="00E35B8F" w:rsidRPr="00C67536" w:rsidRDefault="000D2741"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Por</w:t>
      </w:r>
      <w:r w:rsidR="007743A3" w:rsidRPr="00C67536">
        <w:rPr>
          <w:rFonts w:eastAsiaTheme="minorHAnsi" w:cs="Arial"/>
          <w:bCs/>
          <w:sz w:val="26"/>
          <w:szCs w:val="26"/>
          <w:lang w:eastAsia="en-US"/>
        </w:rPr>
        <w:t xml:space="preserve"> ello, </w:t>
      </w:r>
      <w:r w:rsidRPr="00C67536">
        <w:rPr>
          <w:rFonts w:eastAsiaTheme="minorHAnsi" w:cs="Arial"/>
          <w:bCs/>
          <w:sz w:val="26"/>
          <w:szCs w:val="26"/>
          <w:lang w:eastAsia="en-US"/>
        </w:rPr>
        <w:t xml:space="preserve">estimó que la Norma Oficial </w:t>
      </w:r>
      <w:r w:rsidRPr="00C67536">
        <w:rPr>
          <w:rFonts w:eastAsiaTheme="minorHAnsi" w:cs="Arial"/>
          <w:bCs/>
          <w:sz w:val="26"/>
          <w:szCs w:val="26"/>
          <w:lang w:val="es-MX" w:eastAsia="en-US"/>
        </w:rPr>
        <w:t xml:space="preserve">Mexicana </w:t>
      </w:r>
      <w:r w:rsidR="00955E5E" w:rsidRPr="00C67536">
        <w:rPr>
          <w:rFonts w:eastAsiaTheme="minorHAnsi" w:cs="Arial"/>
          <w:bCs/>
          <w:sz w:val="26"/>
          <w:szCs w:val="26"/>
          <w:lang w:val="es-MX" w:eastAsia="en-US"/>
        </w:rPr>
        <w:t>NOM-051-SCFI/SSA1-2010</w:t>
      </w:r>
      <w:r w:rsidRPr="00C67536">
        <w:rPr>
          <w:rFonts w:eastAsiaTheme="minorHAnsi" w:cs="Arial"/>
          <w:bCs/>
          <w:sz w:val="26"/>
          <w:szCs w:val="26"/>
          <w:lang w:val="es-MX" w:eastAsia="en-US"/>
        </w:rPr>
        <w:t>,</w:t>
      </w:r>
      <w:r w:rsidRPr="00C67536">
        <w:rPr>
          <w:rFonts w:eastAsiaTheme="minorHAnsi" w:cs="Arial"/>
          <w:bCs/>
          <w:sz w:val="26"/>
          <w:szCs w:val="26"/>
          <w:lang w:eastAsia="en-US"/>
        </w:rPr>
        <w:t xml:space="preserve"> cumple con el test de proporcionalidad, en virtud de que la modificación a tal disposición atendió básicamente a la epidemia considerada en la exposición de motivos de la</w:t>
      </w:r>
      <w:r w:rsidR="000D582E" w:rsidRPr="00C67536">
        <w:rPr>
          <w:rFonts w:eastAsiaTheme="minorHAnsi" w:cs="Arial"/>
          <w:bCs/>
          <w:sz w:val="26"/>
          <w:szCs w:val="26"/>
          <w:lang w:eastAsia="en-US"/>
        </w:rPr>
        <w:t xml:space="preserve"> </w:t>
      </w:r>
      <w:r w:rsidRPr="00C67536">
        <w:rPr>
          <w:rFonts w:eastAsiaTheme="minorHAnsi" w:cs="Arial"/>
          <w:bCs/>
          <w:sz w:val="26"/>
          <w:szCs w:val="26"/>
          <w:lang w:eastAsia="en-US"/>
        </w:rPr>
        <w:t>reforma y adición de la Ley General de Salud, consistente en</w:t>
      </w:r>
      <w:r w:rsidR="000D582E" w:rsidRPr="00C67536">
        <w:rPr>
          <w:rFonts w:eastAsiaTheme="minorHAnsi" w:cs="Arial"/>
          <w:bCs/>
          <w:sz w:val="26"/>
          <w:szCs w:val="26"/>
          <w:lang w:eastAsia="en-US"/>
        </w:rPr>
        <w:t xml:space="preserve"> </w:t>
      </w:r>
      <w:r w:rsidRPr="00C67536">
        <w:rPr>
          <w:rFonts w:eastAsiaTheme="minorHAnsi" w:cs="Arial"/>
          <w:bCs/>
          <w:sz w:val="26"/>
          <w:szCs w:val="26"/>
          <w:lang w:eastAsia="en-US"/>
        </w:rPr>
        <w:t>el sobrepeso, obesidad, hipertensión, entre otras, y como</w:t>
      </w:r>
      <w:r w:rsidR="000D582E" w:rsidRPr="00C67536">
        <w:rPr>
          <w:rFonts w:eastAsiaTheme="minorHAnsi" w:cs="Arial"/>
          <w:bCs/>
          <w:sz w:val="26"/>
          <w:szCs w:val="26"/>
          <w:lang w:eastAsia="en-US"/>
        </w:rPr>
        <w:t xml:space="preserve"> </w:t>
      </w:r>
      <w:r w:rsidRPr="00C67536">
        <w:rPr>
          <w:rFonts w:eastAsiaTheme="minorHAnsi" w:cs="Arial"/>
          <w:bCs/>
          <w:sz w:val="26"/>
          <w:szCs w:val="26"/>
          <w:lang w:eastAsia="en-US"/>
        </w:rPr>
        <w:t>consecuencia de ello, las distintas enfermedades que se</w:t>
      </w:r>
      <w:r w:rsidR="000D582E" w:rsidRPr="00C67536">
        <w:rPr>
          <w:rFonts w:eastAsiaTheme="minorHAnsi" w:cs="Arial"/>
          <w:bCs/>
          <w:sz w:val="26"/>
          <w:szCs w:val="26"/>
          <w:lang w:eastAsia="en-US"/>
        </w:rPr>
        <w:t xml:space="preserve"> </w:t>
      </w:r>
      <w:r w:rsidRPr="00C67536">
        <w:rPr>
          <w:rFonts w:eastAsiaTheme="minorHAnsi" w:cs="Arial"/>
          <w:bCs/>
          <w:sz w:val="26"/>
          <w:szCs w:val="26"/>
          <w:lang w:eastAsia="en-US"/>
        </w:rPr>
        <w:t>pueden desarrollar por esas afecciones en la salud,</w:t>
      </w:r>
      <w:r w:rsidR="000D582E" w:rsidRPr="00C67536">
        <w:rPr>
          <w:rFonts w:eastAsiaTheme="minorHAnsi" w:cs="Arial"/>
          <w:bCs/>
          <w:sz w:val="26"/>
          <w:szCs w:val="26"/>
          <w:lang w:eastAsia="en-US"/>
        </w:rPr>
        <w:t xml:space="preserve"> </w:t>
      </w:r>
      <w:r w:rsidRPr="00C67536">
        <w:rPr>
          <w:rFonts w:eastAsiaTheme="minorHAnsi" w:cs="Arial"/>
          <w:bCs/>
          <w:sz w:val="26"/>
          <w:szCs w:val="26"/>
          <w:lang w:eastAsia="en-US"/>
        </w:rPr>
        <w:t>información que además se obtuvo de la Encuesta Nacional</w:t>
      </w:r>
      <w:r w:rsidR="000D582E" w:rsidRPr="00C67536">
        <w:rPr>
          <w:rFonts w:eastAsiaTheme="minorHAnsi" w:cs="Arial"/>
          <w:bCs/>
          <w:sz w:val="26"/>
          <w:szCs w:val="26"/>
          <w:lang w:eastAsia="en-US"/>
        </w:rPr>
        <w:t xml:space="preserve"> </w:t>
      </w:r>
      <w:r w:rsidRPr="00C67536">
        <w:rPr>
          <w:rFonts w:eastAsiaTheme="minorHAnsi" w:cs="Arial"/>
          <w:bCs/>
          <w:sz w:val="26"/>
          <w:szCs w:val="26"/>
          <w:lang w:val="es-MX" w:eastAsia="en-US"/>
        </w:rPr>
        <w:t>de Salud y Nutrición</w:t>
      </w:r>
      <w:r w:rsidR="000D582E" w:rsidRPr="00C67536">
        <w:rPr>
          <w:rFonts w:eastAsiaTheme="minorHAnsi" w:cs="Arial"/>
          <w:bCs/>
          <w:sz w:val="26"/>
          <w:szCs w:val="26"/>
          <w:lang w:val="es-MX" w:eastAsia="en-US"/>
        </w:rPr>
        <w:t>.</w:t>
      </w:r>
    </w:p>
    <w:p w14:paraId="0B0BA63D" w14:textId="77777777" w:rsidR="00B4636A" w:rsidRPr="00C67536" w:rsidRDefault="000D582E"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val="es-MX" w:eastAsia="en-US"/>
        </w:rPr>
        <w:t>De ahí que dicha NOM t</w:t>
      </w:r>
      <w:r w:rsidR="00E35B8F" w:rsidRPr="00C67536">
        <w:rPr>
          <w:rFonts w:eastAsiaTheme="minorHAnsi" w:cs="Arial"/>
          <w:bCs/>
          <w:sz w:val="26"/>
          <w:szCs w:val="26"/>
          <w:lang w:val="es-MX" w:eastAsia="en-US"/>
        </w:rPr>
        <w:t>uviera</w:t>
      </w:r>
      <w:r w:rsidRPr="00C67536">
        <w:rPr>
          <w:rFonts w:eastAsiaTheme="minorHAnsi" w:cs="Arial"/>
          <w:bCs/>
          <w:sz w:val="26"/>
          <w:szCs w:val="26"/>
          <w:lang w:val="es-MX" w:eastAsia="en-US"/>
        </w:rPr>
        <w:t xml:space="preserve"> como finalidad proteger a la población de dos derechos fundamentales como son: </w:t>
      </w:r>
      <w:r w:rsidRPr="00C67536">
        <w:rPr>
          <w:rFonts w:eastAsiaTheme="minorHAnsi" w:cs="Arial"/>
          <w:bCs/>
          <w:sz w:val="26"/>
          <w:szCs w:val="26"/>
          <w:lang w:eastAsia="en-US"/>
        </w:rPr>
        <w:t xml:space="preserve">a) el derecho a la salud y b) el derecho a la información, tal como se consigna en el párrafo tercero del artículo 4º de la Constitución Política </w:t>
      </w:r>
      <w:r w:rsidRPr="00C67536">
        <w:rPr>
          <w:rFonts w:eastAsiaTheme="minorHAnsi" w:cs="Arial"/>
          <w:bCs/>
          <w:sz w:val="26"/>
          <w:szCs w:val="26"/>
          <w:lang w:val="es-MX" w:eastAsia="en-US"/>
        </w:rPr>
        <w:t>de los Estados Unidos Mexicanos.</w:t>
      </w:r>
    </w:p>
    <w:p w14:paraId="28E53B82" w14:textId="698E6C86" w:rsidR="00923F6B" w:rsidRPr="00C67536" w:rsidRDefault="00E41DCD" w:rsidP="00441E60">
      <w:pPr>
        <w:pStyle w:val="corte4fondo"/>
        <w:numPr>
          <w:ilvl w:val="0"/>
          <w:numId w:val="4"/>
        </w:numPr>
        <w:tabs>
          <w:tab w:val="center" w:pos="851"/>
          <w:tab w:val="left" w:pos="6975"/>
        </w:tabs>
        <w:autoSpaceDE w:val="0"/>
        <w:autoSpaceDN w:val="0"/>
        <w:adjustRightInd w:val="0"/>
        <w:spacing w:line="240" w:lineRule="auto"/>
        <w:ind w:left="567" w:firstLine="0"/>
        <w:rPr>
          <w:rFonts w:eastAsiaTheme="minorHAnsi" w:cs="Arial"/>
          <w:bCs/>
          <w:sz w:val="26"/>
          <w:szCs w:val="26"/>
          <w:lang w:eastAsia="en-US"/>
        </w:rPr>
      </w:pPr>
      <w:r w:rsidRPr="00C67536">
        <w:rPr>
          <w:rFonts w:eastAsiaTheme="minorHAnsi" w:cs="Arial"/>
          <w:bCs/>
          <w:sz w:val="26"/>
          <w:szCs w:val="26"/>
          <w:lang w:val="es-MX" w:eastAsia="en-US"/>
        </w:rPr>
        <w:t xml:space="preserve">En ese contexto, </w:t>
      </w:r>
      <w:r w:rsidRPr="00C67536">
        <w:rPr>
          <w:rFonts w:eastAsiaTheme="minorHAnsi" w:cs="Arial"/>
          <w:bCs/>
          <w:sz w:val="26"/>
          <w:szCs w:val="26"/>
          <w:lang w:eastAsia="en-US"/>
        </w:rPr>
        <w:t xml:space="preserve">como dichas </w:t>
      </w:r>
      <w:r w:rsidR="00B4636A" w:rsidRPr="00C67536">
        <w:rPr>
          <w:rFonts w:eastAsiaTheme="minorHAnsi" w:cs="Arial"/>
          <w:bCs/>
          <w:sz w:val="26"/>
          <w:szCs w:val="26"/>
          <w:lang w:eastAsia="en-US"/>
        </w:rPr>
        <w:t>consideraciones constituyeron la</w:t>
      </w:r>
      <w:r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base para la creación de la modificación de la Norma Oficial</w:t>
      </w:r>
      <w:r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 xml:space="preserve">Mexicana </w:t>
      </w:r>
      <w:r w:rsidR="00955E5E" w:rsidRPr="00C67536">
        <w:rPr>
          <w:rFonts w:eastAsiaTheme="minorHAnsi" w:cs="Arial"/>
          <w:bCs/>
          <w:sz w:val="26"/>
          <w:szCs w:val="26"/>
          <w:lang w:val="es-MX" w:eastAsia="en-US"/>
        </w:rPr>
        <w:t>NOM-051-SCFI/SSA1-2010</w:t>
      </w:r>
      <w:r w:rsidR="00B4636A" w:rsidRPr="00C67536">
        <w:rPr>
          <w:rFonts w:eastAsiaTheme="minorHAnsi" w:cs="Arial"/>
          <w:bCs/>
          <w:sz w:val="26"/>
          <w:szCs w:val="26"/>
          <w:lang w:eastAsia="en-US"/>
        </w:rPr>
        <w:t>,</w:t>
      </w:r>
      <w:r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consideró debidamente fundada y motivada la</w:t>
      </w:r>
      <w:r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razón para la utilización del etiquetado del producto</w:t>
      </w:r>
      <w:r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preenvasado destinado al consumidor final, de fabricación</w:t>
      </w:r>
      <w:r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nacional o extranjera, comercializado en territorio nacional,</w:t>
      </w:r>
      <w:r w:rsidR="005D48B4"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así como las características de la información que debe</w:t>
      </w:r>
      <w:r w:rsidR="005D48B4" w:rsidRPr="00C67536">
        <w:rPr>
          <w:rFonts w:eastAsiaTheme="minorHAnsi" w:cs="Arial"/>
          <w:bCs/>
          <w:sz w:val="26"/>
          <w:szCs w:val="26"/>
          <w:lang w:eastAsia="en-US"/>
        </w:rPr>
        <w:t xml:space="preserve"> </w:t>
      </w:r>
      <w:r w:rsidR="00B4636A" w:rsidRPr="00C67536">
        <w:rPr>
          <w:rFonts w:eastAsiaTheme="minorHAnsi" w:cs="Arial"/>
          <w:bCs/>
          <w:sz w:val="26"/>
          <w:szCs w:val="26"/>
          <w:lang w:eastAsia="en-US"/>
        </w:rPr>
        <w:t>contener el sistema de etiquetado frontal</w:t>
      </w:r>
      <w:r w:rsidR="00923F6B" w:rsidRPr="00C67536">
        <w:rPr>
          <w:rFonts w:eastAsiaTheme="minorHAnsi" w:cs="Arial"/>
          <w:bCs/>
          <w:sz w:val="26"/>
          <w:szCs w:val="26"/>
          <w:lang w:eastAsia="en-US"/>
        </w:rPr>
        <w:t>.</w:t>
      </w:r>
    </w:p>
    <w:p w14:paraId="43EC20C0" w14:textId="017D3C20" w:rsidR="00030950" w:rsidRPr="00C67536" w:rsidRDefault="00923F6B" w:rsidP="00441E60">
      <w:pPr>
        <w:pStyle w:val="corte4fondo"/>
        <w:numPr>
          <w:ilvl w:val="0"/>
          <w:numId w:val="4"/>
        </w:numPr>
        <w:tabs>
          <w:tab w:val="center" w:pos="851"/>
          <w:tab w:val="left" w:pos="6975"/>
        </w:tabs>
        <w:autoSpaceDE w:val="0"/>
        <w:autoSpaceDN w:val="0"/>
        <w:adjustRightInd w:val="0"/>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 xml:space="preserve">Por tales motivos, </w:t>
      </w:r>
      <w:r w:rsidRPr="00C67536">
        <w:rPr>
          <w:rFonts w:eastAsiaTheme="minorHAnsi" w:cs="Arial"/>
          <w:bCs/>
          <w:color w:val="000000"/>
          <w:sz w:val="26"/>
          <w:szCs w:val="26"/>
          <w:lang w:eastAsia="en-US"/>
        </w:rPr>
        <w:t>determinó que la norma combatida</w:t>
      </w:r>
      <w:r w:rsidR="00030950" w:rsidRPr="00C67536">
        <w:rPr>
          <w:rFonts w:eastAsiaTheme="minorHAnsi" w:cs="Arial"/>
          <w:bCs/>
          <w:color w:val="000000"/>
          <w:sz w:val="26"/>
          <w:szCs w:val="26"/>
          <w:lang w:eastAsia="en-US"/>
        </w:rPr>
        <w:t xml:space="preserve"> cumplía con los </w:t>
      </w:r>
      <w:r w:rsidRPr="00C67536">
        <w:rPr>
          <w:rFonts w:eastAsiaTheme="minorHAnsi" w:cs="Arial"/>
          <w:bCs/>
          <w:color w:val="000000"/>
          <w:sz w:val="26"/>
          <w:szCs w:val="26"/>
          <w:lang w:eastAsia="en-US"/>
        </w:rPr>
        <w:t>criterios de razonabilidad y proporcionalidad</w:t>
      </w:r>
      <w:r w:rsidR="00030950" w:rsidRPr="00C67536">
        <w:rPr>
          <w:rFonts w:eastAsiaTheme="minorHAnsi" w:cs="Arial"/>
          <w:bCs/>
          <w:color w:val="000000"/>
          <w:sz w:val="26"/>
          <w:szCs w:val="26"/>
          <w:lang w:eastAsia="en-US"/>
        </w:rPr>
        <w:t>, debida a que:</w:t>
      </w:r>
      <w:r w:rsidRPr="00C67536">
        <w:rPr>
          <w:rFonts w:eastAsiaTheme="minorHAnsi" w:cs="Arial"/>
          <w:bCs/>
          <w:color w:val="000000"/>
          <w:sz w:val="26"/>
          <w:szCs w:val="26"/>
          <w:lang w:eastAsia="en-US"/>
        </w:rPr>
        <w:t xml:space="preserve"> a) persegu</w:t>
      </w:r>
      <w:r w:rsidR="00030950" w:rsidRPr="00C67536">
        <w:rPr>
          <w:rFonts w:eastAsiaTheme="minorHAnsi" w:cs="Arial"/>
          <w:bCs/>
          <w:color w:val="000000"/>
          <w:sz w:val="26"/>
          <w:szCs w:val="26"/>
          <w:lang w:eastAsia="en-US"/>
        </w:rPr>
        <w:t>ían</w:t>
      </w:r>
      <w:r w:rsidRPr="00C67536">
        <w:rPr>
          <w:rFonts w:eastAsiaTheme="minorHAnsi" w:cs="Arial"/>
          <w:bCs/>
          <w:color w:val="000000"/>
          <w:sz w:val="26"/>
          <w:szCs w:val="26"/>
          <w:lang w:eastAsia="en-US"/>
        </w:rPr>
        <w:t xml:space="preserve"> una finalidad</w:t>
      </w:r>
      <w:r w:rsidR="00030950"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constitucionalmente legítima; y, b) estar justificada en</w:t>
      </w:r>
      <w:r w:rsidR="00030950"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razones constitucionales</w:t>
      </w:r>
      <w:r w:rsidR="00030950" w:rsidRPr="00C67536">
        <w:rPr>
          <w:rFonts w:eastAsiaTheme="minorHAnsi" w:cs="Arial"/>
          <w:bCs/>
          <w:color w:val="000000"/>
          <w:sz w:val="26"/>
          <w:szCs w:val="26"/>
          <w:lang w:eastAsia="en-US"/>
        </w:rPr>
        <w:t>.</w:t>
      </w:r>
    </w:p>
    <w:p w14:paraId="26515B4A" w14:textId="0632B9A3" w:rsidR="00D75C22" w:rsidRPr="0002384B" w:rsidRDefault="00030950" w:rsidP="0002384B">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color w:val="000000"/>
          <w:sz w:val="26"/>
          <w:szCs w:val="26"/>
          <w:lang w:eastAsia="en-US"/>
        </w:rPr>
      </w:pPr>
      <w:r w:rsidRPr="0002384B">
        <w:rPr>
          <w:rFonts w:ascii="Arial" w:eastAsiaTheme="minorHAnsi" w:hAnsi="Arial" w:cs="Arial"/>
          <w:bCs/>
          <w:color w:val="000000"/>
          <w:sz w:val="26"/>
          <w:szCs w:val="26"/>
          <w:lang w:eastAsia="en-US"/>
        </w:rPr>
        <w:t xml:space="preserve">De igual forma, indicó que era </w:t>
      </w:r>
      <w:r w:rsidR="000D582E" w:rsidRPr="0002384B">
        <w:rPr>
          <w:rFonts w:ascii="Arial" w:eastAsiaTheme="minorHAnsi" w:hAnsi="Arial" w:cs="Arial"/>
          <w:bCs/>
          <w:color w:val="000000"/>
          <w:sz w:val="26"/>
          <w:szCs w:val="26"/>
          <w:lang w:eastAsia="en-US"/>
        </w:rPr>
        <w:t>idónea, apta y susceptible de alcanzar el fin perseguido, en la medida que es obligación del Estado velar por el bienestar y la salud de la población y</w:t>
      </w:r>
      <w:r w:rsidR="00307750" w:rsidRPr="0002384B">
        <w:rPr>
          <w:rFonts w:ascii="Arial" w:eastAsiaTheme="minorHAnsi" w:hAnsi="Arial" w:cs="Arial"/>
          <w:bCs/>
          <w:color w:val="000000"/>
          <w:sz w:val="26"/>
          <w:szCs w:val="26"/>
          <w:lang w:eastAsia="en-US"/>
        </w:rPr>
        <w:t>,</w:t>
      </w:r>
      <w:r w:rsidR="000D582E" w:rsidRPr="0002384B">
        <w:rPr>
          <w:rFonts w:ascii="Arial" w:eastAsiaTheme="minorHAnsi" w:hAnsi="Arial" w:cs="Arial"/>
          <w:bCs/>
          <w:color w:val="000000"/>
          <w:sz w:val="26"/>
          <w:szCs w:val="26"/>
          <w:lang w:eastAsia="en-US"/>
        </w:rPr>
        <w:t xml:space="preserve"> si bien, la medida en análisis implica definitivamente un costo económico al repercutir directa e indirectamente en la industria fabricante, distribuidora y envasadora de los productos</w:t>
      </w:r>
      <w:r w:rsidR="00307750" w:rsidRPr="0002384B">
        <w:rPr>
          <w:rFonts w:ascii="Arial" w:eastAsiaTheme="minorHAnsi" w:hAnsi="Arial" w:cs="Arial"/>
          <w:bCs/>
          <w:color w:val="000000"/>
          <w:sz w:val="26"/>
          <w:szCs w:val="26"/>
          <w:lang w:eastAsia="en-US"/>
        </w:rPr>
        <w:t>; tal medida</w:t>
      </w:r>
      <w:r w:rsidR="000D582E" w:rsidRPr="0002384B">
        <w:rPr>
          <w:rFonts w:ascii="Arial" w:eastAsiaTheme="minorHAnsi" w:hAnsi="Arial" w:cs="Arial"/>
          <w:bCs/>
          <w:color w:val="000000"/>
          <w:sz w:val="26"/>
          <w:szCs w:val="26"/>
          <w:lang w:eastAsia="en-US"/>
        </w:rPr>
        <w:t xml:space="preserve"> era adecuada e idónea para lograr que los</w:t>
      </w:r>
      <w:r w:rsidR="00311B65" w:rsidRPr="0002384B">
        <w:rPr>
          <w:rFonts w:ascii="Arial" w:eastAsiaTheme="minorHAnsi" w:hAnsi="Arial" w:cs="Arial"/>
          <w:bCs/>
          <w:color w:val="000000"/>
          <w:sz w:val="26"/>
          <w:szCs w:val="26"/>
          <w:lang w:eastAsia="en-US"/>
        </w:rPr>
        <w:t xml:space="preserve"> </w:t>
      </w:r>
      <w:r w:rsidR="000D582E" w:rsidRPr="0002384B">
        <w:rPr>
          <w:rFonts w:ascii="Arial" w:eastAsiaTheme="minorHAnsi" w:hAnsi="Arial" w:cs="Arial"/>
          <w:bCs/>
          <w:color w:val="000000"/>
          <w:sz w:val="26"/>
          <w:szCs w:val="26"/>
          <w:lang w:eastAsia="en-US"/>
        </w:rPr>
        <w:t>consumidores cuenten con la información necesaria para</w:t>
      </w:r>
      <w:r w:rsidR="00311B65" w:rsidRPr="0002384B">
        <w:rPr>
          <w:rFonts w:ascii="Arial" w:eastAsiaTheme="minorHAnsi" w:hAnsi="Arial" w:cs="Arial"/>
          <w:bCs/>
          <w:color w:val="000000"/>
          <w:sz w:val="26"/>
          <w:szCs w:val="26"/>
          <w:lang w:eastAsia="en-US"/>
        </w:rPr>
        <w:t xml:space="preserve"> </w:t>
      </w:r>
      <w:r w:rsidR="000D582E" w:rsidRPr="0002384B">
        <w:rPr>
          <w:rFonts w:ascii="Arial" w:eastAsiaTheme="minorHAnsi" w:hAnsi="Arial" w:cs="Arial"/>
          <w:bCs/>
          <w:color w:val="000000"/>
          <w:sz w:val="26"/>
          <w:szCs w:val="26"/>
          <w:lang w:eastAsia="en-US"/>
        </w:rPr>
        <w:t>poder realizar la elección de sus alimentos y con ello tener</w:t>
      </w:r>
      <w:r w:rsidR="00311B65" w:rsidRPr="0002384B">
        <w:rPr>
          <w:rFonts w:ascii="Arial" w:eastAsiaTheme="minorHAnsi" w:hAnsi="Arial" w:cs="Arial"/>
          <w:bCs/>
          <w:color w:val="000000"/>
          <w:sz w:val="26"/>
          <w:szCs w:val="26"/>
          <w:lang w:eastAsia="en-US"/>
        </w:rPr>
        <w:t xml:space="preserve"> </w:t>
      </w:r>
      <w:r w:rsidR="000D582E" w:rsidRPr="0002384B">
        <w:rPr>
          <w:rFonts w:ascii="Arial" w:eastAsiaTheme="minorHAnsi" w:hAnsi="Arial" w:cs="Arial"/>
          <w:bCs/>
          <w:color w:val="000000"/>
          <w:sz w:val="26"/>
          <w:szCs w:val="26"/>
          <w:lang w:eastAsia="en-US"/>
        </w:rPr>
        <w:t>una mejor nutrición, y, en ese sentido, se hace consecuente</w:t>
      </w:r>
      <w:r w:rsidR="00311B65" w:rsidRPr="0002384B">
        <w:rPr>
          <w:rFonts w:ascii="Arial" w:eastAsiaTheme="minorHAnsi" w:hAnsi="Arial" w:cs="Arial"/>
          <w:bCs/>
          <w:color w:val="000000"/>
          <w:sz w:val="26"/>
          <w:szCs w:val="26"/>
          <w:lang w:eastAsia="en-US"/>
        </w:rPr>
        <w:t xml:space="preserve"> </w:t>
      </w:r>
      <w:r w:rsidR="000D582E" w:rsidRPr="0002384B">
        <w:rPr>
          <w:rFonts w:ascii="Arial" w:eastAsiaTheme="minorHAnsi" w:hAnsi="Arial" w:cs="Arial"/>
          <w:bCs/>
          <w:color w:val="000000"/>
          <w:sz w:val="26"/>
          <w:szCs w:val="26"/>
          <w:lang w:eastAsia="en-US"/>
        </w:rPr>
        <w:t>con el fin perseguido de proteger el derecho a la salud de la</w:t>
      </w:r>
      <w:r w:rsidR="00311B65" w:rsidRPr="0002384B">
        <w:rPr>
          <w:rFonts w:ascii="Arial" w:eastAsiaTheme="minorHAnsi" w:hAnsi="Arial" w:cs="Arial"/>
          <w:bCs/>
          <w:color w:val="000000"/>
          <w:sz w:val="26"/>
          <w:szCs w:val="26"/>
          <w:lang w:eastAsia="en-US"/>
        </w:rPr>
        <w:t xml:space="preserve"> </w:t>
      </w:r>
      <w:r w:rsidR="000D582E" w:rsidRPr="0002384B">
        <w:rPr>
          <w:rFonts w:ascii="Arial" w:eastAsiaTheme="minorHAnsi" w:hAnsi="Arial" w:cs="Arial"/>
          <w:bCs/>
          <w:color w:val="000000"/>
          <w:sz w:val="26"/>
          <w:szCs w:val="26"/>
          <w:lang w:eastAsia="en-US"/>
        </w:rPr>
        <w:t>población,</w:t>
      </w:r>
      <w:r w:rsidR="006E3D1D" w:rsidRPr="0002384B">
        <w:rPr>
          <w:rFonts w:ascii="Arial" w:eastAsiaTheme="minorHAnsi" w:hAnsi="Arial" w:cs="Arial"/>
          <w:bCs/>
          <w:color w:val="000000"/>
          <w:sz w:val="26"/>
          <w:szCs w:val="26"/>
          <w:lang w:eastAsia="en-US"/>
        </w:rPr>
        <w:t xml:space="preserve"> contemplado en </w:t>
      </w:r>
      <w:r w:rsidR="000D582E" w:rsidRPr="0002384B">
        <w:rPr>
          <w:rFonts w:ascii="Arial" w:eastAsiaTheme="minorHAnsi" w:hAnsi="Arial" w:cs="Arial"/>
          <w:bCs/>
          <w:color w:val="000000"/>
          <w:sz w:val="26"/>
          <w:szCs w:val="26"/>
          <w:lang w:eastAsia="en-US"/>
        </w:rPr>
        <w:t xml:space="preserve">artículo 4º </w:t>
      </w:r>
      <w:r w:rsidR="00772F4F">
        <w:rPr>
          <w:rFonts w:ascii="Arial" w:eastAsiaTheme="minorHAnsi" w:hAnsi="Arial" w:cs="Arial"/>
          <w:bCs/>
          <w:color w:val="000000"/>
          <w:sz w:val="26"/>
          <w:szCs w:val="26"/>
          <w:lang w:eastAsia="en-US"/>
        </w:rPr>
        <w:t>c</w:t>
      </w:r>
      <w:r w:rsidR="000D582E" w:rsidRPr="0002384B">
        <w:rPr>
          <w:rFonts w:ascii="Arial" w:eastAsiaTheme="minorHAnsi" w:hAnsi="Arial" w:cs="Arial"/>
          <w:bCs/>
          <w:color w:val="000000"/>
          <w:sz w:val="26"/>
          <w:szCs w:val="26"/>
          <w:lang w:eastAsia="en-US"/>
        </w:rPr>
        <w:t>onstitucional.</w:t>
      </w:r>
    </w:p>
    <w:p w14:paraId="41AA78D3" w14:textId="4E762AB6" w:rsidR="004E1302" w:rsidRPr="00C67536" w:rsidRDefault="00311B65" w:rsidP="00441E60">
      <w:pPr>
        <w:pStyle w:val="corte4fondo"/>
        <w:numPr>
          <w:ilvl w:val="0"/>
          <w:numId w:val="4"/>
        </w:numPr>
        <w:tabs>
          <w:tab w:val="center" w:pos="851"/>
          <w:tab w:val="left" w:pos="6975"/>
        </w:tabs>
        <w:autoSpaceDE w:val="0"/>
        <w:autoSpaceDN w:val="0"/>
        <w:adjustRightInd w:val="0"/>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Por ende concluyó,</w:t>
      </w:r>
      <w:r w:rsidR="004E1302" w:rsidRPr="00C67536">
        <w:rPr>
          <w:rFonts w:eastAsiaTheme="minorHAnsi" w:cs="Arial"/>
          <w:bCs/>
          <w:sz w:val="26"/>
          <w:szCs w:val="26"/>
          <w:lang w:eastAsia="en-US"/>
        </w:rPr>
        <w:t xml:space="preserve"> </w:t>
      </w:r>
      <w:r w:rsidR="004E1302" w:rsidRPr="00C67536">
        <w:rPr>
          <w:rFonts w:eastAsiaTheme="minorHAnsi" w:cs="Arial"/>
          <w:bCs/>
          <w:color w:val="000000"/>
          <w:sz w:val="26"/>
          <w:szCs w:val="26"/>
          <w:lang w:eastAsia="en-US"/>
        </w:rPr>
        <w:t>que la disposición controvertida cumple con el test de proporcionalidad, toda vez que la modificación de la Norma Oficial Mexicana NOM-051-SCFI/SSA1-2010, se expidió con el objeto de procurar las medidas que sean necesarias para garantizar que los productos que se comercialicen en territorio nacional contengan los requisitos necesarios con el fin de garantizar los aspectos de información para logar una efectiva</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protección del consumidor, al observar las medidas emitidas</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en materia de sobrepeso, obesidad y que con el etiquetado</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de alimentos y bebidas no alcohólicas, se establezca un</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sistema frontal de advertencia, por lo que su propósito es</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determinar la información comercial y sanitaria que deben</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cumplir las etiquetas de los alimentos y bebidas no</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alcohólicas para dar la información al consumidor, cuestiones</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que tienen que ver estrictamente con la protección al derecho</w:t>
      </w:r>
      <w:r w:rsidR="007F2424" w:rsidRPr="00C67536">
        <w:rPr>
          <w:rFonts w:eastAsiaTheme="minorHAnsi" w:cs="Arial"/>
          <w:bCs/>
          <w:color w:val="000000"/>
          <w:sz w:val="26"/>
          <w:szCs w:val="26"/>
          <w:lang w:eastAsia="en-US"/>
        </w:rPr>
        <w:t xml:space="preserve"> </w:t>
      </w:r>
      <w:r w:rsidR="004E1302" w:rsidRPr="00C67536">
        <w:rPr>
          <w:rFonts w:eastAsiaTheme="minorHAnsi" w:cs="Arial"/>
          <w:bCs/>
          <w:color w:val="000000"/>
          <w:sz w:val="26"/>
          <w:szCs w:val="26"/>
          <w:lang w:eastAsia="en-US"/>
        </w:rPr>
        <w:t>a la salud.</w:t>
      </w:r>
    </w:p>
    <w:p w14:paraId="0DCF010C" w14:textId="47D24DD2" w:rsidR="00311B65" w:rsidRPr="00C67536" w:rsidRDefault="00215572"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 xml:space="preserve">De ahí que, </w:t>
      </w:r>
      <w:r w:rsidR="00311B65" w:rsidRPr="00C67536">
        <w:rPr>
          <w:rFonts w:eastAsiaTheme="minorHAnsi" w:cs="Arial"/>
          <w:bCs/>
          <w:sz w:val="26"/>
          <w:szCs w:val="26"/>
          <w:lang w:eastAsia="en-US"/>
        </w:rPr>
        <w:t xml:space="preserve">el concepto de violación en relación con la violación a la libertad de </w:t>
      </w:r>
      <w:r w:rsidR="00D869C4" w:rsidRPr="00C67536">
        <w:rPr>
          <w:rFonts w:eastAsiaTheme="minorHAnsi" w:cs="Arial"/>
          <w:bCs/>
          <w:sz w:val="26"/>
          <w:szCs w:val="26"/>
          <w:lang w:eastAsia="en-US"/>
        </w:rPr>
        <w:t>trabajo</w:t>
      </w:r>
      <w:r w:rsidR="00311B65" w:rsidRPr="00C67536">
        <w:rPr>
          <w:rFonts w:eastAsiaTheme="minorHAnsi" w:cs="Arial"/>
          <w:bCs/>
          <w:sz w:val="26"/>
          <w:szCs w:val="26"/>
          <w:lang w:eastAsia="en-US"/>
        </w:rPr>
        <w:t xml:space="preserve"> </w:t>
      </w:r>
      <w:r w:rsidR="00311B65" w:rsidRPr="00C67536">
        <w:rPr>
          <w:rFonts w:eastAsiaTheme="minorHAnsi" w:cs="Arial"/>
          <w:bCs/>
          <w:sz w:val="26"/>
          <w:szCs w:val="26"/>
          <w:lang w:val="es-MX" w:eastAsia="en-US"/>
        </w:rPr>
        <w:t>resultaba infundado.</w:t>
      </w:r>
    </w:p>
    <w:p w14:paraId="6832613F" w14:textId="77777777" w:rsidR="00A13CB4" w:rsidRPr="00C67536" w:rsidRDefault="00C158EF"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Ello, porque</w:t>
      </w:r>
      <w:r w:rsidR="00C15B1D" w:rsidRPr="00C67536">
        <w:rPr>
          <w:rFonts w:eastAsiaTheme="minorHAnsi" w:cs="Arial"/>
          <w:bCs/>
          <w:sz w:val="26"/>
          <w:szCs w:val="26"/>
          <w:lang w:eastAsia="en-US"/>
        </w:rPr>
        <w:t xml:space="preserve"> conforme a</w:t>
      </w:r>
      <w:r w:rsidR="004F4EF7" w:rsidRPr="00C67536">
        <w:rPr>
          <w:rFonts w:eastAsiaTheme="minorHAnsi" w:cs="Arial"/>
          <w:bCs/>
          <w:sz w:val="26"/>
          <w:szCs w:val="26"/>
          <w:lang w:val="es-MX" w:eastAsia="en-US"/>
        </w:rPr>
        <w:t xml:space="preserve"> lo dispuesto por los artículos 1º, 4º y 28 de la Constitución Federal, todos los mexicanos gozarán de los derechos humanos reconocidos en dicha Constitución Federal y en los tratados internacionales de los que el Estado Mexicano sea parte, así como de las garantías para su protección</w:t>
      </w:r>
      <w:r w:rsidR="0066292F" w:rsidRPr="00C67536">
        <w:rPr>
          <w:rFonts w:eastAsiaTheme="minorHAnsi" w:cs="Arial"/>
          <w:bCs/>
          <w:sz w:val="26"/>
          <w:szCs w:val="26"/>
          <w:lang w:val="es-MX" w:eastAsia="en-US"/>
        </w:rPr>
        <w:t xml:space="preserve">. </w:t>
      </w:r>
    </w:p>
    <w:p w14:paraId="3B7D2E0D" w14:textId="223D72AD" w:rsidR="001D5013" w:rsidRPr="00C67536" w:rsidRDefault="00A02801"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val="es-MX" w:eastAsia="en-US"/>
        </w:rPr>
        <w:t xml:space="preserve">De igual forma, </w:t>
      </w:r>
      <w:r w:rsidR="004F4EF7" w:rsidRPr="00C67536">
        <w:rPr>
          <w:rFonts w:eastAsiaTheme="minorHAnsi" w:cs="Arial"/>
          <w:bCs/>
          <w:sz w:val="26"/>
          <w:szCs w:val="26"/>
          <w:lang w:eastAsia="en-US"/>
        </w:rPr>
        <w:t xml:space="preserve">la posibilidad que tiene el individuo de alimentarse </w:t>
      </w:r>
      <w:r w:rsidR="004F4EF7" w:rsidRPr="00C67536">
        <w:rPr>
          <w:rFonts w:eastAsiaTheme="minorHAnsi" w:cs="Arial"/>
          <w:bCs/>
          <w:sz w:val="26"/>
          <w:szCs w:val="26"/>
          <w:lang w:val="es-MX" w:eastAsia="en-US"/>
        </w:rPr>
        <w:t xml:space="preserve">directamente, o bien, a través de los sistemas públicos o </w:t>
      </w:r>
      <w:r w:rsidR="004F4EF7" w:rsidRPr="00C67536">
        <w:rPr>
          <w:rFonts w:eastAsiaTheme="minorHAnsi" w:cs="Arial"/>
          <w:bCs/>
          <w:sz w:val="26"/>
          <w:szCs w:val="26"/>
          <w:lang w:eastAsia="en-US"/>
        </w:rPr>
        <w:t>privados de distribución, elaboración y comercialización, además de exigir que los alimentos tengan los nutrimentos adecuados para su correcto desarrollo físico y mental.</w:t>
      </w:r>
    </w:p>
    <w:p w14:paraId="5C84886E" w14:textId="4214123D" w:rsidR="00F0502F" w:rsidRPr="00C67536" w:rsidRDefault="00A13CB4"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También, que</w:t>
      </w:r>
      <w:r w:rsidR="004F4EF7" w:rsidRPr="00C67536">
        <w:rPr>
          <w:rFonts w:eastAsiaTheme="minorHAnsi" w:cs="Arial"/>
          <w:bCs/>
          <w:sz w:val="26"/>
          <w:szCs w:val="26"/>
          <w:lang w:eastAsia="en-US"/>
        </w:rPr>
        <w:t xml:space="preserve"> el derecho a la información sobre la calidad de los alimentos y bebidas para la salud de las personas, el cual se traduce en el derecho fundamental de los consumidores a ser informados de forma comprensible, visible y veraz sobre productos que ponen en riesgo la salud de las personas</w:t>
      </w:r>
      <w:r w:rsidR="004F4EF7" w:rsidRPr="00C67536">
        <w:rPr>
          <w:rFonts w:eastAsiaTheme="minorHAnsi" w:cs="Arial"/>
          <w:bCs/>
          <w:sz w:val="26"/>
          <w:szCs w:val="26"/>
          <w:lang w:val="es-MX" w:eastAsia="en-US"/>
        </w:rPr>
        <w:t xml:space="preserve">. </w:t>
      </w:r>
    </w:p>
    <w:p w14:paraId="1433535A" w14:textId="5003000A" w:rsidR="003D73A8" w:rsidRPr="00C67536" w:rsidRDefault="00F0502F"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 xml:space="preserve">Así indicó, </w:t>
      </w:r>
      <w:r w:rsidR="00CD4E4A" w:rsidRPr="00C67536">
        <w:rPr>
          <w:rFonts w:eastAsiaTheme="minorHAnsi" w:cs="Arial"/>
          <w:bCs/>
          <w:sz w:val="26"/>
          <w:szCs w:val="26"/>
          <w:lang w:eastAsia="en-US"/>
        </w:rPr>
        <w:t>que,</w:t>
      </w:r>
      <w:r w:rsidRPr="00C67536">
        <w:rPr>
          <w:rFonts w:eastAsiaTheme="minorHAnsi" w:cs="Arial"/>
          <w:bCs/>
          <w:sz w:val="26"/>
          <w:szCs w:val="26"/>
          <w:lang w:eastAsia="en-US"/>
        </w:rPr>
        <w:t xml:space="preserve"> de acuerdo con la Organización Panamericana de la Salud, la hipertensión, la hiperglucemia en ayunas (medida como el nivel de glucosa en plasma en ayunas) y el sobrepeso o la obesidad, son los tres factores de riesgo más asociados con la mortalidad en la Región de las Américas.</w:t>
      </w:r>
      <w:r w:rsidR="007B74EF" w:rsidRPr="00C67536">
        <w:rPr>
          <w:rFonts w:eastAsiaTheme="minorHAnsi" w:cs="Arial"/>
          <w:bCs/>
          <w:sz w:val="26"/>
          <w:szCs w:val="26"/>
          <w:lang w:eastAsia="en-US"/>
        </w:rPr>
        <w:t xml:space="preserve"> Además, que dicha organización </w:t>
      </w:r>
      <w:r w:rsidR="00DA3FAE" w:rsidRPr="00C67536">
        <w:rPr>
          <w:rFonts w:eastAsiaTheme="minorHAnsi" w:cs="Arial"/>
          <w:bCs/>
          <w:sz w:val="26"/>
          <w:szCs w:val="26"/>
          <w:lang w:eastAsia="en-US"/>
        </w:rPr>
        <w:t>había sustentado una recomendación relativa a los etiquetados de los productos.</w:t>
      </w:r>
      <w:r w:rsidR="003D73A8" w:rsidRPr="00C67536">
        <w:rPr>
          <w:rFonts w:eastAsiaTheme="minorHAnsi" w:cs="Arial"/>
          <w:bCs/>
          <w:sz w:val="26"/>
          <w:szCs w:val="26"/>
          <w:lang w:eastAsia="en-US"/>
        </w:rPr>
        <w:t xml:space="preserve"> </w:t>
      </w:r>
    </w:p>
    <w:p w14:paraId="1DD4C06F" w14:textId="2A9F2805" w:rsidR="00F0502F" w:rsidRPr="00C67536" w:rsidRDefault="00F0502F"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val="es-MX" w:eastAsia="en-US"/>
        </w:rPr>
      </w:pPr>
      <w:r w:rsidRPr="00C67536">
        <w:rPr>
          <w:rFonts w:eastAsiaTheme="minorHAnsi" w:cs="Arial"/>
          <w:bCs/>
          <w:sz w:val="26"/>
          <w:szCs w:val="26"/>
          <w:lang w:val="es-MX" w:eastAsia="en-US"/>
        </w:rPr>
        <w:t>Por</w:t>
      </w:r>
      <w:r w:rsidR="00590143" w:rsidRPr="00C67536">
        <w:rPr>
          <w:rFonts w:eastAsiaTheme="minorHAnsi" w:cs="Arial"/>
          <w:bCs/>
          <w:sz w:val="26"/>
          <w:szCs w:val="26"/>
          <w:lang w:val="es-MX" w:eastAsia="en-US"/>
        </w:rPr>
        <w:t xml:space="preserve"> </w:t>
      </w:r>
      <w:r w:rsidRPr="00C67536">
        <w:rPr>
          <w:rFonts w:eastAsiaTheme="minorHAnsi" w:cs="Arial"/>
          <w:bCs/>
          <w:sz w:val="26"/>
          <w:szCs w:val="26"/>
          <w:lang w:val="es-MX" w:eastAsia="en-US"/>
        </w:rPr>
        <w:t xml:space="preserve">tanto, sí se habían analizado cuestiones de índole científico, ya que el sistema normativo relacionado con el etiquetado frontal de productos </w:t>
      </w:r>
      <w:r w:rsidR="00D869C4" w:rsidRPr="00C67536">
        <w:rPr>
          <w:rFonts w:eastAsiaTheme="minorHAnsi" w:cs="Arial"/>
          <w:bCs/>
          <w:sz w:val="26"/>
          <w:szCs w:val="26"/>
          <w:lang w:val="es-MX" w:eastAsia="en-US"/>
        </w:rPr>
        <w:t>preenvasados</w:t>
      </w:r>
      <w:r w:rsidRPr="00C67536">
        <w:rPr>
          <w:rFonts w:eastAsiaTheme="minorHAnsi" w:cs="Arial"/>
          <w:bCs/>
          <w:sz w:val="26"/>
          <w:szCs w:val="26"/>
          <w:lang w:val="es-MX" w:eastAsia="en-US"/>
        </w:rPr>
        <w:t xml:space="preserve"> tenía como sustento la recomendación de la Organización Panamericana de Salud, la cual examinó aspectos científicos para determinar qué etiquetado frontal puede llegar a ser el más eficiente en la región de las Américas.</w:t>
      </w:r>
    </w:p>
    <w:p w14:paraId="0F6D3BF5" w14:textId="08D19C72" w:rsidR="00590143" w:rsidRPr="00C67536" w:rsidRDefault="00C1485A"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 xml:space="preserve">Así, determinó que </w:t>
      </w:r>
      <w:r w:rsidR="00590143" w:rsidRPr="00C67536">
        <w:rPr>
          <w:rFonts w:eastAsiaTheme="minorHAnsi" w:cs="Arial"/>
          <w:bCs/>
          <w:sz w:val="26"/>
          <w:szCs w:val="26"/>
          <w:lang w:eastAsia="en-US"/>
        </w:rPr>
        <w:t xml:space="preserve">el sistema normativo reclamado no transgrede el derecho humano a una alimentación sana, a la salud, a la información; pues el etiquetado frontal nutrimental debe ajustarse a la Estrategia Nacional para la Prevención y el Control del Sobrepeso, la Obesidad y la Diabetes y a las Directrices de Ingesta de Azúcares para Adultos y Niños </w:t>
      </w:r>
      <w:r w:rsidR="00590143" w:rsidRPr="00C67536">
        <w:rPr>
          <w:rFonts w:eastAsiaTheme="minorHAnsi" w:cs="Arial"/>
          <w:bCs/>
          <w:sz w:val="26"/>
          <w:szCs w:val="26"/>
          <w:lang w:val="es-MX" w:eastAsia="en-US"/>
        </w:rPr>
        <w:t>emitida por la Organización Mundial de la Salud.</w:t>
      </w:r>
    </w:p>
    <w:p w14:paraId="21126B09" w14:textId="77777777" w:rsidR="00225AA7" w:rsidRPr="00C67536" w:rsidRDefault="00590143"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val="es-MX" w:eastAsia="en-US"/>
        </w:rPr>
        <w:t xml:space="preserve"> </w:t>
      </w:r>
      <w:r w:rsidRPr="00C67536">
        <w:rPr>
          <w:rFonts w:eastAsiaTheme="minorHAnsi" w:cs="Arial"/>
          <w:bCs/>
          <w:sz w:val="26"/>
          <w:szCs w:val="26"/>
          <w:lang w:eastAsia="en-US"/>
        </w:rPr>
        <w:t xml:space="preserve">De igual forma concluyó, que la obligación del etiquetado frontal de advertencia que debe ponerse en los alimentos de forma separada e independiente a la declaración de ingredientes e información nutrimental, para indicar los productos que excedan los límites máximos de contenido energético, azúcares añadidos, grasas saturadas, sodio y los demás nutrimentos críticos e ingredientes que establezcan las disposiciones normativas competentes, prevista en el artículo 212 de la Ley General de Salud, no </w:t>
      </w:r>
      <w:r w:rsidRPr="00C67536">
        <w:rPr>
          <w:rFonts w:eastAsiaTheme="minorHAnsi" w:cs="Arial"/>
          <w:bCs/>
          <w:sz w:val="26"/>
          <w:szCs w:val="26"/>
          <w:lang w:val="es-MX" w:eastAsia="en-US"/>
        </w:rPr>
        <w:t>transgrede lo dispuesto por el artículo 1º constitucional</w:t>
      </w:r>
      <w:r w:rsidR="000B0B22" w:rsidRPr="00C67536">
        <w:rPr>
          <w:rFonts w:eastAsiaTheme="minorHAnsi" w:cs="Arial"/>
          <w:bCs/>
          <w:sz w:val="26"/>
          <w:szCs w:val="26"/>
          <w:lang w:val="es-MX" w:eastAsia="en-US"/>
        </w:rPr>
        <w:t xml:space="preserve">, </w:t>
      </w:r>
      <w:r w:rsidRPr="00C67536">
        <w:rPr>
          <w:rFonts w:eastAsiaTheme="minorHAnsi" w:cs="Arial"/>
          <w:bCs/>
          <w:sz w:val="26"/>
          <w:szCs w:val="26"/>
          <w:lang w:eastAsia="en-US"/>
        </w:rPr>
        <w:t>en cuanto a</w:t>
      </w:r>
      <w:r w:rsidR="00494058" w:rsidRPr="00C67536">
        <w:rPr>
          <w:rFonts w:eastAsiaTheme="minorHAnsi" w:cs="Arial"/>
          <w:bCs/>
          <w:sz w:val="26"/>
          <w:szCs w:val="26"/>
          <w:lang w:eastAsia="en-US"/>
        </w:rPr>
        <w:t>l derecho a</w:t>
      </w:r>
      <w:r w:rsidRPr="00C67536">
        <w:rPr>
          <w:rFonts w:eastAsiaTheme="minorHAnsi" w:cs="Arial"/>
          <w:bCs/>
          <w:sz w:val="26"/>
          <w:szCs w:val="26"/>
          <w:lang w:eastAsia="en-US"/>
        </w:rPr>
        <w:t xml:space="preserve"> la igualdad</w:t>
      </w:r>
      <w:r w:rsidR="00B53396" w:rsidRPr="00C67536">
        <w:rPr>
          <w:rFonts w:eastAsiaTheme="minorHAnsi" w:cs="Arial"/>
          <w:bCs/>
          <w:sz w:val="26"/>
          <w:szCs w:val="26"/>
          <w:lang w:eastAsia="en-US"/>
        </w:rPr>
        <w:t xml:space="preserve">. </w:t>
      </w:r>
    </w:p>
    <w:p w14:paraId="7A6991CF" w14:textId="77777777" w:rsidR="00225AA7" w:rsidRPr="00C67536" w:rsidRDefault="00B53396"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 xml:space="preserve">Ello, </w:t>
      </w:r>
      <w:r w:rsidR="00475344" w:rsidRPr="00C67536">
        <w:rPr>
          <w:rFonts w:eastAsiaTheme="minorHAnsi" w:cs="Arial"/>
          <w:bCs/>
          <w:sz w:val="26"/>
          <w:szCs w:val="26"/>
          <w:lang w:eastAsia="en-US"/>
        </w:rPr>
        <w:t>porque la quejosa sostuvo que la norma reclamada no se aplicará a los alimentos y bebidas no</w:t>
      </w:r>
      <w:r w:rsidR="00C240FF" w:rsidRPr="00C67536">
        <w:rPr>
          <w:rFonts w:eastAsiaTheme="minorHAnsi" w:cs="Arial"/>
          <w:bCs/>
          <w:sz w:val="26"/>
          <w:szCs w:val="26"/>
          <w:lang w:eastAsia="en-US"/>
        </w:rPr>
        <w:t xml:space="preserve"> </w:t>
      </w:r>
      <w:r w:rsidR="00475344" w:rsidRPr="00C67536">
        <w:rPr>
          <w:rFonts w:eastAsiaTheme="minorHAnsi" w:cs="Arial"/>
          <w:bCs/>
          <w:sz w:val="26"/>
          <w:szCs w:val="26"/>
          <w:lang w:eastAsia="en-US"/>
        </w:rPr>
        <w:t>alcohólicas a granel y a los alimentos y bebidas no</w:t>
      </w:r>
      <w:r w:rsidR="00C240FF" w:rsidRPr="00C67536">
        <w:rPr>
          <w:rFonts w:eastAsiaTheme="minorHAnsi" w:cs="Arial"/>
          <w:bCs/>
          <w:sz w:val="26"/>
          <w:szCs w:val="26"/>
          <w:lang w:eastAsia="en-US"/>
        </w:rPr>
        <w:t xml:space="preserve"> </w:t>
      </w:r>
      <w:r w:rsidR="00475344" w:rsidRPr="00C67536">
        <w:rPr>
          <w:rFonts w:eastAsiaTheme="minorHAnsi" w:cs="Arial"/>
          <w:bCs/>
          <w:sz w:val="26"/>
          <w:szCs w:val="26"/>
          <w:lang w:eastAsia="en-US"/>
        </w:rPr>
        <w:t>alcohólicas envasados en punto de venta.</w:t>
      </w:r>
    </w:p>
    <w:p w14:paraId="3B48F2C4" w14:textId="3ABF0237" w:rsidR="006D655F" w:rsidRPr="00C67536" w:rsidRDefault="00225AA7"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eastAsia="en-US"/>
        </w:rPr>
      </w:pPr>
      <w:r w:rsidRPr="00C67536">
        <w:rPr>
          <w:rFonts w:eastAsiaTheme="minorHAnsi" w:cs="Arial"/>
          <w:bCs/>
          <w:sz w:val="26"/>
          <w:szCs w:val="26"/>
          <w:lang w:eastAsia="en-US"/>
        </w:rPr>
        <w:t xml:space="preserve">Sin embargo, la norma </w:t>
      </w:r>
      <w:r w:rsidR="006D655F" w:rsidRPr="00C67536">
        <w:rPr>
          <w:rFonts w:eastAsiaTheme="minorHAnsi" w:cs="Arial"/>
          <w:bCs/>
          <w:sz w:val="26"/>
          <w:szCs w:val="26"/>
          <w:lang w:eastAsia="en-US"/>
        </w:rPr>
        <w:t>mexicana va dirigida a los alimentos y</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bebidas no alcohólicas, que son colocados en un envase de</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cualquier naturaleza, en ausencia del consumidor y la</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cantidad de producto contenido en él no puede ser alterada,</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a menos que el envase sea abierto o modificado</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perceptiblemente, siendo el caso que los alimentos a granel</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preseleccionados y empaquetados en punto de venta pueden</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ser alterados o modificados en cuanto a su contenido, por</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ello dijo que se trata de productos de distinta naturaleza, es</w:t>
      </w:r>
      <w:r w:rsidR="00C63134"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decir, va dirigida a todos los productos preenvasados, por lo</w:t>
      </w:r>
      <w:r w:rsidR="00011A6B"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que la norma no realiza la distinción propuesta por la parte</w:t>
      </w:r>
      <w:r w:rsidR="00011A6B" w:rsidRPr="00C67536">
        <w:rPr>
          <w:rFonts w:eastAsiaTheme="minorHAnsi" w:cs="Arial"/>
          <w:bCs/>
          <w:sz w:val="26"/>
          <w:szCs w:val="26"/>
          <w:lang w:eastAsia="en-US"/>
        </w:rPr>
        <w:t xml:space="preserve"> </w:t>
      </w:r>
      <w:r w:rsidR="006D655F" w:rsidRPr="00C67536">
        <w:rPr>
          <w:rFonts w:eastAsiaTheme="minorHAnsi" w:cs="Arial"/>
          <w:bCs/>
          <w:sz w:val="26"/>
          <w:szCs w:val="26"/>
          <w:lang w:eastAsia="en-US"/>
        </w:rPr>
        <w:t>quejosa a la luz del derecho de igualdad.</w:t>
      </w:r>
    </w:p>
    <w:p w14:paraId="77693C96" w14:textId="31AD70A5" w:rsidR="005839A6" w:rsidRPr="00C67536" w:rsidRDefault="0019551D" w:rsidP="00441E60">
      <w:pPr>
        <w:pStyle w:val="corte4fondo"/>
        <w:numPr>
          <w:ilvl w:val="0"/>
          <w:numId w:val="4"/>
        </w:numPr>
        <w:tabs>
          <w:tab w:val="center" w:pos="851"/>
          <w:tab w:val="left" w:pos="6975"/>
        </w:tabs>
        <w:spacing w:line="240" w:lineRule="auto"/>
        <w:ind w:left="567" w:firstLine="0"/>
        <w:rPr>
          <w:rFonts w:eastAsiaTheme="minorHAnsi" w:cs="Arial"/>
          <w:bCs/>
          <w:sz w:val="26"/>
          <w:szCs w:val="26"/>
          <w:lang w:val="es-MX" w:eastAsia="en-US"/>
        </w:rPr>
      </w:pPr>
      <w:r w:rsidRPr="00C67536">
        <w:rPr>
          <w:rFonts w:eastAsiaTheme="minorHAnsi" w:cs="Arial"/>
          <w:bCs/>
          <w:sz w:val="26"/>
          <w:szCs w:val="26"/>
          <w:lang w:eastAsia="en-US"/>
        </w:rPr>
        <w:t>Por otra parte</w:t>
      </w:r>
      <w:r w:rsidR="008C7A50" w:rsidRPr="00C67536">
        <w:rPr>
          <w:rFonts w:eastAsiaTheme="minorHAnsi" w:cs="Arial"/>
          <w:bCs/>
          <w:sz w:val="26"/>
          <w:szCs w:val="26"/>
          <w:lang w:eastAsia="en-US"/>
        </w:rPr>
        <w:t>,</w:t>
      </w:r>
      <w:r w:rsidRPr="00C67536">
        <w:rPr>
          <w:rFonts w:eastAsiaTheme="minorHAnsi" w:cs="Arial"/>
          <w:bCs/>
          <w:sz w:val="26"/>
          <w:szCs w:val="26"/>
          <w:lang w:eastAsia="en-US"/>
        </w:rPr>
        <w:t xml:space="preserve"> calificó de inoperantes, los conceptos de violación relacionados con la seguridad jurídica, legalidad y el derecho a la propiedad, en relación con el uso de sus marcas, dado que de manera injustificada interfiere en el proceso de su identificación por parte de los consumidores e incluso causa que los productos de la sociedad quejosa y de sus competidores, no sean diferenciables, al llegar a generar que para el consumidor la totalidad de productos parezcan equivalentes o genéricos, así como que la entrada en vigor de la norma le genera una afectación patrimonial que no tiene justificación razonable, pues genera que su inventario, producción previa a la entrada en vigor de la Modificación, no sea susceptible de comercializarse; medida en que el inventario de productos terminados forma parte de su capital </w:t>
      </w:r>
      <w:r w:rsidRPr="00C67536">
        <w:rPr>
          <w:rFonts w:eastAsiaTheme="minorHAnsi" w:cs="Arial"/>
          <w:bCs/>
          <w:sz w:val="26"/>
          <w:szCs w:val="26"/>
          <w:lang w:val="es-MX" w:eastAsia="en-US"/>
        </w:rPr>
        <w:t>y por tanto de su patrimonio.</w:t>
      </w:r>
    </w:p>
    <w:p w14:paraId="2CF10E6D" w14:textId="77777777" w:rsidR="00355CB7" w:rsidRPr="00C67536" w:rsidRDefault="0082522F" w:rsidP="00441E60">
      <w:pPr>
        <w:pStyle w:val="corte4fondo"/>
        <w:numPr>
          <w:ilvl w:val="0"/>
          <w:numId w:val="4"/>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Lo anterior, porque los argumentos se sustentan en una premisa</w:t>
      </w:r>
      <w:r w:rsidR="00355CB7"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desestimada, como es la justificación del sistema de</w:t>
      </w:r>
      <w:r w:rsidR="00355CB7"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etiquetado frontal, l</w:t>
      </w:r>
      <w:r w:rsidR="00355CB7" w:rsidRPr="00C67536">
        <w:rPr>
          <w:rFonts w:eastAsiaTheme="minorHAnsi" w:cs="Arial"/>
          <w:bCs/>
          <w:color w:val="000000"/>
          <w:sz w:val="26"/>
          <w:szCs w:val="26"/>
          <w:lang w:eastAsia="en-US"/>
        </w:rPr>
        <w:t>o cual ya había sido analizado anteriormente.</w:t>
      </w:r>
    </w:p>
    <w:p w14:paraId="76A03F13" w14:textId="26123054" w:rsidR="005839A6" w:rsidRPr="00C67536" w:rsidRDefault="00355CB7" w:rsidP="00441E60">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color w:val="000000"/>
          <w:sz w:val="26"/>
          <w:szCs w:val="26"/>
          <w:lang w:eastAsia="en-US"/>
        </w:rPr>
      </w:pPr>
      <w:r w:rsidRPr="00C67536">
        <w:rPr>
          <w:rFonts w:ascii="Arial" w:eastAsiaTheme="minorHAnsi" w:hAnsi="Arial" w:cs="Arial"/>
          <w:bCs/>
          <w:color w:val="000000"/>
          <w:sz w:val="26"/>
          <w:szCs w:val="26"/>
          <w:lang w:eastAsia="en-US"/>
        </w:rPr>
        <w:t xml:space="preserve">Además, indicó que </w:t>
      </w:r>
      <w:r w:rsidR="0082522F" w:rsidRPr="00C67536">
        <w:rPr>
          <w:rFonts w:ascii="Arial" w:eastAsiaTheme="minorHAnsi" w:hAnsi="Arial" w:cs="Arial"/>
          <w:bCs/>
          <w:color w:val="000000"/>
          <w:sz w:val="26"/>
          <w:szCs w:val="26"/>
          <w:lang w:eastAsia="en-US"/>
        </w:rPr>
        <w:t>la publicación de la</w:t>
      </w:r>
      <w:r w:rsidRPr="00C67536">
        <w:rPr>
          <w:rFonts w:ascii="Arial" w:eastAsiaTheme="minorHAnsi" w:hAnsi="Arial" w:cs="Arial"/>
          <w:bCs/>
          <w:color w:val="000000"/>
          <w:sz w:val="26"/>
          <w:szCs w:val="26"/>
          <w:lang w:eastAsia="en-US"/>
        </w:rPr>
        <w:t xml:space="preserve"> </w:t>
      </w:r>
      <w:r w:rsidR="0082522F" w:rsidRPr="00C67536">
        <w:rPr>
          <w:rFonts w:ascii="Arial" w:eastAsiaTheme="minorHAnsi" w:hAnsi="Arial" w:cs="Arial"/>
          <w:bCs/>
          <w:color w:val="000000"/>
          <w:sz w:val="26"/>
          <w:szCs w:val="26"/>
          <w:lang w:eastAsia="en-US"/>
        </w:rPr>
        <w:t xml:space="preserve">Modificación a la Norma Oficial Mexicana </w:t>
      </w:r>
      <w:r w:rsidR="00603C98" w:rsidRPr="00C67536">
        <w:rPr>
          <w:rFonts w:ascii="Arial" w:eastAsiaTheme="minorHAnsi" w:hAnsi="Arial" w:cs="Arial"/>
          <w:bCs/>
          <w:color w:val="000000"/>
          <w:sz w:val="26"/>
          <w:szCs w:val="26"/>
          <w:lang w:eastAsia="en-US"/>
        </w:rPr>
        <w:t>reclamada</w:t>
      </w:r>
      <w:r w:rsidR="0082522F" w:rsidRPr="00C67536">
        <w:rPr>
          <w:rFonts w:ascii="Arial" w:eastAsiaTheme="minorHAnsi" w:hAnsi="Arial" w:cs="Arial"/>
          <w:bCs/>
          <w:color w:val="000000"/>
          <w:sz w:val="26"/>
          <w:szCs w:val="26"/>
          <w:lang w:eastAsia="en-US"/>
        </w:rPr>
        <w:t xml:space="preserve"> fue el</w:t>
      </w:r>
      <w:r w:rsidRPr="00C67536">
        <w:rPr>
          <w:rFonts w:ascii="Arial" w:eastAsiaTheme="minorHAnsi" w:hAnsi="Arial" w:cs="Arial"/>
          <w:bCs/>
          <w:color w:val="000000"/>
          <w:sz w:val="26"/>
          <w:szCs w:val="26"/>
          <w:lang w:eastAsia="en-US"/>
        </w:rPr>
        <w:t xml:space="preserve"> veintisiete</w:t>
      </w:r>
      <w:r w:rsidR="0082522F" w:rsidRPr="00C67536">
        <w:rPr>
          <w:rFonts w:ascii="Arial" w:eastAsiaTheme="minorHAnsi" w:hAnsi="Arial" w:cs="Arial"/>
          <w:bCs/>
          <w:color w:val="000000"/>
          <w:sz w:val="26"/>
          <w:szCs w:val="26"/>
          <w:lang w:eastAsia="en-US"/>
        </w:rPr>
        <w:t xml:space="preserve"> de marzo de </w:t>
      </w:r>
      <w:r w:rsidRPr="00C67536">
        <w:rPr>
          <w:rFonts w:ascii="Arial" w:eastAsiaTheme="minorHAnsi" w:hAnsi="Arial" w:cs="Arial"/>
          <w:bCs/>
          <w:color w:val="000000"/>
          <w:sz w:val="26"/>
          <w:szCs w:val="26"/>
          <w:lang w:eastAsia="en-US"/>
        </w:rPr>
        <w:t>d</w:t>
      </w:r>
      <w:r w:rsidR="0082522F" w:rsidRPr="00C67536">
        <w:rPr>
          <w:rFonts w:ascii="Arial" w:eastAsiaTheme="minorHAnsi" w:hAnsi="Arial" w:cs="Arial"/>
          <w:bCs/>
          <w:color w:val="000000"/>
          <w:sz w:val="26"/>
          <w:szCs w:val="26"/>
          <w:lang w:eastAsia="en-US"/>
        </w:rPr>
        <w:t>os mil veinte y, la</w:t>
      </w:r>
      <w:r w:rsidR="00815893" w:rsidRPr="00C67536">
        <w:rPr>
          <w:rFonts w:ascii="Arial" w:eastAsiaTheme="minorHAnsi" w:hAnsi="Arial" w:cs="Arial"/>
          <w:bCs/>
          <w:color w:val="000000"/>
          <w:sz w:val="26"/>
          <w:szCs w:val="26"/>
          <w:lang w:eastAsia="en-US"/>
        </w:rPr>
        <w:t xml:space="preserve"> </w:t>
      </w:r>
      <w:r w:rsidR="0082522F" w:rsidRPr="00C67536">
        <w:rPr>
          <w:rFonts w:ascii="Arial" w:eastAsiaTheme="minorHAnsi" w:hAnsi="Arial" w:cs="Arial"/>
          <w:bCs/>
          <w:color w:val="000000"/>
          <w:sz w:val="26"/>
          <w:szCs w:val="26"/>
          <w:lang w:eastAsia="en-US"/>
        </w:rPr>
        <w:t>entrada en vigor de determinadas normas empezó a partir de</w:t>
      </w:r>
      <w:r w:rsidR="00815893" w:rsidRPr="00C67536">
        <w:rPr>
          <w:rFonts w:ascii="Arial" w:eastAsiaTheme="minorHAnsi" w:hAnsi="Arial" w:cs="Arial"/>
          <w:bCs/>
          <w:color w:val="000000"/>
          <w:sz w:val="26"/>
          <w:szCs w:val="26"/>
          <w:lang w:eastAsia="en-US"/>
        </w:rPr>
        <w:t xml:space="preserve"> </w:t>
      </w:r>
      <w:r w:rsidR="00C70B6C" w:rsidRPr="00C67536">
        <w:rPr>
          <w:rFonts w:ascii="Arial" w:eastAsiaTheme="minorHAnsi" w:hAnsi="Arial" w:cs="Arial"/>
          <w:bCs/>
          <w:sz w:val="26"/>
          <w:szCs w:val="26"/>
          <w:lang w:eastAsia="en-US"/>
        </w:rPr>
        <w:t>octubre de dos mil veinte, es decir, que existió un</w:t>
      </w:r>
      <w:r w:rsidR="00815893" w:rsidRPr="00C67536">
        <w:rPr>
          <w:rFonts w:ascii="Arial" w:eastAsiaTheme="minorHAnsi" w:hAnsi="Arial" w:cs="Arial"/>
          <w:bCs/>
          <w:sz w:val="26"/>
          <w:szCs w:val="26"/>
          <w:lang w:eastAsia="en-US"/>
        </w:rPr>
        <w:t xml:space="preserve"> </w:t>
      </w:r>
      <w:r w:rsidR="00C70B6C" w:rsidRPr="00C67536">
        <w:rPr>
          <w:rFonts w:ascii="Arial" w:eastAsiaTheme="minorHAnsi" w:hAnsi="Arial" w:cs="Arial"/>
          <w:bCs/>
          <w:sz w:val="26"/>
          <w:szCs w:val="26"/>
          <w:lang w:eastAsia="en-US"/>
        </w:rPr>
        <w:t>período de gracia para las personas físicas o jurídicas a las</w:t>
      </w:r>
      <w:r w:rsidR="00815893" w:rsidRPr="00C67536">
        <w:rPr>
          <w:rFonts w:ascii="Arial" w:eastAsiaTheme="minorHAnsi" w:hAnsi="Arial" w:cs="Arial"/>
          <w:bCs/>
          <w:sz w:val="26"/>
          <w:szCs w:val="26"/>
          <w:lang w:eastAsia="en-US"/>
        </w:rPr>
        <w:t xml:space="preserve"> </w:t>
      </w:r>
      <w:r w:rsidR="00C70B6C" w:rsidRPr="00C67536">
        <w:rPr>
          <w:rFonts w:ascii="Arial" w:eastAsiaTheme="minorHAnsi" w:hAnsi="Arial" w:cs="Arial"/>
          <w:bCs/>
          <w:sz w:val="26"/>
          <w:szCs w:val="26"/>
          <w:lang w:eastAsia="en-US"/>
        </w:rPr>
        <w:t>que iba dirigida la norma.</w:t>
      </w:r>
    </w:p>
    <w:p w14:paraId="33CDBB89" w14:textId="5D9880B7" w:rsidR="005839A6" w:rsidRPr="00C67536" w:rsidRDefault="00AE294B" w:rsidP="00441E60">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sz w:val="26"/>
          <w:szCs w:val="26"/>
          <w:lang w:eastAsia="en-US"/>
        </w:rPr>
      </w:pPr>
      <w:r w:rsidRPr="00C67536">
        <w:rPr>
          <w:rFonts w:ascii="Arial" w:eastAsiaTheme="minorHAnsi" w:hAnsi="Arial" w:cs="Arial"/>
          <w:bCs/>
          <w:sz w:val="26"/>
          <w:szCs w:val="26"/>
          <w:lang w:eastAsia="en-US"/>
        </w:rPr>
        <w:t>Por otra parte, declaró infundado el concepto de violación</w:t>
      </w:r>
      <w:r w:rsidR="008C7A50"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 xml:space="preserve">relativo </w:t>
      </w:r>
      <w:r w:rsidR="008838E2" w:rsidRPr="00C67536">
        <w:rPr>
          <w:rFonts w:ascii="Arial" w:eastAsiaTheme="minorHAnsi" w:hAnsi="Arial" w:cs="Arial"/>
          <w:bCs/>
          <w:sz w:val="26"/>
          <w:szCs w:val="26"/>
          <w:lang w:eastAsia="en-US"/>
        </w:rPr>
        <w:t xml:space="preserve">a la vulneración al </w:t>
      </w:r>
      <w:r w:rsidRPr="00C67536">
        <w:rPr>
          <w:rFonts w:ascii="Arial" w:eastAsiaTheme="minorHAnsi" w:hAnsi="Arial" w:cs="Arial"/>
          <w:bCs/>
          <w:sz w:val="26"/>
          <w:szCs w:val="26"/>
          <w:lang w:eastAsia="en-US"/>
        </w:rPr>
        <w:t>principio de irretroactividad previsto en el artículo 14 de la Constitución Política de</w:t>
      </w:r>
      <w:r w:rsidR="008838E2"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los Estados Unidos Mexicanos</w:t>
      </w:r>
      <w:r w:rsidR="00222840" w:rsidRPr="00C67536">
        <w:rPr>
          <w:rFonts w:ascii="Arial" w:eastAsiaTheme="minorHAnsi" w:hAnsi="Arial" w:cs="Arial"/>
          <w:bCs/>
          <w:sz w:val="26"/>
          <w:szCs w:val="26"/>
          <w:lang w:eastAsia="en-US"/>
        </w:rPr>
        <w:t>.</w:t>
      </w:r>
    </w:p>
    <w:p w14:paraId="7B2E0213" w14:textId="5EE7948C" w:rsidR="00222840" w:rsidRPr="00C67536" w:rsidRDefault="00222840" w:rsidP="00441E60">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sz w:val="26"/>
          <w:szCs w:val="26"/>
          <w:lang w:eastAsia="en-US"/>
        </w:rPr>
      </w:pPr>
      <w:r w:rsidRPr="00C67536">
        <w:rPr>
          <w:rFonts w:ascii="Arial" w:eastAsiaTheme="minorHAnsi" w:hAnsi="Arial" w:cs="Arial"/>
          <w:bCs/>
          <w:sz w:val="26"/>
          <w:szCs w:val="26"/>
          <w:lang w:eastAsia="en-US"/>
        </w:rPr>
        <w:t xml:space="preserve">Ello, porque </w:t>
      </w:r>
      <w:r w:rsidRPr="00C67536">
        <w:rPr>
          <w:rFonts w:ascii="Arial" w:eastAsiaTheme="minorHAnsi" w:hAnsi="Arial" w:cs="Arial"/>
          <w:bCs/>
          <w:color w:val="000000"/>
          <w:sz w:val="26"/>
          <w:szCs w:val="26"/>
          <w:lang w:eastAsia="en-US"/>
        </w:rPr>
        <w:t>no existía un derecho adquirido respecto de normas en materia de etiquetado de alimentos, que concediera una prerrogativa en favor de los productores o</w:t>
      </w:r>
      <w:r w:rsidR="00682D94" w:rsidRPr="00C67536">
        <w:rPr>
          <w:rFonts w:ascii="Arial" w:eastAsiaTheme="minorHAnsi" w:hAnsi="Arial" w:cs="Arial"/>
          <w:bCs/>
          <w:color w:val="000000"/>
          <w:sz w:val="26"/>
          <w:szCs w:val="26"/>
          <w:lang w:eastAsia="en-US"/>
        </w:rPr>
        <w:t xml:space="preserve"> </w:t>
      </w:r>
      <w:r w:rsidRPr="00C67536">
        <w:rPr>
          <w:rFonts w:ascii="Arial" w:eastAsiaTheme="minorHAnsi" w:hAnsi="Arial" w:cs="Arial"/>
          <w:bCs/>
          <w:color w:val="000000"/>
          <w:sz w:val="26"/>
          <w:szCs w:val="26"/>
          <w:lang w:eastAsia="en-US"/>
        </w:rPr>
        <w:t>comercializadores de los mismos, que implicara la</w:t>
      </w:r>
      <w:r w:rsidR="00682D94" w:rsidRPr="00C67536">
        <w:rPr>
          <w:rFonts w:ascii="Arial" w:eastAsiaTheme="minorHAnsi" w:hAnsi="Arial" w:cs="Arial"/>
          <w:bCs/>
          <w:color w:val="000000"/>
          <w:sz w:val="26"/>
          <w:szCs w:val="26"/>
          <w:lang w:eastAsia="en-US"/>
        </w:rPr>
        <w:t xml:space="preserve"> </w:t>
      </w:r>
      <w:r w:rsidRPr="00C67536">
        <w:rPr>
          <w:rFonts w:ascii="Arial" w:eastAsiaTheme="minorHAnsi" w:hAnsi="Arial" w:cs="Arial"/>
          <w:bCs/>
          <w:color w:val="000000"/>
          <w:sz w:val="26"/>
          <w:szCs w:val="26"/>
          <w:lang w:eastAsia="en-US"/>
        </w:rPr>
        <w:t>inmutabilidad de las reglas de etiquetado</w:t>
      </w:r>
      <w:r w:rsidR="00242BC5" w:rsidRPr="00C67536">
        <w:rPr>
          <w:rFonts w:ascii="Arial" w:eastAsiaTheme="minorHAnsi" w:hAnsi="Arial" w:cs="Arial"/>
          <w:bCs/>
          <w:color w:val="000000"/>
          <w:sz w:val="26"/>
          <w:szCs w:val="26"/>
          <w:lang w:eastAsia="en-US"/>
        </w:rPr>
        <w:t>.</w:t>
      </w:r>
    </w:p>
    <w:p w14:paraId="64B5F48D" w14:textId="2AD939A7" w:rsidR="00242BC5" w:rsidRPr="00C67536" w:rsidRDefault="00242BC5" w:rsidP="00441E60">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sz w:val="26"/>
          <w:szCs w:val="26"/>
          <w:lang w:eastAsia="en-US"/>
        </w:rPr>
      </w:pPr>
      <w:r w:rsidRPr="00C67536">
        <w:rPr>
          <w:rFonts w:ascii="Arial" w:eastAsiaTheme="minorHAnsi" w:hAnsi="Arial" w:cs="Arial"/>
          <w:bCs/>
          <w:sz w:val="26"/>
          <w:szCs w:val="26"/>
          <w:lang w:eastAsia="en-US"/>
        </w:rPr>
        <w:t>Máxime, que los artículos transitorios de la Modificación a la norma reclamada establecen una alternativa especial para evitar el desuso de envases, así como en el Acuerdo Interinstitucional entre la</w:t>
      </w:r>
      <w:r w:rsidR="009076A5"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Secretaría de Economía</w:t>
      </w:r>
      <w:r w:rsidR="009076A5" w:rsidRPr="00C67536">
        <w:rPr>
          <w:rFonts w:ascii="Arial" w:eastAsiaTheme="minorHAnsi" w:hAnsi="Arial" w:cs="Arial"/>
          <w:bCs/>
          <w:sz w:val="26"/>
          <w:szCs w:val="26"/>
          <w:lang w:eastAsia="en-US"/>
        </w:rPr>
        <w:t xml:space="preserve"> y la </w:t>
      </w:r>
      <w:r w:rsidRPr="00C67536">
        <w:rPr>
          <w:rFonts w:ascii="Arial" w:eastAsiaTheme="minorHAnsi" w:hAnsi="Arial" w:cs="Arial"/>
          <w:bCs/>
          <w:sz w:val="26"/>
          <w:szCs w:val="26"/>
          <w:lang w:eastAsia="en-US"/>
        </w:rPr>
        <w:t>Procuraduría Federal del Consumidor, en la que no se infraccionaría a los</w:t>
      </w:r>
      <w:r w:rsidR="006C4BD4"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productores, siempre y cuando cumplieran con los elementos</w:t>
      </w:r>
      <w:r w:rsidR="006C4BD4"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 xml:space="preserve">de información comercial y sanitaria, no </w:t>
      </w:r>
      <w:r w:rsidR="00D869C4" w:rsidRPr="00C67536">
        <w:rPr>
          <w:rFonts w:ascii="Arial" w:eastAsiaTheme="minorHAnsi" w:hAnsi="Arial" w:cs="Arial"/>
          <w:bCs/>
          <w:sz w:val="26"/>
          <w:szCs w:val="26"/>
          <w:lang w:eastAsia="en-US"/>
        </w:rPr>
        <w:t>obstante,</w:t>
      </w:r>
      <w:r w:rsidRPr="00C67536">
        <w:rPr>
          <w:rFonts w:ascii="Arial" w:eastAsiaTheme="minorHAnsi" w:hAnsi="Arial" w:cs="Arial"/>
          <w:bCs/>
          <w:sz w:val="26"/>
          <w:szCs w:val="26"/>
          <w:lang w:eastAsia="en-US"/>
        </w:rPr>
        <w:t xml:space="preserve"> se hubiera</w:t>
      </w:r>
      <w:r w:rsidR="006C4BD4"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realizado mediante calcomanías adheribles</w:t>
      </w:r>
      <w:r w:rsidR="002F376F" w:rsidRPr="00C67536">
        <w:rPr>
          <w:rFonts w:ascii="Arial" w:eastAsiaTheme="minorHAnsi" w:hAnsi="Arial" w:cs="Arial"/>
          <w:bCs/>
          <w:sz w:val="26"/>
          <w:szCs w:val="26"/>
          <w:lang w:eastAsia="en-US"/>
        </w:rPr>
        <w:t>.</w:t>
      </w:r>
    </w:p>
    <w:p w14:paraId="1C429B2F" w14:textId="6342AC45" w:rsidR="00F925AE" w:rsidRPr="00C67536" w:rsidRDefault="00F925AE" w:rsidP="00441E60">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sz w:val="26"/>
          <w:szCs w:val="26"/>
          <w:lang w:eastAsia="en-US"/>
        </w:rPr>
      </w:pPr>
      <w:r w:rsidRPr="00C67536">
        <w:rPr>
          <w:rFonts w:ascii="Arial" w:eastAsiaTheme="minorHAnsi" w:hAnsi="Arial" w:cs="Arial"/>
          <w:bCs/>
          <w:sz w:val="26"/>
          <w:szCs w:val="26"/>
          <w:lang w:eastAsia="en-US"/>
        </w:rPr>
        <w:t>De igual forma, calificó de infundado el concepto</w:t>
      </w:r>
      <w:r w:rsidR="006973E6"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de violación</w:t>
      </w:r>
      <w:r w:rsidR="006973E6" w:rsidRPr="00C67536">
        <w:rPr>
          <w:rFonts w:ascii="Arial" w:eastAsiaTheme="minorHAnsi" w:hAnsi="Arial" w:cs="Arial"/>
          <w:bCs/>
          <w:sz w:val="26"/>
          <w:szCs w:val="26"/>
          <w:lang w:eastAsia="en-US"/>
        </w:rPr>
        <w:t xml:space="preserve"> relativo a </w:t>
      </w:r>
      <w:r w:rsidR="00D869C4" w:rsidRPr="00C67536">
        <w:rPr>
          <w:rFonts w:ascii="Arial" w:eastAsiaTheme="minorHAnsi" w:hAnsi="Arial" w:cs="Arial"/>
          <w:bCs/>
          <w:sz w:val="26"/>
          <w:szCs w:val="26"/>
          <w:lang w:eastAsia="en-US"/>
        </w:rPr>
        <w:t>que,</w:t>
      </w:r>
      <w:r w:rsidR="006973E6" w:rsidRPr="00C67536">
        <w:rPr>
          <w:rFonts w:ascii="Arial" w:eastAsiaTheme="minorHAnsi" w:hAnsi="Arial" w:cs="Arial"/>
          <w:bCs/>
          <w:sz w:val="26"/>
          <w:szCs w:val="26"/>
          <w:lang w:eastAsia="en-US"/>
        </w:rPr>
        <w:t xml:space="preserve"> en </w:t>
      </w:r>
      <w:r w:rsidRPr="00C67536">
        <w:rPr>
          <w:rFonts w:ascii="Arial" w:eastAsiaTheme="minorHAnsi" w:hAnsi="Arial" w:cs="Arial"/>
          <w:bCs/>
          <w:sz w:val="26"/>
          <w:szCs w:val="26"/>
          <w:lang w:eastAsia="en-US"/>
        </w:rPr>
        <w:t>la emisión de la modificación a la norma combatida, no se</w:t>
      </w:r>
      <w:r w:rsidR="006973E6"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siguió con el procedimiento establecido en la Ley de</w:t>
      </w:r>
      <w:r w:rsidR="004A3AF6" w:rsidRPr="00C67536">
        <w:rPr>
          <w:rFonts w:ascii="Arial" w:eastAsiaTheme="minorHAnsi" w:hAnsi="Arial" w:cs="Arial"/>
          <w:bCs/>
          <w:sz w:val="26"/>
          <w:szCs w:val="26"/>
          <w:lang w:eastAsia="en-US"/>
        </w:rPr>
        <w:t xml:space="preserve"> </w:t>
      </w:r>
      <w:r w:rsidRPr="00C67536">
        <w:rPr>
          <w:rFonts w:ascii="Arial" w:eastAsiaTheme="minorHAnsi" w:hAnsi="Arial" w:cs="Arial"/>
          <w:bCs/>
          <w:sz w:val="26"/>
          <w:szCs w:val="26"/>
          <w:lang w:eastAsia="en-US"/>
        </w:rPr>
        <w:t>Metrología.</w:t>
      </w:r>
    </w:p>
    <w:p w14:paraId="4E640F36" w14:textId="6D90D8DE" w:rsidR="00082A1F" w:rsidRPr="00C67536" w:rsidRDefault="004A3AF6" w:rsidP="00441E60">
      <w:pPr>
        <w:pStyle w:val="ListParagraph"/>
        <w:numPr>
          <w:ilvl w:val="0"/>
          <w:numId w:val="4"/>
        </w:numPr>
        <w:tabs>
          <w:tab w:val="center" w:pos="851"/>
        </w:tabs>
        <w:autoSpaceDE w:val="0"/>
        <w:autoSpaceDN w:val="0"/>
        <w:adjustRightInd w:val="0"/>
        <w:ind w:left="567" w:firstLine="0"/>
        <w:jc w:val="both"/>
        <w:rPr>
          <w:rFonts w:ascii="Arial" w:eastAsiaTheme="minorHAnsi" w:hAnsi="Arial" w:cs="Arial"/>
          <w:bCs/>
          <w:color w:val="000000"/>
          <w:sz w:val="26"/>
          <w:szCs w:val="26"/>
          <w:lang w:eastAsia="en-US"/>
        </w:rPr>
      </w:pPr>
      <w:r w:rsidRPr="00C67536">
        <w:rPr>
          <w:rFonts w:ascii="Arial" w:eastAsiaTheme="minorHAnsi" w:hAnsi="Arial" w:cs="Arial"/>
          <w:bCs/>
          <w:sz w:val="26"/>
          <w:szCs w:val="26"/>
          <w:lang w:eastAsia="en-US"/>
        </w:rPr>
        <w:t xml:space="preserve">En efecto, argumentó que </w:t>
      </w:r>
      <w:r w:rsidR="00CF3C61" w:rsidRPr="00C67536">
        <w:rPr>
          <w:rFonts w:ascii="Arial" w:eastAsiaTheme="minorHAnsi" w:hAnsi="Arial" w:cs="Arial"/>
          <w:bCs/>
          <w:sz w:val="26"/>
          <w:szCs w:val="26"/>
          <w:lang w:eastAsia="en-US"/>
        </w:rPr>
        <w:t>de acuerdo con</w:t>
      </w:r>
      <w:r w:rsidR="001B4D80" w:rsidRPr="00C67536">
        <w:rPr>
          <w:rFonts w:ascii="Arial" w:eastAsiaTheme="minorHAnsi" w:hAnsi="Arial" w:cs="Arial"/>
          <w:bCs/>
          <w:sz w:val="26"/>
          <w:szCs w:val="26"/>
          <w:lang w:eastAsia="en-US"/>
        </w:rPr>
        <w:t xml:space="preserve"> los artículos 43, 44, 45, 46</w:t>
      </w:r>
      <w:r w:rsidR="00CF3C61" w:rsidRPr="00C67536">
        <w:rPr>
          <w:rFonts w:ascii="Arial" w:eastAsiaTheme="minorHAnsi" w:hAnsi="Arial" w:cs="Arial"/>
          <w:bCs/>
          <w:sz w:val="26"/>
          <w:szCs w:val="26"/>
          <w:lang w:eastAsia="en-US"/>
        </w:rPr>
        <w:t xml:space="preserve"> </w:t>
      </w:r>
      <w:r w:rsidR="001B4D80" w:rsidRPr="00C67536">
        <w:rPr>
          <w:rFonts w:ascii="Arial" w:eastAsiaTheme="minorHAnsi" w:hAnsi="Arial" w:cs="Arial"/>
          <w:bCs/>
          <w:sz w:val="26"/>
          <w:szCs w:val="26"/>
          <w:lang w:eastAsia="en-US"/>
        </w:rPr>
        <w:t xml:space="preserve">y 47 de la Ley Federal sobre Metrología y Normalización, </w:t>
      </w:r>
      <w:r w:rsidR="00082A1F" w:rsidRPr="00C67536">
        <w:rPr>
          <w:rFonts w:ascii="Arial" w:eastAsiaTheme="minorHAnsi" w:hAnsi="Arial" w:cs="Arial"/>
          <w:bCs/>
          <w:color w:val="000000"/>
          <w:sz w:val="26"/>
          <w:szCs w:val="26"/>
          <w:lang w:eastAsia="en-US"/>
        </w:rPr>
        <w:t>existe un procedimiento</w:t>
      </w:r>
      <w:r w:rsidR="00CF3C61"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previo para la elaboración de los anteproyectos de las</w:t>
      </w:r>
      <w:r w:rsidR="006B726B"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normas oficiales mexicanas, que no crean, modifican o</w:t>
      </w:r>
      <w:r w:rsidR="006B726B"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extinguen situaciones que afecten la esfera legal de los</w:t>
      </w:r>
      <w:r w:rsidR="00F35516"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gobernados, en razón de que los emiten los órganos que</w:t>
      </w:r>
      <w:r w:rsidR="0031264D"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participan en su elaboración preliminar, con el único fin de</w:t>
      </w:r>
      <w:r w:rsidR="0031264D"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opinar acerca del anteproyecto o bien del proyecto, siendo</w:t>
      </w:r>
      <w:r w:rsidR="0031264D"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que, lo que sí puede impactar en la esfera jurídica de los</w:t>
      </w:r>
      <w:r w:rsidR="0031264D" w:rsidRPr="00C67536">
        <w:rPr>
          <w:rFonts w:ascii="Arial" w:eastAsiaTheme="minorHAnsi" w:hAnsi="Arial" w:cs="Arial"/>
          <w:bCs/>
          <w:color w:val="000000"/>
          <w:sz w:val="26"/>
          <w:szCs w:val="26"/>
          <w:lang w:eastAsia="en-US"/>
        </w:rPr>
        <w:t xml:space="preserve"> </w:t>
      </w:r>
      <w:r w:rsidR="00082A1F" w:rsidRPr="00C67536">
        <w:rPr>
          <w:rFonts w:ascii="Arial" w:eastAsiaTheme="minorHAnsi" w:hAnsi="Arial" w:cs="Arial"/>
          <w:bCs/>
          <w:color w:val="000000"/>
          <w:sz w:val="26"/>
          <w:szCs w:val="26"/>
          <w:lang w:eastAsia="en-US"/>
        </w:rPr>
        <w:t>gobernados es, propiamente, la expedición de la Norma</w:t>
      </w:r>
      <w:r w:rsidR="0031264D" w:rsidRPr="00C67536">
        <w:rPr>
          <w:rFonts w:ascii="Arial" w:eastAsiaTheme="minorHAnsi" w:hAnsi="Arial" w:cs="Arial"/>
          <w:bCs/>
          <w:color w:val="000000"/>
          <w:sz w:val="26"/>
          <w:szCs w:val="26"/>
          <w:lang w:eastAsia="en-US"/>
        </w:rPr>
        <w:t>.</w:t>
      </w:r>
    </w:p>
    <w:p w14:paraId="32D28978" w14:textId="5A34FAEE" w:rsidR="008F69D7" w:rsidRPr="00C67536" w:rsidRDefault="00F63C16" w:rsidP="00441E60">
      <w:pPr>
        <w:pStyle w:val="ListParagraph"/>
        <w:numPr>
          <w:ilvl w:val="0"/>
          <w:numId w:val="4"/>
        </w:numPr>
        <w:tabs>
          <w:tab w:val="center" w:pos="851"/>
        </w:tabs>
        <w:autoSpaceDE w:val="0"/>
        <w:autoSpaceDN w:val="0"/>
        <w:adjustRightInd w:val="0"/>
        <w:ind w:left="567" w:firstLine="0"/>
        <w:jc w:val="both"/>
        <w:rPr>
          <w:rFonts w:ascii="Arial" w:eastAsiaTheme="minorHAnsi" w:hAnsi="Arial" w:cs="Arial"/>
          <w:color w:val="000000"/>
          <w:sz w:val="28"/>
          <w:szCs w:val="28"/>
          <w:lang w:eastAsia="en-US"/>
        </w:rPr>
      </w:pPr>
      <w:r w:rsidRPr="00C67536">
        <w:rPr>
          <w:rFonts w:ascii="Arial" w:eastAsiaTheme="minorHAnsi" w:hAnsi="Arial" w:cs="Arial"/>
          <w:bCs/>
          <w:color w:val="000000"/>
          <w:sz w:val="26"/>
          <w:szCs w:val="26"/>
          <w:lang w:eastAsia="en-US"/>
        </w:rPr>
        <w:t xml:space="preserve">Por ello, </w:t>
      </w:r>
      <w:r w:rsidR="008F69D7" w:rsidRPr="00C67536">
        <w:rPr>
          <w:rFonts w:ascii="Arial" w:eastAsiaTheme="minorHAnsi" w:hAnsi="Arial" w:cs="Arial"/>
          <w:bCs/>
          <w:color w:val="000000"/>
          <w:sz w:val="26"/>
          <w:szCs w:val="26"/>
          <w:lang w:eastAsia="en-US"/>
        </w:rPr>
        <w:t>las diversas etapas de</w:t>
      </w:r>
      <w:r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creación de los anteproyectos de las normas oficiales</w:t>
      </w:r>
      <w:r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mexicanas, como proceso interno, no tienen efectos hacia el</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exterior, es decir, no modifican o afectan la situación jurídica</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de los gobernados, por lo que, los defectos o anomalías que</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pudieran</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presentar</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no</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impacta</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en</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sus</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derechos</w:t>
      </w:r>
      <w:r w:rsidR="00BC503B" w:rsidRPr="00C67536">
        <w:rPr>
          <w:rFonts w:ascii="Arial" w:eastAsiaTheme="minorHAnsi" w:hAnsi="Arial" w:cs="Arial"/>
          <w:bCs/>
          <w:color w:val="000000"/>
          <w:sz w:val="26"/>
          <w:szCs w:val="26"/>
          <w:lang w:eastAsia="en-US"/>
        </w:rPr>
        <w:t xml:space="preserve"> </w:t>
      </w:r>
      <w:r w:rsidR="008F69D7" w:rsidRPr="00C67536">
        <w:rPr>
          <w:rFonts w:ascii="Arial" w:eastAsiaTheme="minorHAnsi" w:hAnsi="Arial" w:cs="Arial"/>
          <w:bCs/>
          <w:color w:val="000000"/>
          <w:sz w:val="26"/>
          <w:szCs w:val="26"/>
          <w:lang w:eastAsia="en-US"/>
        </w:rPr>
        <w:t>fundamentales.</w:t>
      </w:r>
    </w:p>
    <w:p w14:paraId="6DF00BDD" w14:textId="77777777" w:rsidR="00922E39" w:rsidRPr="00C67536" w:rsidRDefault="00922E39" w:rsidP="004B123D">
      <w:pPr>
        <w:pStyle w:val="corte4fondo"/>
        <w:tabs>
          <w:tab w:val="center" w:pos="4420"/>
          <w:tab w:val="left" w:pos="6975"/>
        </w:tabs>
        <w:ind w:hanging="567"/>
        <w:rPr>
          <w:rFonts w:cs="Arial"/>
          <w:b/>
          <w:color w:val="000000"/>
          <w:sz w:val="28"/>
          <w:szCs w:val="28"/>
          <w:lang w:val="es-MX"/>
        </w:rPr>
      </w:pPr>
    </w:p>
    <w:p w14:paraId="56691463" w14:textId="77777777" w:rsidR="004F373A" w:rsidRPr="00C67536" w:rsidRDefault="00A7221E" w:rsidP="00B144AE">
      <w:pPr>
        <w:pStyle w:val="corte4fondo"/>
        <w:numPr>
          <w:ilvl w:val="0"/>
          <w:numId w:val="15"/>
        </w:numPr>
        <w:tabs>
          <w:tab w:val="center" w:pos="4420"/>
          <w:tab w:val="left" w:pos="6975"/>
        </w:tabs>
        <w:ind w:left="0" w:hanging="567"/>
        <w:rPr>
          <w:rFonts w:cs="Arial"/>
          <w:b/>
          <w:color w:val="000000"/>
          <w:sz w:val="28"/>
          <w:szCs w:val="28"/>
        </w:rPr>
      </w:pPr>
      <w:r w:rsidRPr="00C67536">
        <w:rPr>
          <w:rFonts w:cs="Arial"/>
          <w:b/>
          <w:color w:val="000000"/>
          <w:sz w:val="28"/>
          <w:szCs w:val="28"/>
          <w:lang w:val="es-MX"/>
        </w:rPr>
        <w:t>Recurso de revisión</w:t>
      </w:r>
      <w:r w:rsidRPr="00C67536">
        <w:rPr>
          <w:rFonts w:cs="Arial"/>
          <w:bCs/>
          <w:color w:val="000000"/>
          <w:sz w:val="28"/>
          <w:szCs w:val="28"/>
          <w:lang w:val="es-MX"/>
        </w:rPr>
        <w:t>.</w:t>
      </w:r>
      <w:r w:rsidR="00482C57" w:rsidRPr="00C67536">
        <w:rPr>
          <w:rFonts w:cs="Arial"/>
          <w:bCs/>
          <w:color w:val="000000"/>
          <w:sz w:val="28"/>
          <w:szCs w:val="28"/>
          <w:lang w:val="es-MX"/>
        </w:rPr>
        <w:t xml:space="preserve"> </w:t>
      </w:r>
      <w:r w:rsidR="00482C57" w:rsidRPr="00C67536">
        <w:rPr>
          <w:rFonts w:cs="Arial"/>
          <w:bCs/>
          <w:color w:val="000000"/>
          <w:sz w:val="28"/>
          <w:szCs w:val="28"/>
        </w:rPr>
        <w:t xml:space="preserve">Inconforme con la anterior resolución, mediante escrito presentado el dieciséis de febrero de dos mil veintidós, la quejosa, por conducto de su apoderado legal Jorge Arturo Pérez Domínguez, </w:t>
      </w:r>
      <w:r w:rsidR="00482C57" w:rsidRPr="00C67536">
        <w:rPr>
          <w:rFonts w:cs="Arial"/>
          <w:bCs/>
          <w:color w:val="000000"/>
          <w:sz w:val="28"/>
          <w:szCs w:val="28"/>
          <w:lang w:val="es-MX"/>
        </w:rPr>
        <w:t>interpuso recurso de revisión.</w:t>
      </w:r>
    </w:p>
    <w:p w14:paraId="03100DBB" w14:textId="19EB7F86" w:rsidR="00BA53B7" w:rsidRPr="00C67536" w:rsidRDefault="00BA53B7" w:rsidP="00BA53B7">
      <w:pPr>
        <w:pStyle w:val="corte4fondo"/>
        <w:tabs>
          <w:tab w:val="center" w:pos="4420"/>
          <w:tab w:val="left" w:pos="6975"/>
        </w:tabs>
        <w:ind w:firstLine="0"/>
        <w:rPr>
          <w:rFonts w:cs="Arial"/>
          <w:b/>
          <w:color w:val="000000"/>
          <w:sz w:val="28"/>
          <w:szCs w:val="28"/>
        </w:rPr>
      </w:pPr>
    </w:p>
    <w:p w14:paraId="6E82F79A" w14:textId="04E5E85E" w:rsidR="00DD7D6F" w:rsidRPr="00C67536" w:rsidRDefault="00C17FED" w:rsidP="00B144AE">
      <w:pPr>
        <w:pStyle w:val="corte4fondo"/>
        <w:numPr>
          <w:ilvl w:val="0"/>
          <w:numId w:val="15"/>
        </w:numPr>
        <w:tabs>
          <w:tab w:val="center" w:pos="4420"/>
          <w:tab w:val="left" w:pos="6975"/>
        </w:tabs>
        <w:ind w:left="0" w:hanging="567"/>
        <w:rPr>
          <w:rFonts w:cs="Arial"/>
          <w:b/>
          <w:color w:val="000000"/>
          <w:sz w:val="28"/>
          <w:szCs w:val="28"/>
        </w:rPr>
      </w:pPr>
      <w:r w:rsidRPr="00C67536">
        <w:rPr>
          <w:rFonts w:eastAsiaTheme="minorHAnsi" w:cs="Arial"/>
          <w:sz w:val="28"/>
          <w:szCs w:val="28"/>
          <w:lang w:eastAsia="en-US"/>
        </w:rPr>
        <w:t>E</w:t>
      </w:r>
      <w:r w:rsidR="00DD7D6F" w:rsidRPr="00C67536">
        <w:rPr>
          <w:rFonts w:eastAsiaTheme="minorHAnsi" w:cs="Arial"/>
          <w:sz w:val="28"/>
          <w:szCs w:val="28"/>
          <w:lang w:eastAsia="en-US"/>
        </w:rPr>
        <w:t xml:space="preserve">l </w:t>
      </w:r>
      <w:r w:rsidR="00DD7D6F" w:rsidRPr="00C67536">
        <w:rPr>
          <w:rFonts w:eastAsiaTheme="minorHAnsi" w:cs="Arial"/>
          <w:b/>
          <w:bCs/>
          <w:sz w:val="28"/>
          <w:szCs w:val="28"/>
          <w:lang w:eastAsia="en-US"/>
        </w:rPr>
        <w:t xml:space="preserve">Noveno Tribunal Colegiado en Materia Administrativa del Primer Circuito, </w:t>
      </w:r>
      <w:r w:rsidR="00C3194C" w:rsidRPr="00C67536">
        <w:rPr>
          <w:rFonts w:eastAsiaTheme="minorHAnsi" w:cs="Arial"/>
          <w:sz w:val="28"/>
          <w:szCs w:val="28"/>
          <w:lang w:eastAsia="en-US"/>
        </w:rPr>
        <w:t>conoció del recurso, m</w:t>
      </w:r>
      <w:r w:rsidR="00DD7D6F" w:rsidRPr="00C67536">
        <w:rPr>
          <w:rFonts w:eastAsiaTheme="minorHAnsi" w:cs="Arial"/>
          <w:sz w:val="28"/>
          <w:szCs w:val="28"/>
          <w:lang w:eastAsia="en-US"/>
        </w:rPr>
        <w:t xml:space="preserve">ediante </w:t>
      </w:r>
      <w:r w:rsidR="00C3194C" w:rsidRPr="00C67536">
        <w:rPr>
          <w:rFonts w:eastAsiaTheme="minorHAnsi" w:cs="Arial"/>
          <w:sz w:val="28"/>
          <w:szCs w:val="28"/>
          <w:lang w:eastAsia="en-US"/>
        </w:rPr>
        <w:t>auto de</w:t>
      </w:r>
      <w:r w:rsidR="00DD7D6F" w:rsidRPr="00C67536">
        <w:rPr>
          <w:rFonts w:eastAsiaTheme="minorHAnsi" w:cs="Arial"/>
          <w:sz w:val="28"/>
          <w:szCs w:val="28"/>
          <w:lang w:eastAsia="en-US"/>
        </w:rPr>
        <w:t xml:space="preserve"> cuatro de abril de dos mil veintidós, lo admitió y lo registró</w:t>
      </w:r>
      <w:r w:rsidR="00DD7D6F" w:rsidRPr="00C67536">
        <w:rPr>
          <w:rFonts w:cs="Arial"/>
          <w:b/>
          <w:sz w:val="28"/>
          <w:szCs w:val="28"/>
        </w:rPr>
        <w:t xml:space="preserve"> </w:t>
      </w:r>
      <w:r w:rsidR="00DD7D6F" w:rsidRPr="00C67536">
        <w:rPr>
          <w:rFonts w:eastAsiaTheme="minorHAnsi" w:cs="Arial"/>
          <w:sz w:val="28"/>
          <w:szCs w:val="28"/>
          <w:lang w:eastAsia="en-US"/>
        </w:rPr>
        <w:t xml:space="preserve">con </w:t>
      </w:r>
      <w:proofErr w:type="gramStart"/>
      <w:r w:rsidR="00DD7D6F" w:rsidRPr="00C67536">
        <w:rPr>
          <w:rFonts w:eastAsiaTheme="minorHAnsi" w:cs="Arial"/>
          <w:sz w:val="28"/>
          <w:szCs w:val="28"/>
          <w:lang w:eastAsia="en-US"/>
        </w:rPr>
        <w:t xml:space="preserve">el </w:t>
      </w:r>
      <w:r w:rsidR="00961D97" w:rsidRPr="00C67536">
        <w:rPr>
          <w:rFonts w:eastAsiaTheme="minorHAnsi" w:cs="Arial"/>
          <w:sz w:val="28"/>
          <w:szCs w:val="28"/>
          <w:lang w:eastAsia="en-US"/>
        </w:rPr>
        <w:t>toca</w:t>
      </w:r>
      <w:proofErr w:type="gramEnd"/>
      <w:r w:rsidR="00961D97" w:rsidRPr="00C67536">
        <w:rPr>
          <w:rFonts w:eastAsiaTheme="minorHAnsi" w:cs="Arial"/>
          <w:sz w:val="28"/>
          <w:szCs w:val="28"/>
          <w:lang w:eastAsia="en-US"/>
        </w:rPr>
        <w:t xml:space="preserve"> </w:t>
      </w:r>
      <w:r w:rsidR="00DD7D6F" w:rsidRPr="00C67536">
        <w:rPr>
          <w:rFonts w:eastAsiaTheme="minorHAnsi" w:cs="Arial"/>
          <w:sz w:val="28"/>
          <w:szCs w:val="28"/>
          <w:lang w:eastAsia="en-US"/>
        </w:rPr>
        <w:t>128/2022</w:t>
      </w:r>
      <w:r w:rsidR="0019551D" w:rsidRPr="00C67536">
        <w:rPr>
          <w:rFonts w:eastAsiaTheme="minorHAnsi" w:cs="Arial"/>
          <w:sz w:val="28"/>
          <w:szCs w:val="28"/>
          <w:lang w:eastAsia="en-US"/>
        </w:rPr>
        <w:t>.</w:t>
      </w:r>
    </w:p>
    <w:p w14:paraId="57DFDA76" w14:textId="77777777" w:rsidR="0019551D" w:rsidRPr="00C67536" w:rsidRDefault="0019551D" w:rsidP="0019551D">
      <w:pPr>
        <w:pStyle w:val="ListParagraph"/>
        <w:rPr>
          <w:rFonts w:ascii="Arial" w:hAnsi="Arial" w:cs="Arial"/>
          <w:b/>
          <w:sz w:val="28"/>
          <w:szCs w:val="28"/>
        </w:rPr>
      </w:pPr>
    </w:p>
    <w:p w14:paraId="659DBEE7" w14:textId="7F10D30E" w:rsidR="003A1953" w:rsidRPr="00C67536" w:rsidRDefault="00A7221E" w:rsidP="00B144AE">
      <w:pPr>
        <w:pStyle w:val="corte4fondo"/>
        <w:numPr>
          <w:ilvl w:val="0"/>
          <w:numId w:val="15"/>
        </w:numPr>
        <w:tabs>
          <w:tab w:val="center" w:pos="4420"/>
          <w:tab w:val="left" w:pos="6975"/>
        </w:tabs>
        <w:ind w:left="0" w:hanging="567"/>
        <w:rPr>
          <w:rFonts w:cs="Arial"/>
          <w:bCs/>
          <w:sz w:val="28"/>
          <w:szCs w:val="28"/>
        </w:rPr>
      </w:pPr>
      <w:r w:rsidRPr="00C67536">
        <w:rPr>
          <w:rFonts w:cs="Arial"/>
          <w:b/>
          <w:color w:val="000000"/>
          <w:sz w:val="28"/>
          <w:szCs w:val="28"/>
          <w:lang w:val="es-MX"/>
        </w:rPr>
        <w:t>Recurso de revisión adhesiv</w:t>
      </w:r>
      <w:r w:rsidR="00943281" w:rsidRPr="00C67536">
        <w:rPr>
          <w:rFonts w:cs="Arial"/>
          <w:b/>
          <w:color w:val="000000"/>
          <w:sz w:val="28"/>
          <w:szCs w:val="28"/>
          <w:lang w:val="es-MX"/>
        </w:rPr>
        <w:t>a</w:t>
      </w:r>
      <w:r w:rsidR="005F4D79" w:rsidRPr="00C67536">
        <w:rPr>
          <w:rFonts w:cs="Arial"/>
          <w:b/>
          <w:color w:val="000000"/>
          <w:sz w:val="28"/>
          <w:szCs w:val="28"/>
          <w:lang w:val="es-MX"/>
        </w:rPr>
        <w:t xml:space="preserve">. </w:t>
      </w:r>
      <w:r w:rsidR="005F4D79" w:rsidRPr="00C67536">
        <w:rPr>
          <w:rFonts w:cs="Arial"/>
          <w:bCs/>
          <w:color w:val="000000"/>
          <w:sz w:val="28"/>
          <w:szCs w:val="28"/>
        </w:rPr>
        <w:t xml:space="preserve">Mediante auto de diecinueve de abril de dos mil veintidós, </w:t>
      </w:r>
      <w:r w:rsidR="00417C46" w:rsidRPr="00C67536">
        <w:rPr>
          <w:rFonts w:cs="Arial"/>
          <w:bCs/>
          <w:color w:val="000000"/>
          <w:sz w:val="28"/>
          <w:szCs w:val="28"/>
        </w:rPr>
        <w:t xml:space="preserve">se </w:t>
      </w:r>
      <w:r w:rsidR="005F4D79" w:rsidRPr="00C67536">
        <w:rPr>
          <w:rFonts w:cs="Arial"/>
          <w:bCs/>
          <w:color w:val="000000"/>
          <w:sz w:val="28"/>
          <w:szCs w:val="28"/>
        </w:rPr>
        <w:t xml:space="preserve">tuvo por </w:t>
      </w:r>
      <w:r w:rsidR="0050308C" w:rsidRPr="00C67536">
        <w:rPr>
          <w:rFonts w:cs="Arial"/>
          <w:bCs/>
          <w:color w:val="000000"/>
          <w:sz w:val="28"/>
          <w:szCs w:val="28"/>
          <w:lang w:val="es-MX"/>
        </w:rPr>
        <w:t xml:space="preserve">presentado </w:t>
      </w:r>
      <w:r w:rsidR="005F4D79" w:rsidRPr="00C67536">
        <w:rPr>
          <w:rFonts w:cs="Arial"/>
          <w:bCs/>
          <w:color w:val="000000"/>
          <w:sz w:val="28"/>
          <w:szCs w:val="28"/>
        </w:rPr>
        <w:t xml:space="preserve">el recurso de revisión adhesiva </w:t>
      </w:r>
      <w:r w:rsidR="00417C46" w:rsidRPr="00C67536">
        <w:rPr>
          <w:rFonts w:cs="Arial"/>
          <w:bCs/>
          <w:color w:val="000000"/>
          <w:sz w:val="28"/>
          <w:szCs w:val="28"/>
        </w:rPr>
        <w:t>interpuesto por el</w:t>
      </w:r>
      <w:r w:rsidR="005F4D79" w:rsidRPr="00C67536">
        <w:rPr>
          <w:rFonts w:cs="Arial"/>
          <w:bCs/>
          <w:color w:val="000000"/>
          <w:sz w:val="28"/>
          <w:szCs w:val="28"/>
        </w:rPr>
        <w:t xml:space="preserve"> </w:t>
      </w:r>
      <w:r w:rsidR="00417C46" w:rsidRPr="00C67536">
        <w:rPr>
          <w:rFonts w:cs="Arial"/>
          <w:bCs/>
          <w:color w:val="000000"/>
          <w:sz w:val="28"/>
          <w:szCs w:val="28"/>
        </w:rPr>
        <w:t xml:space="preserve">Director General </w:t>
      </w:r>
      <w:r w:rsidR="005F4D79" w:rsidRPr="00C67536">
        <w:rPr>
          <w:rFonts w:cs="Arial"/>
          <w:bCs/>
          <w:color w:val="000000"/>
          <w:sz w:val="28"/>
          <w:szCs w:val="28"/>
        </w:rPr>
        <w:t xml:space="preserve">de Normas, por sí y en su carácter de </w:t>
      </w:r>
      <w:proofErr w:type="gramStart"/>
      <w:r w:rsidR="00417C46" w:rsidRPr="00C67536">
        <w:rPr>
          <w:rFonts w:cs="Arial"/>
          <w:bCs/>
          <w:color w:val="000000"/>
          <w:sz w:val="28"/>
          <w:szCs w:val="28"/>
        </w:rPr>
        <w:t>Presidente</w:t>
      </w:r>
      <w:proofErr w:type="gramEnd"/>
      <w:r w:rsidR="00417C46" w:rsidRPr="00C67536">
        <w:rPr>
          <w:rFonts w:cs="Arial"/>
          <w:bCs/>
          <w:color w:val="000000"/>
          <w:sz w:val="28"/>
          <w:szCs w:val="28"/>
        </w:rPr>
        <w:t xml:space="preserve"> </w:t>
      </w:r>
      <w:r w:rsidR="005F4D79" w:rsidRPr="00C67536">
        <w:rPr>
          <w:rFonts w:cs="Arial"/>
          <w:bCs/>
          <w:color w:val="000000"/>
          <w:sz w:val="28"/>
          <w:szCs w:val="28"/>
        </w:rPr>
        <w:t xml:space="preserve">del </w:t>
      </w:r>
      <w:r w:rsidR="008B028F" w:rsidRPr="00C67536">
        <w:rPr>
          <w:rFonts w:cs="Arial"/>
          <w:bCs/>
          <w:color w:val="000000"/>
          <w:sz w:val="28"/>
          <w:szCs w:val="28"/>
        </w:rPr>
        <w:t xml:space="preserve">Comité </w:t>
      </w:r>
      <w:r w:rsidR="005F4D79" w:rsidRPr="00C67536">
        <w:rPr>
          <w:rFonts w:cs="Arial"/>
          <w:bCs/>
          <w:color w:val="000000"/>
          <w:sz w:val="28"/>
          <w:szCs w:val="28"/>
        </w:rPr>
        <w:t xml:space="preserve">Consultivo Nacional de Normalización de la Secretaría de Economía, a través de la </w:t>
      </w:r>
      <w:r w:rsidR="008B028F" w:rsidRPr="00C67536">
        <w:rPr>
          <w:rFonts w:cs="Arial"/>
          <w:bCs/>
          <w:color w:val="000000"/>
          <w:sz w:val="28"/>
          <w:szCs w:val="28"/>
        </w:rPr>
        <w:t xml:space="preserve">Directora </w:t>
      </w:r>
      <w:r w:rsidR="005F4D79" w:rsidRPr="00C67536">
        <w:rPr>
          <w:rFonts w:cs="Arial"/>
          <w:bCs/>
          <w:color w:val="000000"/>
          <w:sz w:val="28"/>
          <w:szCs w:val="28"/>
        </w:rPr>
        <w:t>de Cámaras Empresariales y Desarrollo Regional</w:t>
      </w:r>
      <w:r w:rsidR="0012086A" w:rsidRPr="00C67536">
        <w:rPr>
          <w:rFonts w:cs="Arial"/>
          <w:bCs/>
          <w:color w:val="000000"/>
          <w:sz w:val="28"/>
          <w:szCs w:val="28"/>
        </w:rPr>
        <w:t>, quienes en esencia sostuvieron lo siguiente:</w:t>
      </w:r>
    </w:p>
    <w:p w14:paraId="73DB139F" w14:textId="53289418" w:rsidR="007154F3" w:rsidRPr="00C67536" w:rsidRDefault="007154F3" w:rsidP="00852F2D">
      <w:pPr>
        <w:pStyle w:val="corte4fondo"/>
        <w:tabs>
          <w:tab w:val="center" w:pos="4420"/>
          <w:tab w:val="left" w:pos="6975"/>
        </w:tabs>
        <w:spacing w:line="240" w:lineRule="auto"/>
        <w:ind w:firstLine="0"/>
        <w:rPr>
          <w:rFonts w:cs="Arial"/>
          <w:bCs/>
          <w:sz w:val="28"/>
          <w:szCs w:val="28"/>
        </w:rPr>
      </w:pPr>
    </w:p>
    <w:p w14:paraId="7AEA9D07" w14:textId="66E564BF" w:rsidR="006950E4" w:rsidRPr="00C67536" w:rsidRDefault="00BA5C46" w:rsidP="00B144AE">
      <w:pPr>
        <w:pStyle w:val="corte4fondo"/>
        <w:numPr>
          <w:ilvl w:val="0"/>
          <w:numId w:val="5"/>
        </w:numPr>
        <w:tabs>
          <w:tab w:val="center" w:pos="709"/>
          <w:tab w:val="left" w:pos="6975"/>
        </w:tabs>
        <w:spacing w:line="240" w:lineRule="auto"/>
        <w:ind w:left="567" w:firstLine="0"/>
        <w:rPr>
          <w:rFonts w:cs="Arial"/>
          <w:bCs/>
          <w:sz w:val="26"/>
          <w:szCs w:val="26"/>
        </w:rPr>
      </w:pPr>
      <w:r w:rsidRPr="00C67536">
        <w:rPr>
          <w:rFonts w:cs="Arial"/>
          <w:bCs/>
          <w:sz w:val="26"/>
          <w:szCs w:val="26"/>
          <w:lang w:val="es-MX"/>
        </w:rPr>
        <w:t>E</w:t>
      </w:r>
      <w:r w:rsidR="00D7410C" w:rsidRPr="00C67536">
        <w:rPr>
          <w:rFonts w:cs="Arial"/>
          <w:bCs/>
          <w:sz w:val="26"/>
          <w:szCs w:val="26"/>
          <w:lang w:val="es-MX"/>
        </w:rPr>
        <w:t>s procedente confirmar la sentencia porque el A quo interpretó de manera correcta el principio de reserva de ley</w:t>
      </w:r>
      <w:r w:rsidR="00F374D7" w:rsidRPr="00C67536">
        <w:rPr>
          <w:rFonts w:cs="Arial"/>
          <w:bCs/>
          <w:sz w:val="26"/>
          <w:szCs w:val="26"/>
          <w:lang w:val="es-MX"/>
        </w:rPr>
        <w:t xml:space="preserve">, puesto que los actos reclamados </w:t>
      </w:r>
      <w:r w:rsidR="007154F3" w:rsidRPr="00C67536">
        <w:rPr>
          <w:rFonts w:eastAsiaTheme="minorHAnsi" w:cs="Arial"/>
          <w:sz w:val="26"/>
          <w:szCs w:val="26"/>
          <w:lang w:eastAsia="en-US"/>
        </w:rPr>
        <w:t>tuv</w:t>
      </w:r>
      <w:r w:rsidR="00F374D7" w:rsidRPr="00C67536">
        <w:rPr>
          <w:rFonts w:eastAsiaTheme="minorHAnsi" w:cs="Arial"/>
          <w:sz w:val="26"/>
          <w:szCs w:val="26"/>
          <w:lang w:eastAsia="en-US"/>
        </w:rPr>
        <w:t>ieron</w:t>
      </w:r>
      <w:r w:rsidR="007154F3" w:rsidRPr="00C67536">
        <w:rPr>
          <w:rFonts w:eastAsiaTheme="minorHAnsi" w:cs="Arial"/>
          <w:sz w:val="26"/>
          <w:szCs w:val="26"/>
          <w:lang w:eastAsia="en-US"/>
        </w:rPr>
        <w:t xml:space="preserve"> como objeto la prevención en el consumo de productos que excedan los límites máximos de contenido energético, azúcares</w:t>
      </w:r>
      <w:r w:rsidR="007154F3" w:rsidRPr="00C67536">
        <w:rPr>
          <w:rFonts w:cs="Arial"/>
          <w:bCs/>
          <w:sz w:val="26"/>
          <w:szCs w:val="26"/>
        </w:rPr>
        <w:t xml:space="preserve"> </w:t>
      </w:r>
      <w:r w:rsidR="007154F3" w:rsidRPr="00C67536">
        <w:rPr>
          <w:rFonts w:eastAsiaTheme="minorHAnsi" w:cs="Arial"/>
          <w:sz w:val="26"/>
          <w:szCs w:val="26"/>
          <w:lang w:eastAsia="en-US"/>
        </w:rPr>
        <w:t>añadidos, grasas saturadas, sodio y los demás nutrimentos críticos.</w:t>
      </w:r>
    </w:p>
    <w:p w14:paraId="2B52F505" w14:textId="12BD828E" w:rsidR="006950E4" w:rsidRPr="00C67536" w:rsidRDefault="003E1711" w:rsidP="00B144AE">
      <w:pPr>
        <w:pStyle w:val="corte4fondo"/>
        <w:numPr>
          <w:ilvl w:val="0"/>
          <w:numId w:val="5"/>
        </w:numPr>
        <w:tabs>
          <w:tab w:val="center" w:pos="709"/>
          <w:tab w:val="left" w:pos="6975"/>
        </w:tabs>
        <w:spacing w:line="240" w:lineRule="auto"/>
        <w:ind w:left="567" w:firstLine="0"/>
        <w:rPr>
          <w:rFonts w:eastAsiaTheme="minorHAnsi" w:cs="Arial"/>
          <w:sz w:val="28"/>
          <w:szCs w:val="28"/>
          <w:lang w:eastAsia="en-US"/>
        </w:rPr>
      </w:pPr>
      <w:r w:rsidRPr="00C67536">
        <w:rPr>
          <w:rFonts w:eastAsiaTheme="minorHAnsi" w:cs="Arial"/>
          <w:sz w:val="26"/>
          <w:szCs w:val="26"/>
          <w:lang w:eastAsia="en-US"/>
        </w:rPr>
        <w:t>E</w:t>
      </w:r>
      <w:r w:rsidR="006950E4" w:rsidRPr="00C67536">
        <w:rPr>
          <w:rFonts w:eastAsiaTheme="minorHAnsi" w:cs="Arial"/>
          <w:sz w:val="26"/>
          <w:szCs w:val="26"/>
          <w:lang w:eastAsia="en-US"/>
        </w:rPr>
        <w:t>l Decreto por el que se reforman y adicionan diversas disposiciones de la Ley General de Salud, en materia de sobrepeso, obesidad y etiquetado de alimentos y bebidas no alcohólicas que establece un sistema frontal de advertencia, no tuvo únicamente como objetivo el establecimiento de un sistema de etiquetado con información comercial y sanitaria clara y veraz, sino también la protección al derecho a la salud de los mexicanos en concordancia con lo dispuesto por el artículo 4º de la Constitución Política de los Estados Unidos Mexicanos.</w:t>
      </w:r>
    </w:p>
    <w:p w14:paraId="76CE2067" w14:textId="77777777" w:rsidR="006950E4" w:rsidRPr="00C67536" w:rsidRDefault="006950E4" w:rsidP="006950E4">
      <w:pPr>
        <w:pStyle w:val="corte4fondo"/>
        <w:tabs>
          <w:tab w:val="center" w:pos="4420"/>
          <w:tab w:val="left" w:pos="6975"/>
        </w:tabs>
        <w:spacing w:line="240" w:lineRule="auto"/>
        <w:ind w:left="720" w:firstLine="0"/>
        <w:rPr>
          <w:rFonts w:eastAsiaTheme="minorHAnsi" w:cs="Arial"/>
          <w:sz w:val="28"/>
          <w:szCs w:val="28"/>
          <w:lang w:eastAsia="en-US"/>
        </w:rPr>
      </w:pPr>
    </w:p>
    <w:p w14:paraId="4D65AC05" w14:textId="501ED47C" w:rsidR="00E94C64" w:rsidRPr="00C67536" w:rsidRDefault="006950E4" w:rsidP="00B144AE">
      <w:pPr>
        <w:pStyle w:val="corte4fondo"/>
        <w:numPr>
          <w:ilvl w:val="0"/>
          <w:numId w:val="15"/>
        </w:numPr>
        <w:tabs>
          <w:tab w:val="center" w:pos="4420"/>
          <w:tab w:val="left" w:pos="6975"/>
        </w:tabs>
        <w:ind w:left="0" w:hanging="567"/>
        <w:rPr>
          <w:rFonts w:cs="Arial"/>
          <w:i/>
          <w:iCs/>
          <w:sz w:val="28"/>
          <w:szCs w:val="28"/>
          <w:lang w:val="es-MX"/>
        </w:rPr>
      </w:pPr>
      <w:r w:rsidRPr="00C67536">
        <w:rPr>
          <w:rFonts w:cs="Arial"/>
          <w:b/>
          <w:sz w:val="28"/>
          <w:szCs w:val="28"/>
          <w:lang w:val="es-MX"/>
        </w:rPr>
        <w:t>Sentencia</w:t>
      </w:r>
      <w:r w:rsidR="008E08BB" w:rsidRPr="00C67536">
        <w:rPr>
          <w:rFonts w:cs="Arial"/>
          <w:bCs/>
          <w:sz w:val="28"/>
          <w:szCs w:val="28"/>
          <w:lang w:val="es-MX"/>
        </w:rPr>
        <w:t>. E</w:t>
      </w:r>
      <w:r w:rsidR="00E7372B" w:rsidRPr="00C67536">
        <w:rPr>
          <w:rFonts w:cs="Arial"/>
          <w:bCs/>
          <w:sz w:val="28"/>
          <w:szCs w:val="28"/>
          <w:lang w:val="es-MX"/>
        </w:rPr>
        <w:t>n sesión de</w:t>
      </w:r>
      <w:r w:rsidR="008E08BB" w:rsidRPr="00C67536">
        <w:rPr>
          <w:rFonts w:cs="Arial"/>
          <w:bCs/>
          <w:sz w:val="28"/>
          <w:szCs w:val="28"/>
          <w:lang w:val="es-MX"/>
        </w:rPr>
        <w:t xml:space="preserve"> veintitrés de junio de dos mil veintidós, el </w:t>
      </w:r>
      <w:r w:rsidR="00487905" w:rsidRPr="00C67536">
        <w:rPr>
          <w:rFonts w:cs="Arial"/>
          <w:sz w:val="28"/>
          <w:szCs w:val="28"/>
        </w:rPr>
        <w:t xml:space="preserve">Noveno Tribunal </w:t>
      </w:r>
      <w:r w:rsidR="00487905" w:rsidRPr="00C67536">
        <w:rPr>
          <w:rFonts w:cs="Arial"/>
          <w:sz w:val="28"/>
          <w:szCs w:val="28"/>
          <w:lang w:val="es-MX"/>
        </w:rPr>
        <w:t>Colegiado en Materia Administrativa del Primer Circuito</w:t>
      </w:r>
      <w:r w:rsidR="00251C96" w:rsidRPr="00C67536">
        <w:rPr>
          <w:rFonts w:cs="Arial"/>
          <w:sz w:val="28"/>
          <w:szCs w:val="28"/>
          <w:lang w:val="es-MX"/>
        </w:rPr>
        <w:t xml:space="preserve"> dict</w:t>
      </w:r>
      <w:r w:rsidR="00E7372B" w:rsidRPr="00C67536">
        <w:rPr>
          <w:rFonts w:cs="Arial"/>
          <w:sz w:val="28"/>
          <w:szCs w:val="28"/>
          <w:lang w:val="es-MX"/>
        </w:rPr>
        <w:t>ó</w:t>
      </w:r>
      <w:r w:rsidR="00251C96" w:rsidRPr="00C67536">
        <w:rPr>
          <w:rFonts w:cs="Arial"/>
          <w:sz w:val="28"/>
          <w:szCs w:val="28"/>
          <w:lang w:val="es-MX"/>
        </w:rPr>
        <w:t xml:space="preserve"> sentencia en </w:t>
      </w:r>
      <w:r w:rsidR="00E7372B" w:rsidRPr="00C67536">
        <w:rPr>
          <w:rFonts w:cs="Arial"/>
          <w:sz w:val="28"/>
          <w:szCs w:val="28"/>
          <w:lang w:val="es-MX"/>
        </w:rPr>
        <w:t>l</w:t>
      </w:r>
      <w:r w:rsidR="004E74B6" w:rsidRPr="00C67536">
        <w:rPr>
          <w:rFonts w:cs="Arial"/>
          <w:sz w:val="28"/>
          <w:szCs w:val="28"/>
          <w:lang w:val="es-MX"/>
        </w:rPr>
        <w:t>a que resolv</w:t>
      </w:r>
      <w:r w:rsidR="009F19B9" w:rsidRPr="00C67536">
        <w:rPr>
          <w:rFonts w:cs="Arial"/>
          <w:sz w:val="28"/>
          <w:szCs w:val="28"/>
          <w:lang w:val="es-MX"/>
        </w:rPr>
        <w:t>ió sobreseer en el juicio de amparo</w:t>
      </w:r>
      <w:r w:rsidR="00A474BE" w:rsidRPr="00C67536">
        <w:rPr>
          <w:rFonts w:cs="Arial"/>
          <w:sz w:val="28"/>
          <w:szCs w:val="28"/>
          <w:lang w:val="es-MX"/>
        </w:rPr>
        <w:t xml:space="preserve"> por</w:t>
      </w:r>
      <w:r w:rsidR="007C35F4" w:rsidRPr="00C67536">
        <w:rPr>
          <w:rFonts w:cs="Arial"/>
          <w:sz w:val="28"/>
          <w:szCs w:val="28"/>
          <w:lang w:val="es-MX"/>
        </w:rPr>
        <w:t xml:space="preserve"> </w:t>
      </w:r>
      <w:r w:rsidR="00B24100" w:rsidRPr="00C67536">
        <w:rPr>
          <w:rFonts w:cs="Arial"/>
          <w:sz w:val="28"/>
          <w:szCs w:val="28"/>
          <w:lang w:val="es-MX"/>
        </w:rPr>
        <w:t xml:space="preserve">los </w:t>
      </w:r>
      <w:r w:rsidR="007C35F4" w:rsidRPr="00C67536">
        <w:rPr>
          <w:rFonts w:cs="Arial"/>
          <w:sz w:val="28"/>
          <w:szCs w:val="28"/>
          <w:lang w:val="es-MX"/>
        </w:rPr>
        <w:t>actos reclamados a</w:t>
      </w:r>
      <w:r w:rsidR="00A474BE" w:rsidRPr="00C67536">
        <w:rPr>
          <w:rFonts w:cs="Arial"/>
          <w:sz w:val="28"/>
          <w:szCs w:val="28"/>
          <w:lang w:val="es-MX"/>
        </w:rPr>
        <w:t xml:space="preserve">l Director General </w:t>
      </w:r>
      <w:r w:rsidR="001C16DE" w:rsidRPr="00C67536">
        <w:rPr>
          <w:rFonts w:cs="Arial"/>
          <w:sz w:val="28"/>
          <w:szCs w:val="28"/>
          <w:lang w:val="es-MX"/>
        </w:rPr>
        <w:t>de Normas de la Secretaría de Economía y al Comisionado Federal para la Protección contra Riesgos Sanitarios</w:t>
      </w:r>
      <w:r w:rsidR="007C35F4" w:rsidRPr="00C67536">
        <w:rPr>
          <w:rFonts w:cs="Arial"/>
          <w:sz w:val="28"/>
          <w:szCs w:val="28"/>
          <w:lang w:val="es-MX"/>
        </w:rPr>
        <w:t>.</w:t>
      </w:r>
    </w:p>
    <w:p w14:paraId="050C1E2C" w14:textId="77777777" w:rsidR="007C35F4" w:rsidRPr="00C67536" w:rsidRDefault="007C35F4" w:rsidP="00E83479">
      <w:pPr>
        <w:pStyle w:val="corte4fondo"/>
        <w:tabs>
          <w:tab w:val="center" w:pos="4420"/>
          <w:tab w:val="left" w:pos="6975"/>
        </w:tabs>
        <w:spacing w:line="240" w:lineRule="auto"/>
        <w:ind w:firstLine="0"/>
        <w:rPr>
          <w:rFonts w:cs="Arial"/>
          <w:i/>
          <w:iCs/>
          <w:sz w:val="28"/>
          <w:szCs w:val="28"/>
          <w:lang w:val="es-MX"/>
        </w:rPr>
      </w:pPr>
    </w:p>
    <w:p w14:paraId="04B85049" w14:textId="5D4DD1BD" w:rsidR="002C722A" w:rsidRPr="00C67536" w:rsidRDefault="00E94C64" w:rsidP="00B144AE">
      <w:pPr>
        <w:pStyle w:val="corte4fondo"/>
        <w:numPr>
          <w:ilvl w:val="0"/>
          <w:numId w:val="15"/>
        </w:numPr>
        <w:tabs>
          <w:tab w:val="center" w:pos="4420"/>
          <w:tab w:val="left" w:pos="6975"/>
        </w:tabs>
        <w:ind w:left="0" w:hanging="567"/>
        <w:rPr>
          <w:rFonts w:cs="Arial"/>
          <w:i/>
          <w:iCs/>
          <w:sz w:val="28"/>
          <w:szCs w:val="28"/>
          <w:lang w:val="es-MX"/>
        </w:rPr>
      </w:pPr>
      <w:r w:rsidRPr="00C67536">
        <w:rPr>
          <w:rFonts w:cs="Arial"/>
          <w:sz w:val="28"/>
          <w:szCs w:val="28"/>
          <w:lang w:val="es-MX"/>
        </w:rPr>
        <w:t>A</w:t>
      </w:r>
      <w:r w:rsidR="00A474BE" w:rsidRPr="00C67536">
        <w:rPr>
          <w:rFonts w:cs="Arial"/>
          <w:sz w:val="28"/>
          <w:szCs w:val="28"/>
          <w:lang w:val="es-MX"/>
        </w:rPr>
        <w:t>simismo, ordenó</w:t>
      </w:r>
      <w:r w:rsidR="005E404E" w:rsidRPr="00C67536">
        <w:rPr>
          <w:rFonts w:cs="Arial"/>
          <w:sz w:val="28"/>
          <w:szCs w:val="28"/>
        </w:rPr>
        <w:t xml:space="preserve"> la remisión de los autos para que este Máximo Tribunal, </w:t>
      </w:r>
      <w:r w:rsidR="00867A38" w:rsidRPr="00C67536">
        <w:rPr>
          <w:rFonts w:cs="Arial"/>
          <w:sz w:val="28"/>
          <w:szCs w:val="28"/>
        </w:rPr>
        <w:t>en razón de la competencia originaria, resolviera sobre la constitucionalidad</w:t>
      </w:r>
      <w:r w:rsidR="00A75807" w:rsidRPr="00C67536">
        <w:rPr>
          <w:rFonts w:cs="Arial"/>
          <w:sz w:val="28"/>
          <w:szCs w:val="28"/>
        </w:rPr>
        <w:t>,</w:t>
      </w:r>
      <w:r w:rsidR="00867A38" w:rsidRPr="00C67536">
        <w:rPr>
          <w:rFonts w:cs="Arial"/>
          <w:sz w:val="28"/>
          <w:szCs w:val="28"/>
        </w:rPr>
        <w:t xml:space="preserve"> con relación a la</w:t>
      </w:r>
      <w:r w:rsidR="00A75807" w:rsidRPr="00C67536">
        <w:rPr>
          <w:rFonts w:cs="Arial"/>
          <w:sz w:val="28"/>
          <w:szCs w:val="28"/>
        </w:rPr>
        <w:t xml:space="preserve"> </w:t>
      </w:r>
      <w:r w:rsidR="00A75807" w:rsidRPr="00C67536">
        <w:rPr>
          <w:rFonts w:cs="Arial"/>
          <w:b/>
          <w:bCs/>
          <w:sz w:val="28"/>
          <w:szCs w:val="28"/>
        </w:rPr>
        <w:t>Modificación a la Norma Oficial Mexicana NOM-051-SCFI/SSA1-2010</w:t>
      </w:r>
      <w:r w:rsidR="00A75807" w:rsidRPr="00C67536">
        <w:rPr>
          <w:rFonts w:cs="Arial"/>
          <w:sz w:val="28"/>
          <w:szCs w:val="28"/>
        </w:rPr>
        <w:t>, publicada el</w:t>
      </w:r>
      <w:r w:rsidR="008F53DE" w:rsidRPr="00C67536">
        <w:rPr>
          <w:rFonts w:cs="Arial"/>
          <w:sz w:val="28"/>
          <w:szCs w:val="28"/>
        </w:rPr>
        <w:t xml:space="preserve"> </w:t>
      </w:r>
      <w:r w:rsidR="00A75807" w:rsidRPr="00C67536">
        <w:rPr>
          <w:rFonts w:cs="Arial"/>
          <w:sz w:val="28"/>
          <w:szCs w:val="28"/>
        </w:rPr>
        <w:t xml:space="preserve">veintisiete de marzo de dos mil veinte, específicamente por lo que hace a los numerales </w:t>
      </w:r>
      <w:r w:rsidR="00A75807" w:rsidRPr="00C67536">
        <w:rPr>
          <w:rFonts w:cs="Arial"/>
          <w:b/>
          <w:bCs/>
          <w:sz w:val="28"/>
          <w:szCs w:val="28"/>
        </w:rPr>
        <w:t>1, 4.5.3.4 al 4.5.3.4.7 y 7.1.3, y el apéndice A (normativo)</w:t>
      </w:r>
      <w:r w:rsidR="00A75807" w:rsidRPr="00C67536">
        <w:rPr>
          <w:rFonts w:cs="Arial"/>
          <w:sz w:val="28"/>
          <w:szCs w:val="28"/>
        </w:rPr>
        <w:t>, así como de la Nota Aclaratoria que emiten la Secretaría de Economía y la Secretaría de Salud a través de la Comisión Federal para la Protección contra Riesgos Sanitarios a la Modificación a la Norma Oficial Mexicana NOM-051-SCFI/SSA1-2010, Especificaciones generales de etiquetado para alimentos y bebidas no alcohólicas preenvasados-Información</w:t>
      </w:r>
      <w:r w:rsidR="003137FB" w:rsidRPr="00C67536">
        <w:rPr>
          <w:rFonts w:cs="Arial"/>
          <w:sz w:val="28"/>
          <w:szCs w:val="28"/>
        </w:rPr>
        <w:t xml:space="preserve"> </w:t>
      </w:r>
      <w:r w:rsidR="00A75807" w:rsidRPr="00C67536">
        <w:rPr>
          <w:rFonts w:cs="Arial"/>
          <w:sz w:val="28"/>
          <w:szCs w:val="28"/>
        </w:rPr>
        <w:t>comercial y sanitaria, publicada el veintisiete de marzo de dos mil</w:t>
      </w:r>
      <w:r w:rsidR="003137FB" w:rsidRPr="00C67536">
        <w:rPr>
          <w:rFonts w:cs="Arial"/>
          <w:sz w:val="28"/>
          <w:szCs w:val="28"/>
        </w:rPr>
        <w:t xml:space="preserve"> </w:t>
      </w:r>
      <w:r w:rsidR="00A75807" w:rsidRPr="00C67536">
        <w:rPr>
          <w:rFonts w:cs="Arial"/>
          <w:sz w:val="28"/>
          <w:szCs w:val="28"/>
        </w:rPr>
        <w:t>veinte, al controvertirse como un sistema normativo, el etiquetado</w:t>
      </w:r>
      <w:r w:rsidR="003137FB" w:rsidRPr="00C67536">
        <w:rPr>
          <w:rFonts w:cs="Arial"/>
          <w:sz w:val="28"/>
          <w:szCs w:val="28"/>
        </w:rPr>
        <w:t xml:space="preserve"> </w:t>
      </w:r>
      <w:r w:rsidR="00A75807" w:rsidRPr="00C67536">
        <w:rPr>
          <w:rFonts w:cs="Arial"/>
          <w:sz w:val="28"/>
          <w:szCs w:val="28"/>
        </w:rPr>
        <w:t xml:space="preserve">frontal para alimentos y bebidas no </w:t>
      </w:r>
      <w:proofErr w:type="spellStart"/>
      <w:r w:rsidR="00A75807" w:rsidRPr="00C67536">
        <w:rPr>
          <w:rFonts w:cs="Arial"/>
          <w:sz w:val="28"/>
          <w:szCs w:val="28"/>
        </w:rPr>
        <w:t>alcoh</w:t>
      </w:r>
      <w:r w:rsidR="00AC0427" w:rsidRPr="00C67536">
        <w:rPr>
          <w:rFonts w:cs="Arial"/>
          <w:sz w:val="28"/>
          <w:szCs w:val="28"/>
        </w:rPr>
        <w:t>g</w:t>
      </w:r>
      <w:r w:rsidR="00A75807" w:rsidRPr="00C67536">
        <w:rPr>
          <w:rFonts w:cs="Arial"/>
          <w:sz w:val="28"/>
          <w:szCs w:val="28"/>
        </w:rPr>
        <w:t>ólicas</w:t>
      </w:r>
      <w:proofErr w:type="spellEnd"/>
      <w:r w:rsidR="00A75807" w:rsidRPr="00C67536">
        <w:rPr>
          <w:rFonts w:cs="Arial"/>
          <w:sz w:val="28"/>
          <w:szCs w:val="28"/>
        </w:rPr>
        <w:t xml:space="preserve"> preenvasados</w:t>
      </w:r>
      <w:r w:rsidR="009B2131" w:rsidRPr="00C67536">
        <w:rPr>
          <w:rFonts w:cs="Arial"/>
          <w:sz w:val="28"/>
          <w:szCs w:val="28"/>
        </w:rPr>
        <w:t>. Lo anterior, por las consideraciones siguientes:</w:t>
      </w:r>
    </w:p>
    <w:p w14:paraId="30006F7D" w14:textId="77777777" w:rsidR="009A1043" w:rsidRPr="00C67536" w:rsidRDefault="009A1043" w:rsidP="00852F2D">
      <w:pPr>
        <w:pStyle w:val="corte4fondo"/>
        <w:tabs>
          <w:tab w:val="center" w:pos="4420"/>
          <w:tab w:val="left" w:pos="6975"/>
        </w:tabs>
        <w:spacing w:line="240" w:lineRule="auto"/>
        <w:ind w:firstLine="0"/>
        <w:rPr>
          <w:rFonts w:cs="Arial"/>
          <w:i/>
          <w:iCs/>
          <w:sz w:val="28"/>
          <w:szCs w:val="28"/>
          <w:lang w:val="es-MX"/>
        </w:rPr>
      </w:pPr>
    </w:p>
    <w:p w14:paraId="3BD5621A" w14:textId="77777777" w:rsidR="00E94C64" w:rsidRPr="00C67536" w:rsidRDefault="00E94C64" w:rsidP="00B144AE">
      <w:pPr>
        <w:pStyle w:val="corte4fondo"/>
        <w:numPr>
          <w:ilvl w:val="0"/>
          <w:numId w:val="7"/>
        </w:numPr>
        <w:tabs>
          <w:tab w:val="center" w:pos="851"/>
          <w:tab w:val="left" w:pos="6975"/>
        </w:tabs>
        <w:spacing w:line="240" w:lineRule="auto"/>
        <w:ind w:left="567" w:firstLine="0"/>
        <w:rPr>
          <w:rFonts w:cs="Arial"/>
          <w:bCs/>
          <w:sz w:val="26"/>
          <w:szCs w:val="26"/>
          <w:lang w:val="es-MX"/>
        </w:rPr>
      </w:pPr>
      <w:r w:rsidRPr="00C67536">
        <w:rPr>
          <w:rFonts w:cs="Arial"/>
          <w:bCs/>
          <w:sz w:val="26"/>
          <w:szCs w:val="26"/>
          <w:lang w:val="es-MX"/>
        </w:rPr>
        <w:t>Determinó que debía quedar firme la consideración de no tener como acto reclamado, la omisión en el cumplimiento de la Ley General de Mejora Regulatoria, en concreto de sus artículos 7, 69, 71, 72, 73 y 75, así como, el sobreseimiento decretado respecto del acto atribuido al Presidente del Comité Consultivo Nacional de Normalización (CCONNSE) y al Presidente del Comité Consultivo de Normalización de Regularización y Fomento Sanitario, consistente en la expedición de la “Nota Aclaratoria que emiten la Secretaría de Economía y la Secretaría de Salud a través de la Comisión Federal para la Protección de Riesgos Sanitarios a la Modificación a la Norma Oficial Mexicana NOM-051-SCFI/SSA1-2010, Especificaciones generales de etiquetado para alimentos y bebidas no alcohólicas preenvasados-Información comercial y sanitaria.</w:t>
      </w:r>
    </w:p>
    <w:p w14:paraId="5F6E48C5" w14:textId="131F1916" w:rsidR="00E94C64" w:rsidRPr="00C67536" w:rsidRDefault="00E94C64" w:rsidP="00B144AE">
      <w:pPr>
        <w:pStyle w:val="corte4fondo"/>
        <w:numPr>
          <w:ilvl w:val="0"/>
          <w:numId w:val="7"/>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cs="Arial"/>
          <w:bCs/>
          <w:sz w:val="26"/>
          <w:szCs w:val="26"/>
          <w:lang w:val="es-MX"/>
        </w:rPr>
        <w:t xml:space="preserve">De igual forma, el </w:t>
      </w:r>
      <w:r w:rsidRPr="00C67536">
        <w:rPr>
          <w:rFonts w:eastAsiaTheme="minorHAnsi" w:cs="Arial"/>
          <w:bCs/>
          <w:color w:val="000000"/>
          <w:sz w:val="26"/>
          <w:szCs w:val="26"/>
          <w:lang w:eastAsia="en-US"/>
        </w:rPr>
        <w:t>sobreseimiento respecto de los numerales 3.31, 3.38, 3.42 y 3.47 de la “Modificación a la Norma Oficial Mexicana NOM-051-SCFI/SSA1-2010, Especificaciones generales de etiquetado para alimentos y bebidas no alcohólicas preenvasados-Información comercial y sanitaria.</w:t>
      </w:r>
      <w:r w:rsidR="00207790" w:rsidRPr="00C67536">
        <w:rPr>
          <w:rFonts w:eastAsiaTheme="minorHAnsi" w:cs="Arial"/>
          <w:bCs/>
          <w:color w:val="000000"/>
          <w:sz w:val="26"/>
          <w:szCs w:val="26"/>
          <w:lang w:eastAsia="en-US"/>
        </w:rPr>
        <w:t xml:space="preserve"> </w:t>
      </w:r>
      <w:r w:rsidRPr="00C67536">
        <w:rPr>
          <w:rFonts w:eastAsiaTheme="minorHAnsi" w:cs="Arial"/>
          <w:bCs/>
          <w:color w:val="000000"/>
          <w:sz w:val="26"/>
          <w:szCs w:val="26"/>
          <w:lang w:eastAsia="en-US"/>
        </w:rPr>
        <w:t>Lo anterior, porque dichas consideraciones no fueron combatidas por la quejosa recurrente.</w:t>
      </w:r>
    </w:p>
    <w:p w14:paraId="58DFDE55" w14:textId="7C4DF03C" w:rsidR="00E94C64" w:rsidRPr="00C67536" w:rsidRDefault="00E94C64" w:rsidP="00B144AE">
      <w:pPr>
        <w:pStyle w:val="corte4fondo"/>
        <w:numPr>
          <w:ilvl w:val="0"/>
          <w:numId w:val="7"/>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 xml:space="preserve">Por otra parte, desestimó los agravios primero y segundo, relativos a que las normas impugnadas constituyen un sistema normativo, que tal análisis es una cuestión que atañe al fondo del asunto, lo que impide su análisis a través de una causal de improcedencia. Ello, porque consideró que no contrarrestan los argumentos que se sostuvieron para advertir de oficio la actualización de la causal de improcedencia prevista en el artículo 61, fracción XII, de la Ley de Amparo, en relación con los numerales 4.5, 4.5.1 y 4.5.3, de la </w:t>
      </w:r>
      <w:r w:rsidR="00EF16C0" w:rsidRPr="00C67536">
        <w:rPr>
          <w:rFonts w:eastAsiaTheme="minorHAnsi" w:cs="Arial"/>
          <w:bCs/>
          <w:color w:val="000000"/>
          <w:sz w:val="26"/>
          <w:szCs w:val="26"/>
          <w:lang w:eastAsia="en-US"/>
        </w:rPr>
        <w:t>m</w:t>
      </w:r>
      <w:r w:rsidRPr="00C67536">
        <w:rPr>
          <w:rFonts w:eastAsiaTheme="minorHAnsi" w:cs="Arial"/>
          <w:bCs/>
          <w:color w:val="000000"/>
          <w:sz w:val="26"/>
          <w:szCs w:val="26"/>
          <w:lang w:eastAsia="en-US"/>
        </w:rPr>
        <w:t xml:space="preserve">odificación a la Norma Oficial Mexicana NOM-051-SCFI/SSA1-2010, Especificaciones generales de etiquetado para alimentos y bebidas no alcohólicas preenvasados- Información comercial y sanitaria, porque dichas normas aún no habían entrado en vigor, por lo que no podían afectar el interés jurídico de la parte quejosa. </w:t>
      </w:r>
    </w:p>
    <w:p w14:paraId="74656258" w14:textId="77777777" w:rsidR="00E94C64" w:rsidRPr="00C67536" w:rsidRDefault="00E94C64" w:rsidP="00B144AE">
      <w:pPr>
        <w:pStyle w:val="corte4fondo"/>
        <w:numPr>
          <w:ilvl w:val="0"/>
          <w:numId w:val="7"/>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Además, que el hecho de que pueda impugnar diversas normas como un sistema normativo, no significa que se le exima de la acreditación del interés jurídico, para que las pueda controvertir, ya sea por la entrada en vigor de las disposiciones reclamadas, por situarse en los supuestos ahí previstos o, con motivo de un acto concreto de aplicación, por lo que si dichas normas aún no habían entrado en vigor, no podían afectar el interés jurídico de la quejosa; por tanto, no podía considerarse que basta la configuración de un sistema normativo para que pueda impugnar disposiciones que aún no han entrado en vigor, en razón de que durante ese período la ley no puede ser inmediatamente obligatoria para nadie.</w:t>
      </w:r>
    </w:p>
    <w:p w14:paraId="2F9703BC" w14:textId="77777777" w:rsidR="00E94C64" w:rsidRPr="00C67536" w:rsidRDefault="00E94C64" w:rsidP="00B144AE">
      <w:pPr>
        <w:pStyle w:val="corte4fondo"/>
        <w:numPr>
          <w:ilvl w:val="0"/>
          <w:numId w:val="7"/>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Luego, el Tribunal Colegiado de Circuito desestimó la causal de improcedencia hecha valer por el titular de la Comisión Federal para la Protección contra Riesgos Sanitarios y el Presidente del Comité Consultivo de Normalización de Regularización y Fomento Sanitario, contenida en el artículo 61, fracción XXIII, de la Ley de Amparo, porque la modificación a la norma oficial mexicana obedeció a la reforma a la Ley General de Salud, relativa al etiquetado de alimentos y, ésta a su vez, a lo dispuesto en el precepto 4º constitucional, que corresponde al derecho a la salud. Ello, porque la finalidad que persiguen las normas no puede servir para definir la procedencia del juicio, pues atañen al análisis propio del fondo del asunto.</w:t>
      </w:r>
    </w:p>
    <w:p w14:paraId="23334C9A" w14:textId="77777777" w:rsidR="00E94C64" w:rsidRPr="00C67536" w:rsidRDefault="00E94C64" w:rsidP="00B144AE">
      <w:pPr>
        <w:pStyle w:val="corte4fondo"/>
        <w:numPr>
          <w:ilvl w:val="0"/>
          <w:numId w:val="7"/>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Por otro lado, también indicó que no se actualiza la diversa causal prevista en el artículo 61, fracción XXIII, de la ley de la materia, porque tal argumento está construido sobre la consideración de que para acudir al juicio de amparo se requiere de un acto de autoridad que materialice, en perjuicio de la parte promovente, las normas impugnadas; cuando quedó establecido que la parte quejosa es destinataria de la norma, como productora y comercializadora de bebidas no alcohólicas, conforme al caudal probatorio exhibido en autos.</w:t>
      </w:r>
    </w:p>
    <w:p w14:paraId="001114FE" w14:textId="04BF14A5" w:rsidR="00E94C64" w:rsidRPr="00C67536" w:rsidRDefault="00E94C64" w:rsidP="00B144AE">
      <w:pPr>
        <w:pStyle w:val="corte4fondo"/>
        <w:numPr>
          <w:ilvl w:val="0"/>
          <w:numId w:val="7"/>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Luego, analizó la diversa hecha valer por el Director General de Normas, en el oficio de interposición del recurso de revisión adhesiva, debido a que se tratan de actos consentido</w:t>
      </w:r>
      <w:r w:rsidR="007879C6" w:rsidRPr="00C67536">
        <w:rPr>
          <w:rFonts w:eastAsiaTheme="minorHAnsi" w:cs="Arial"/>
          <w:bCs/>
          <w:color w:val="000000"/>
          <w:sz w:val="26"/>
          <w:szCs w:val="26"/>
          <w:lang w:eastAsia="en-US"/>
        </w:rPr>
        <w:t>s</w:t>
      </w:r>
      <w:r w:rsidRPr="00C67536">
        <w:rPr>
          <w:rFonts w:eastAsiaTheme="minorHAnsi" w:cs="Arial"/>
          <w:bCs/>
          <w:color w:val="000000"/>
          <w:sz w:val="26"/>
          <w:szCs w:val="26"/>
          <w:lang w:eastAsia="en-US"/>
        </w:rPr>
        <w:t>, porque en las tiendas de autoservicio y de conveniencia ya se venden sus productos, con las leyendas de exceso de calorías y exceso de azúcares.</w:t>
      </w:r>
    </w:p>
    <w:p w14:paraId="1AA23A75" w14:textId="39D8C79E" w:rsidR="00E94C64" w:rsidRPr="00C67536" w:rsidRDefault="00E94C64" w:rsidP="00B144AE">
      <w:pPr>
        <w:pStyle w:val="corte4fondo"/>
        <w:numPr>
          <w:ilvl w:val="0"/>
          <w:numId w:val="7"/>
        </w:numPr>
        <w:tabs>
          <w:tab w:val="center" w:pos="851"/>
          <w:tab w:val="left" w:pos="6975"/>
        </w:tabs>
        <w:spacing w:line="240" w:lineRule="auto"/>
        <w:ind w:left="567" w:firstLine="0"/>
        <w:rPr>
          <w:rFonts w:eastAsiaTheme="minorHAnsi" w:cs="Arial"/>
          <w:bCs/>
          <w:color w:val="000000"/>
          <w:sz w:val="26"/>
          <w:szCs w:val="26"/>
          <w:lang w:eastAsia="en-US"/>
        </w:rPr>
      </w:pPr>
      <w:r w:rsidRPr="00C67536">
        <w:rPr>
          <w:rFonts w:eastAsiaTheme="minorHAnsi" w:cs="Arial"/>
          <w:bCs/>
          <w:color w:val="000000"/>
          <w:sz w:val="26"/>
          <w:szCs w:val="26"/>
          <w:lang w:eastAsia="en-US"/>
        </w:rPr>
        <w:t>Al respecto, el órgano colegiado indicó que no se actualizaba l</w:t>
      </w:r>
      <w:r w:rsidR="00BF172D" w:rsidRPr="00C67536">
        <w:rPr>
          <w:rFonts w:eastAsiaTheme="minorHAnsi" w:cs="Arial"/>
          <w:bCs/>
          <w:color w:val="000000"/>
          <w:sz w:val="26"/>
          <w:szCs w:val="26"/>
          <w:lang w:eastAsia="en-US"/>
        </w:rPr>
        <w:t>a</w:t>
      </w:r>
      <w:r w:rsidR="00B90B84" w:rsidRPr="00C67536">
        <w:rPr>
          <w:rFonts w:eastAsiaTheme="minorHAnsi" w:cs="Arial"/>
          <w:bCs/>
          <w:color w:val="000000"/>
          <w:sz w:val="26"/>
          <w:szCs w:val="26"/>
          <w:lang w:eastAsia="en-US"/>
        </w:rPr>
        <w:t xml:space="preserve"> causal de</w:t>
      </w:r>
      <w:r w:rsidRPr="00C67536">
        <w:rPr>
          <w:rFonts w:eastAsiaTheme="minorHAnsi" w:cs="Arial"/>
          <w:bCs/>
          <w:color w:val="000000"/>
          <w:sz w:val="26"/>
          <w:szCs w:val="26"/>
          <w:lang w:eastAsia="en-US"/>
        </w:rPr>
        <w:t xml:space="preserve"> improcedencia, porque tal circunstancia no conlleva el consentimiento de las disposiciones reclamadas de la Modificación a la Norma Oficial Mexicana NOM-051SCFI/SSA1-2010, pues esas disposiciones imponen a la parte quejosa desde el inicio de su vigencia, obligaciones de cumplimiento ineludible. De ahí que, el hecho de que la parte impetrante cumpla esos deberes con la finalidad de evitar la imposición de sanciones, no se traduce en que se haya conformado con el texto de los numerales que combate de la referida modificación.</w:t>
      </w:r>
    </w:p>
    <w:p w14:paraId="5CA95476" w14:textId="1BC1DC30" w:rsidR="00E94C64" w:rsidRPr="00C67536" w:rsidRDefault="00E94C64" w:rsidP="00B144AE">
      <w:pPr>
        <w:pStyle w:val="ListParagraph"/>
        <w:numPr>
          <w:ilvl w:val="0"/>
          <w:numId w:val="7"/>
        </w:numPr>
        <w:tabs>
          <w:tab w:val="center" w:pos="851"/>
        </w:tabs>
        <w:autoSpaceDE w:val="0"/>
        <w:autoSpaceDN w:val="0"/>
        <w:adjustRightInd w:val="0"/>
        <w:ind w:left="567" w:firstLine="0"/>
        <w:jc w:val="both"/>
        <w:rPr>
          <w:rFonts w:ascii="Arial" w:eastAsiaTheme="minorHAnsi" w:hAnsi="Arial" w:cs="Arial"/>
          <w:bCs/>
          <w:color w:val="000000"/>
          <w:sz w:val="28"/>
          <w:szCs w:val="28"/>
          <w:lang w:eastAsia="en-US"/>
        </w:rPr>
      </w:pPr>
      <w:r w:rsidRPr="00C67536">
        <w:rPr>
          <w:rFonts w:ascii="Arial" w:eastAsiaTheme="minorHAnsi" w:hAnsi="Arial" w:cs="Arial"/>
          <w:bCs/>
          <w:color w:val="000000"/>
          <w:sz w:val="26"/>
          <w:szCs w:val="26"/>
          <w:lang w:eastAsia="en-US"/>
        </w:rPr>
        <w:t xml:space="preserve">Finalmente, </w:t>
      </w:r>
      <w:r w:rsidRPr="00C67536">
        <w:rPr>
          <w:rFonts w:ascii="Arial" w:hAnsi="Arial" w:cs="Arial"/>
          <w:bCs/>
          <w:sz w:val="26"/>
          <w:szCs w:val="26"/>
        </w:rPr>
        <w:t xml:space="preserve">estimó que no era procedente analizar el restante agravio del recurso de revisión adhesiva, ni los agravios de la quejosa, relativos a la constitucionalidad del sistema normativo impugnado, porque estimó que </w:t>
      </w:r>
      <w:r w:rsidRPr="00C67536">
        <w:rPr>
          <w:rFonts w:ascii="Arial" w:eastAsiaTheme="minorHAnsi" w:hAnsi="Arial" w:cs="Arial"/>
          <w:bCs/>
          <w:color w:val="000000"/>
          <w:sz w:val="26"/>
          <w:szCs w:val="26"/>
          <w:lang w:eastAsia="en-US"/>
        </w:rPr>
        <w:t>carece de competencia legal para conocer de los recursos de revisión (principal y adhesivo), porque subsiste la cuestión de constitucionalidad y no existen precedentes resueltos sobre el tema por esta Suprema Corte de Justicia de la Nación.</w:t>
      </w:r>
      <w:r w:rsidRPr="00C67536">
        <w:rPr>
          <w:rFonts w:ascii="Arial" w:eastAsiaTheme="minorHAnsi" w:hAnsi="Arial" w:cs="Arial"/>
          <w:bCs/>
          <w:color w:val="000000"/>
          <w:sz w:val="28"/>
          <w:szCs w:val="28"/>
          <w:lang w:eastAsia="en-US"/>
        </w:rPr>
        <w:t xml:space="preserve"> </w:t>
      </w:r>
    </w:p>
    <w:p w14:paraId="03785EB1" w14:textId="77777777" w:rsidR="00E94C64" w:rsidRPr="00C67536" w:rsidRDefault="00E94C64" w:rsidP="00847918">
      <w:pPr>
        <w:pStyle w:val="corte4fondo"/>
        <w:tabs>
          <w:tab w:val="center" w:pos="4420"/>
          <w:tab w:val="left" w:pos="6975"/>
        </w:tabs>
        <w:spacing w:line="240" w:lineRule="auto"/>
        <w:ind w:firstLine="0"/>
        <w:rPr>
          <w:rFonts w:cs="Arial"/>
          <w:i/>
          <w:iCs/>
          <w:sz w:val="28"/>
          <w:szCs w:val="28"/>
          <w:lang w:val="es-MX"/>
        </w:rPr>
      </w:pPr>
    </w:p>
    <w:p w14:paraId="449F0895" w14:textId="77777777" w:rsidR="00BF240C" w:rsidRPr="00C67536" w:rsidRDefault="00847918" w:rsidP="00B144AE">
      <w:pPr>
        <w:pStyle w:val="corte4fondo"/>
        <w:numPr>
          <w:ilvl w:val="0"/>
          <w:numId w:val="15"/>
        </w:numPr>
        <w:tabs>
          <w:tab w:val="center" w:pos="4420"/>
          <w:tab w:val="left" w:pos="6975"/>
        </w:tabs>
        <w:ind w:left="0" w:hanging="567"/>
        <w:rPr>
          <w:rFonts w:cs="Arial"/>
          <w:i/>
          <w:iCs/>
          <w:sz w:val="28"/>
          <w:szCs w:val="28"/>
          <w:lang w:val="es-MX"/>
        </w:rPr>
      </w:pPr>
      <w:r w:rsidRPr="00C67536">
        <w:rPr>
          <w:rFonts w:eastAsiaTheme="minorHAnsi" w:cs="Arial"/>
          <w:b/>
          <w:bCs/>
          <w:sz w:val="28"/>
          <w:szCs w:val="28"/>
          <w:lang w:val="es-MX" w:eastAsia="en-US"/>
        </w:rPr>
        <w:t>Trámite en la Suprema Corte de Justicia de la Nación</w:t>
      </w:r>
      <w:r w:rsidRPr="00C67536">
        <w:rPr>
          <w:rFonts w:eastAsiaTheme="minorHAnsi" w:cs="Arial"/>
          <w:b/>
          <w:bCs/>
          <w:i/>
          <w:iCs/>
          <w:sz w:val="28"/>
          <w:szCs w:val="28"/>
          <w:lang w:val="es-MX" w:eastAsia="en-US"/>
        </w:rPr>
        <w:t xml:space="preserve">. </w:t>
      </w:r>
      <w:r w:rsidRPr="00C67536">
        <w:rPr>
          <w:rFonts w:cs="Arial"/>
          <w:bCs/>
          <w:sz w:val="28"/>
          <w:szCs w:val="28"/>
          <w:lang w:val="es-MX"/>
        </w:rPr>
        <w:t xml:space="preserve">El </w:t>
      </w:r>
      <w:r w:rsidR="00BF240C" w:rsidRPr="00C67536">
        <w:rPr>
          <w:rFonts w:cs="Arial"/>
          <w:bCs/>
          <w:sz w:val="28"/>
          <w:szCs w:val="28"/>
          <w:lang w:val="es-MX"/>
        </w:rPr>
        <w:t xml:space="preserve">doce de julio </w:t>
      </w:r>
      <w:r w:rsidRPr="00C67536">
        <w:rPr>
          <w:rFonts w:cs="Arial"/>
          <w:bCs/>
          <w:sz w:val="28"/>
          <w:szCs w:val="28"/>
          <w:lang w:val="es-MX"/>
        </w:rPr>
        <w:t>de dos mil veintidós, el Ministro Presidente de esta Suprema Corte de Justicia de la Nación, determinó asumir la competencia originaria para conocer del recurso de revisión interpuesto por la quejosa, ordenó formar y registrar el expediente relativo al amparo en revisión 3</w:t>
      </w:r>
      <w:r w:rsidR="00BF240C" w:rsidRPr="00C67536">
        <w:rPr>
          <w:rFonts w:cs="Arial"/>
          <w:bCs/>
          <w:sz w:val="28"/>
          <w:szCs w:val="28"/>
          <w:lang w:val="es-MX"/>
        </w:rPr>
        <w:t>58</w:t>
      </w:r>
      <w:r w:rsidRPr="00C67536">
        <w:rPr>
          <w:rFonts w:cs="Arial"/>
          <w:bCs/>
          <w:sz w:val="28"/>
          <w:szCs w:val="28"/>
          <w:lang w:val="es-MX"/>
        </w:rPr>
        <w:t>/2022, asimismo, turnó el asunto a la Ministra Yasmín Esquivel Mossa para que formulara el proyecto de resolución respectivo.</w:t>
      </w:r>
    </w:p>
    <w:p w14:paraId="72F38B2D" w14:textId="77777777" w:rsidR="00BF240C" w:rsidRPr="00C67536" w:rsidRDefault="00BF240C" w:rsidP="00BF240C">
      <w:pPr>
        <w:pStyle w:val="corte4fondo"/>
        <w:tabs>
          <w:tab w:val="center" w:pos="4420"/>
          <w:tab w:val="left" w:pos="6975"/>
        </w:tabs>
        <w:ind w:firstLine="0"/>
        <w:rPr>
          <w:rFonts w:cs="Arial"/>
          <w:i/>
          <w:iCs/>
          <w:sz w:val="28"/>
          <w:szCs w:val="28"/>
          <w:lang w:val="es-MX"/>
        </w:rPr>
      </w:pPr>
    </w:p>
    <w:p w14:paraId="68863C82" w14:textId="36E6E08F" w:rsidR="00192CB1" w:rsidRPr="00C67536" w:rsidRDefault="00847918" w:rsidP="00B144AE">
      <w:pPr>
        <w:pStyle w:val="corte4fondo"/>
        <w:numPr>
          <w:ilvl w:val="0"/>
          <w:numId w:val="15"/>
        </w:numPr>
        <w:tabs>
          <w:tab w:val="center" w:pos="4420"/>
          <w:tab w:val="left" w:pos="6975"/>
        </w:tabs>
        <w:ind w:left="0" w:hanging="567"/>
        <w:rPr>
          <w:rFonts w:cs="Arial"/>
          <w:i/>
          <w:iCs/>
          <w:sz w:val="28"/>
          <w:szCs w:val="28"/>
          <w:lang w:val="es-MX"/>
        </w:rPr>
      </w:pPr>
      <w:r w:rsidRPr="00C67536">
        <w:rPr>
          <w:rFonts w:cs="Arial"/>
          <w:b/>
          <w:bCs/>
          <w:sz w:val="28"/>
          <w:szCs w:val="28"/>
        </w:rPr>
        <w:t>Avocamiento.</w:t>
      </w:r>
      <w:r w:rsidRPr="00C67536">
        <w:rPr>
          <w:rFonts w:cs="Arial"/>
          <w:sz w:val="28"/>
          <w:szCs w:val="28"/>
        </w:rPr>
        <w:t xml:space="preserve"> Por auto de</w:t>
      </w:r>
      <w:r w:rsidR="006403A1" w:rsidRPr="00C67536">
        <w:rPr>
          <w:rFonts w:cs="Arial"/>
          <w:sz w:val="28"/>
          <w:szCs w:val="28"/>
        </w:rPr>
        <w:t xml:space="preserve"> ocho de septiembre de dos mil veintidós</w:t>
      </w:r>
      <w:r w:rsidRPr="00C67536">
        <w:rPr>
          <w:rFonts w:cs="Arial"/>
          <w:sz w:val="28"/>
          <w:szCs w:val="28"/>
        </w:rPr>
        <w:t>, la Ministra Presidenta de la Segunda Sala de la Suprema Corte de Justicia de la Nación, ordenó avocarse al conocimiento del presente asunto y remitir los autos a su Ponencia.</w:t>
      </w:r>
    </w:p>
    <w:p w14:paraId="00CC4509" w14:textId="77777777" w:rsidR="00192CB1" w:rsidRPr="00C67536" w:rsidRDefault="00192CB1" w:rsidP="00192CB1">
      <w:pPr>
        <w:pStyle w:val="ListParagraph"/>
        <w:rPr>
          <w:rFonts w:cs="Arial"/>
          <w:b/>
          <w:color w:val="000000"/>
          <w:sz w:val="28"/>
          <w:szCs w:val="28"/>
        </w:rPr>
      </w:pPr>
    </w:p>
    <w:p w14:paraId="51FE3389" w14:textId="2536AB70" w:rsidR="00192CB1" w:rsidRPr="00896121" w:rsidRDefault="00192CB1" w:rsidP="00B144AE">
      <w:pPr>
        <w:pStyle w:val="corte4fondo"/>
        <w:numPr>
          <w:ilvl w:val="0"/>
          <w:numId w:val="15"/>
        </w:numPr>
        <w:tabs>
          <w:tab w:val="center" w:pos="4420"/>
          <w:tab w:val="left" w:pos="6975"/>
        </w:tabs>
        <w:ind w:left="0" w:hanging="567"/>
        <w:rPr>
          <w:rFonts w:cs="Arial"/>
          <w:i/>
          <w:iCs/>
          <w:sz w:val="28"/>
          <w:szCs w:val="28"/>
          <w:lang w:val="es-MX"/>
        </w:rPr>
      </w:pPr>
      <w:r w:rsidRPr="00896121">
        <w:rPr>
          <w:rFonts w:cs="Arial"/>
          <w:b/>
          <w:color w:val="000000"/>
          <w:sz w:val="28"/>
          <w:szCs w:val="28"/>
          <w:lang w:val="es-MX"/>
        </w:rPr>
        <w:t>Remisión al Pleno.</w:t>
      </w:r>
      <w:r w:rsidRPr="00896121">
        <w:rPr>
          <w:rFonts w:cs="Arial"/>
          <w:bCs/>
          <w:color w:val="000000"/>
          <w:sz w:val="28"/>
          <w:szCs w:val="28"/>
          <w:lang w:val="es-MX"/>
        </w:rPr>
        <w:t xml:space="preserve"> En sesión de once de enero de dos veintitrés, la Segunda Sala de la Suprema Corte de Justicia de la Nación, determinó enviar el asunto al Pleno para su resolución, dada la importancia y trascendencia del asunto a nivel nacional.</w:t>
      </w:r>
    </w:p>
    <w:p w14:paraId="64CCC10A" w14:textId="77777777" w:rsidR="00BF240C" w:rsidRPr="00C67536" w:rsidRDefault="00BF240C" w:rsidP="00BF240C">
      <w:pPr>
        <w:pStyle w:val="corte4fondo"/>
        <w:tabs>
          <w:tab w:val="center" w:pos="4420"/>
          <w:tab w:val="left" w:pos="6975"/>
        </w:tabs>
        <w:ind w:firstLine="0"/>
        <w:rPr>
          <w:rFonts w:cs="Arial"/>
          <w:i/>
          <w:iCs/>
          <w:sz w:val="28"/>
          <w:szCs w:val="28"/>
          <w:lang w:val="es-MX"/>
        </w:rPr>
      </w:pPr>
    </w:p>
    <w:p w14:paraId="50B73AE4" w14:textId="33969578" w:rsidR="00772082" w:rsidRPr="00C67536" w:rsidRDefault="0038739B">
      <w:pPr>
        <w:pStyle w:val="corte4fondo"/>
        <w:numPr>
          <w:ilvl w:val="0"/>
          <w:numId w:val="1"/>
        </w:numPr>
        <w:ind w:left="993" w:hanging="284"/>
        <w:jc w:val="center"/>
        <w:rPr>
          <w:rFonts w:cs="Arial"/>
          <w:b/>
          <w:sz w:val="28"/>
          <w:szCs w:val="28"/>
          <w:lang w:val="es-MX"/>
        </w:rPr>
      </w:pPr>
      <w:r w:rsidRPr="00C67536">
        <w:rPr>
          <w:rFonts w:cs="Arial"/>
          <w:b/>
          <w:sz w:val="28"/>
          <w:szCs w:val="28"/>
          <w:lang w:val="es-MX"/>
        </w:rPr>
        <w:t xml:space="preserve"> </w:t>
      </w:r>
      <w:r w:rsidR="00922E39" w:rsidRPr="00C67536">
        <w:rPr>
          <w:rFonts w:cs="Arial"/>
          <w:b/>
          <w:sz w:val="28"/>
          <w:szCs w:val="28"/>
          <w:lang w:val="es-MX"/>
        </w:rPr>
        <w:t>COMPETENCIA</w:t>
      </w:r>
      <w:r w:rsidR="00CB7076">
        <w:rPr>
          <w:rFonts w:cs="Arial"/>
          <w:b/>
          <w:sz w:val="28"/>
          <w:szCs w:val="28"/>
          <w:lang w:val="es-MX"/>
        </w:rPr>
        <w:t>.</w:t>
      </w:r>
    </w:p>
    <w:p w14:paraId="205B0A75" w14:textId="1EF4ADD9" w:rsidR="00922E39" w:rsidRPr="00C67536" w:rsidRDefault="00923BD6" w:rsidP="00CE3431">
      <w:pPr>
        <w:pStyle w:val="corte4fondo"/>
        <w:tabs>
          <w:tab w:val="left" w:pos="6776"/>
        </w:tabs>
        <w:ind w:hanging="426"/>
        <w:rPr>
          <w:rFonts w:cs="Arial"/>
          <w:b/>
          <w:sz w:val="28"/>
          <w:szCs w:val="28"/>
          <w:lang w:val="es-MX"/>
        </w:rPr>
      </w:pPr>
      <w:r w:rsidRPr="00C67536">
        <w:rPr>
          <w:rFonts w:cs="Arial"/>
          <w:b/>
          <w:sz w:val="28"/>
          <w:szCs w:val="28"/>
          <w:lang w:val="es-MX"/>
        </w:rPr>
        <w:tab/>
      </w:r>
    </w:p>
    <w:p w14:paraId="49DD72C3" w14:textId="159D0F28" w:rsidR="006F331D" w:rsidRPr="00C67536" w:rsidRDefault="00CE3431" w:rsidP="006F331D">
      <w:pPr>
        <w:pStyle w:val="CORTE4FONDO0"/>
        <w:numPr>
          <w:ilvl w:val="0"/>
          <w:numId w:val="15"/>
        </w:numPr>
        <w:ind w:left="0" w:right="51" w:hanging="426"/>
        <w:rPr>
          <w:sz w:val="28"/>
          <w:szCs w:val="28"/>
        </w:rPr>
      </w:pPr>
      <w:r w:rsidRPr="00C67536">
        <w:rPr>
          <w:sz w:val="28"/>
          <w:szCs w:val="28"/>
        </w:rPr>
        <w:t xml:space="preserve">Este Tribunal Pleno de la Suprema Corte de Justicia de la Nación es competente para conocer y resolver el presente recurso de revisión, de conformidad con lo dispuesto en los artículos 107, fracción VIII, inciso a) y </w:t>
      </w:r>
      <w:r w:rsidR="00896121">
        <w:rPr>
          <w:sz w:val="28"/>
          <w:szCs w:val="28"/>
        </w:rPr>
        <w:t xml:space="preserve">párrafo </w:t>
      </w:r>
      <w:r w:rsidRPr="00C67536">
        <w:rPr>
          <w:sz w:val="28"/>
          <w:szCs w:val="28"/>
        </w:rPr>
        <w:t xml:space="preserve">penúltimo, de la Constitución Política de los Estados Unidos Mexicanos; 81, fracción I, inciso e) y 83 de la Ley de Amparo; </w:t>
      </w:r>
      <w:r w:rsidR="00896121">
        <w:rPr>
          <w:sz w:val="28"/>
          <w:szCs w:val="28"/>
        </w:rPr>
        <w:t xml:space="preserve">y </w:t>
      </w:r>
      <w:r w:rsidRPr="00C67536">
        <w:rPr>
          <w:sz w:val="28"/>
          <w:szCs w:val="28"/>
        </w:rPr>
        <w:t>10, fracción III</w:t>
      </w:r>
      <w:r w:rsidR="00896121">
        <w:rPr>
          <w:sz w:val="28"/>
          <w:szCs w:val="28"/>
        </w:rPr>
        <w:t>,</w:t>
      </w:r>
      <w:r w:rsidRPr="00C67536">
        <w:rPr>
          <w:sz w:val="28"/>
          <w:szCs w:val="28"/>
        </w:rPr>
        <w:t xml:space="preserve"> de la Ley Orgánica del Poder Judicial de la Federación publicada en el Diario Oficial de la Federación el siete de junio de dos mil veintiuno, en relación con lo previsto en los puntos segundo, fracción III, incisos a) y c), </w:t>
      </w:r>
      <w:r w:rsidR="009F3A50">
        <w:rPr>
          <w:sz w:val="28"/>
          <w:szCs w:val="28"/>
        </w:rPr>
        <w:t>y</w:t>
      </w:r>
      <w:r w:rsidRPr="00C67536">
        <w:rPr>
          <w:sz w:val="28"/>
          <w:szCs w:val="28"/>
        </w:rPr>
        <w:t xml:space="preserve"> quinto, fracción I, inciso b), del Acuerdo General Plenario 1/2023, de veintiséis de enero de dos mil veintitrés, dado que el recurso de revisión se interpuso contra una sentencia dictada en un juicio de amparo indirecto, respecto del cual, </w:t>
      </w:r>
      <w:r w:rsidRPr="00C67536">
        <w:rPr>
          <w:rFonts w:cs="Arial"/>
          <w:sz w:val="28"/>
          <w:szCs w:val="28"/>
        </w:rPr>
        <w:t>la Segunda Sala determinó que fuera remitido al Pleno de este Alto Tribunal para su resolución.</w:t>
      </w:r>
    </w:p>
    <w:p w14:paraId="438580FA" w14:textId="77777777" w:rsidR="006F331D" w:rsidRPr="00C67536" w:rsidRDefault="006F331D" w:rsidP="006F331D">
      <w:pPr>
        <w:pStyle w:val="CORTE4FONDO0"/>
        <w:ind w:right="51" w:firstLine="0"/>
        <w:rPr>
          <w:sz w:val="28"/>
          <w:szCs w:val="28"/>
        </w:rPr>
      </w:pPr>
    </w:p>
    <w:p w14:paraId="722998B5" w14:textId="332BAE7B" w:rsidR="006F331D" w:rsidRPr="00C67536" w:rsidRDefault="00CE3431" w:rsidP="006F331D">
      <w:pPr>
        <w:pStyle w:val="CORTE4FONDO0"/>
        <w:numPr>
          <w:ilvl w:val="0"/>
          <w:numId w:val="15"/>
        </w:numPr>
        <w:ind w:left="0" w:right="51" w:hanging="426"/>
        <w:rPr>
          <w:sz w:val="28"/>
          <w:szCs w:val="28"/>
        </w:rPr>
      </w:pPr>
      <w:r w:rsidRPr="00C67536">
        <w:rPr>
          <w:rFonts w:cs="Arial"/>
          <w:bCs/>
          <w:sz w:val="28"/>
          <w:szCs w:val="28"/>
        </w:rPr>
        <w:t>Asimismo, cabe destacar que</w:t>
      </w:r>
      <w:r w:rsidR="00FF20B3" w:rsidRPr="00C67536">
        <w:rPr>
          <w:rFonts w:cs="Arial"/>
          <w:bCs/>
          <w:sz w:val="28"/>
          <w:szCs w:val="28"/>
        </w:rPr>
        <w:t>,</w:t>
      </w:r>
      <w:r w:rsidRPr="00C67536">
        <w:rPr>
          <w:rFonts w:cs="Arial"/>
          <w:bCs/>
          <w:sz w:val="28"/>
          <w:szCs w:val="28"/>
        </w:rPr>
        <w:t xml:space="preserve"> de conformidad con los preceptos mencionados, a este Pleno corresponde resolver únicamente las alegaciones relacionadas con la constitucionalidad de diversos </w:t>
      </w:r>
      <w:r w:rsidRPr="00C67536">
        <w:rPr>
          <w:rFonts w:eastAsia="Arial" w:cs="Arial"/>
          <w:bCs/>
          <w:sz w:val="28"/>
          <w:szCs w:val="28"/>
        </w:rPr>
        <w:t>preceptos de la Ley General de Salud.</w:t>
      </w:r>
    </w:p>
    <w:p w14:paraId="68263ED4" w14:textId="77777777" w:rsidR="006F331D" w:rsidRPr="00C67536" w:rsidRDefault="006F331D" w:rsidP="006F331D">
      <w:pPr>
        <w:pStyle w:val="CORTE4FONDO0"/>
        <w:spacing w:line="240" w:lineRule="auto"/>
        <w:ind w:right="51" w:firstLine="0"/>
        <w:rPr>
          <w:sz w:val="28"/>
          <w:szCs w:val="28"/>
        </w:rPr>
      </w:pPr>
    </w:p>
    <w:p w14:paraId="1E453857" w14:textId="77777777" w:rsidR="006F331D" w:rsidRPr="00C67536" w:rsidRDefault="006F331D" w:rsidP="006F331D">
      <w:pPr>
        <w:pStyle w:val="ListParagraph"/>
        <w:rPr>
          <w:rFonts w:cs="Arial"/>
          <w:bCs/>
          <w:sz w:val="28"/>
          <w:szCs w:val="28"/>
        </w:rPr>
      </w:pPr>
    </w:p>
    <w:p w14:paraId="567501DF" w14:textId="2E4D5798" w:rsidR="00CE3431" w:rsidRPr="00C67536" w:rsidRDefault="00CE3431" w:rsidP="006F331D">
      <w:pPr>
        <w:pStyle w:val="CORTE4FONDO0"/>
        <w:numPr>
          <w:ilvl w:val="0"/>
          <w:numId w:val="15"/>
        </w:numPr>
        <w:ind w:left="0" w:right="51" w:hanging="426"/>
        <w:rPr>
          <w:sz w:val="28"/>
          <w:szCs w:val="28"/>
        </w:rPr>
      </w:pPr>
      <w:r w:rsidRPr="00C67536">
        <w:rPr>
          <w:rFonts w:cs="Arial"/>
          <w:bCs/>
          <w:sz w:val="28"/>
          <w:szCs w:val="28"/>
        </w:rPr>
        <w:t>Sin embargo, tomando en consideración que dichos artículos fueron reclamados como parte de un sistema normativo integral, en los que también se encuentran relacionados diversos numerales de la Modificación a la norma oficial mexicana NOM-051-SCFI/SSA1-2010, publicada en el Diario Oficial de la Federación el veintisiete de marzo de dos mil veinte, consecuentemente, este Tribunal Pleno reasume su competencia originaria respecto de las referidas disposiciones de carácter general, a fin de resolver de manera conjunta el tema de constitucionalidad que fue planteado por la quejosa.</w:t>
      </w:r>
    </w:p>
    <w:p w14:paraId="5608A2F8" w14:textId="77777777" w:rsidR="00F256CD" w:rsidRPr="00C67536" w:rsidRDefault="00F256CD" w:rsidP="00F14E8B">
      <w:pPr>
        <w:pStyle w:val="corte4fondo"/>
        <w:spacing w:line="240" w:lineRule="auto"/>
        <w:ind w:firstLine="0"/>
        <w:rPr>
          <w:rFonts w:cs="Arial"/>
          <w:bCs/>
          <w:sz w:val="28"/>
          <w:szCs w:val="28"/>
        </w:rPr>
      </w:pPr>
    </w:p>
    <w:p w14:paraId="6EE65616" w14:textId="415E3449" w:rsidR="00C93055" w:rsidRPr="00C67536" w:rsidRDefault="00C93055" w:rsidP="00C93055">
      <w:pPr>
        <w:pStyle w:val="corte4fondo"/>
        <w:numPr>
          <w:ilvl w:val="0"/>
          <w:numId w:val="15"/>
        </w:numPr>
        <w:ind w:left="0" w:hanging="567"/>
        <w:rPr>
          <w:rFonts w:cs="Arial"/>
          <w:bCs/>
          <w:sz w:val="28"/>
          <w:szCs w:val="28"/>
        </w:rPr>
      </w:pPr>
      <w:r w:rsidRPr="00C67536">
        <w:rPr>
          <w:rFonts w:cs="Arial"/>
          <w:bCs/>
          <w:sz w:val="28"/>
          <w:szCs w:val="28"/>
        </w:rPr>
        <w:t>Estas consideraciones son obligatorias al haberse aprobado por unanimidad de once votos</w:t>
      </w:r>
      <w:r w:rsidRPr="00C67536">
        <w:rPr>
          <w:color w:val="000000"/>
          <w:sz w:val="27"/>
          <w:szCs w:val="27"/>
        </w:rPr>
        <w:t xml:space="preserve"> de las señoras </w:t>
      </w:r>
      <w:proofErr w:type="gramStart"/>
      <w:r w:rsidRPr="00C67536">
        <w:rPr>
          <w:color w:val="000000"/>
          <w:sz w:val="27"/>
          <w:szCs w:val="27"/>
        </w:rPr>
        <w:t>Ministras</w:t>
      </w:r>
      <w:proofErr w:type="gramEnd"/>
      <w:r w:rsidRPr="00C67536">
        <w:rPr>
          <w:color w:val="000000"/>
          <w:sz w:val="27"/>
          <w:szCs w:val="27"/>
        </w:rPr>
        <w:t xml:space="preserve"> y de los señores Ministros Gutiérrez Ortiz Mena, González Alcántara Carrancá, Esquivel </w:t>
      </w:r>
      <w:proofErr w:type="spellStart"/>
      <w:r w:rsidRPr="00C67536">
        <w:rPr>
          <w:color w:val="000000"/>
          <w:sz w:val="27"/>
          <w:szCs w:val="27"/>
        </w:rPr>
        <w:t>Mossa</w:t>
      </w:r>
      <w:proofErr w:type="spellEnd"/>
      <w:r w:rsidRPr="00C67536">
        <w:rPr>
          <w:color w:val="000000"/>
          <w:sz w:val="27"/>
          <w:szCs w:val="27"/>
        </w:rPr>
        <w:t xml:space="preserve">, Ortiz </w:t>
      </w:r>
      <w:proofErr w:type="spellStart"/>
      <w:r w:rsidRPr="00C67536">
        <w:rPr>
          <w:color w:val="000000"/>
          <w:sz w:val="27"/>
          <w:szCs w:val="27"/>
        </w:rPr>
        <w:t>Ahlf</w:t>
      </w:r>
      <w:proofErr w:type="spellEnd"/>
      <w:r w:rsidRPr="00C67536">
        <w:rPr>
          <w:color w:val="000000"/>
          <w:sz w:val="27"/>
          <w:szCs w:val="27"/>
        </w:rPr>
        <w:t xml:space="preserve">, Aguilar Morales, Pardo Rebolledo, Batres Guadarrama, Ríos </w:t>
      </w:r>
      <w:proofErr w:type="spellStart"/>
      <w:r w:rsidRPr="00C67536">
        <w:rPr>
          <w:color w:val="000000"/>
          <w:sz w:val="27"/>
          <w:szCs w:val="27"/>
        </w:rPr>
        <w:t>Farjat</w:t>
      </w:r>
      <w:proofErr w:type="spellEnd"/>
      <w:r w:rsidRPr="00C67536">
        <w:rPr>
          <w:color w:val="000000"/>
          <w:sz w:val="27"/>
          <w:szCs w:val="27"/>
        </w:rPr>
        <w:t>, Laynez Potisek, Pérez Dayán y Presidenta Piña Hernández</w:t>
      </w:r>
      <w:r w:rsidRPr="00C67536">
        <w:rPr>
          <w:rFonts w:cs="Arial"/>
          <w:bCs/>
          <w:sz w:val="28"/>
          <w:szCs w:val="28"/>
        </w:rPr>
        <w:t>.</w:t>
      </w:r>
    </w:p>
    <w:p w14:paraId="02DA673A" w14:textId="77777777" w:rsidR="007706AC" w:rsidRPr="00C67536" w:rsidRDefault="007706AC" w:rsidP="007706AC">
      <w:pPr>
        <w:pStyle w:val="corte4fondo"/>
        <w:ind w:firstLine="0"/>
        <w:rPr>
          <w:rFonts w:cs="Arial"/>
          <w:bCs/>
          <w:sz w:val="28"/>
          <w:szCs w:val="28"/>
        </w:rPr>
      </w:pPr>
    </w:p>
    <w:p w14:paraId="03C3D5C6" w14:textId="32F0DCA9" w:rsidR="00772082" w:rsidRPr="00C67536" w:rsidRDefault="0038739B">
      <w:pPr>
        <w:pStyle w:val="corte4fondo"/>
        <w:numPr>
          <w:ilvl w:val="0"/>
          <w:numId w:val="1"/>
        </w:numPr>
        <w:ind w:left="993" w:hanging="284"/>
        <w:jc w:val="center"/>
        <w:rPr>
          <w:rFonts w:cs="Arial"/>
          <w:b/>
          <w:sz w:val="28"/>
          <w:szCs w:val="28"/>
          <w:lang w:val="es-MX"/>
        </w:rPr>
      </w:pPr>
      <w:r w:rsidRPr="00C67536">
        <w:rPr>
          <w:rFonts w:cs="Arial"/>
          <w:b/>
          <w:sz w:val="28"/>
          <w:szCs w:val="28"/>
          <w:lang w:val="es-MX"/>
        </w:rPr>
        <w:t xml:space="preserve"> </w:t>
      </w:r>
      <w:r w:rsidR="00772082" w:rsidRPr="00C67536">
        <w:rPr>
          <w:rFonts w:cs="Arial"/>
          <w:b/>
          <w:sz w:val="28"/>
          <w:szCs w:val="28"/>
          <w:lang w:val="es-MX"/>
        </w:rPr>
        <w:t>O</w:t>
      </w:r>
      <w:r w:rsidR="00922E39" w:rsidRPr="00C67536">
        <w:rPr>
          <w:rFonts w:cs="Arial"/>
          <w:b/>
          <w:sz w:val="28"/>
          <w:szCs w:val="28"/>
          <w:lang w:val="es-MX"/>
        </w:rPr>
        <w:t>PORTUNIDAD</w:t>
      </w:r>
      <w:r w:rsidR="00CB7076">
        <w:rPr>
          <w:rFonts w:cs="Arial"/>
          <w:b/>
          <w:sz w:val="28"/>
          <w:szCs w:val="28"/>
          <w:lang w:val="es-MX"/>
        </w:rPr>
        <w:t>.</w:t>
      </w:r>
    </w:p>
    <w:p w14:paraId="0AECB41F" w14:textId="77777777" w:rsidR="00922E39" w:rsidRPr="00C67536" w:rsidRDefault="00922E39" w:rsidP="00076C42">
      <w:pPr>
        <w:pStyle w:val="corte4fondo"/>
        <w:ind w:left="1145" w:firstLine="0"/>
        <w:rPr>
          <w:rFonts w:cs="Arial"/>
          <w:b/>
          <w:sz w:val="28"/>
          <w:szCs w:val="28"/>
          <w:lang w:val="es-MX"/>
        </w:rPr>
      </w:pPr>
    </w:p>
    <w:p w14:paraId="373540AF" w14:textId="7858E74E" w:rsidR="00507BE7" w:rsidRPr="00C67536" w:rsidRDefault="00507BE7" w:rsidP="00B144AE">
      <w:pPr>
        <w:pStyle w:val="corte4fondo"/>
        <w:numPr>
          <w:ilvl w:val="0"/>
          <w:numId w:val="15"/>
        </w:numPr>
        <w:ind w:left="0" w:hanging="567"/>
        <w:rPr>
          <w:rFonts w:cs="Arial"/>
          <w:b/>
          <w:sz w:val="28"/>
          <w:szCs w:val="28"/>
          <w:lang w:val="es-MX"/>
        </w:rPr>
      </w:pPr>
      <w:r w:rsidRPr="00C67536">
        <w:rPr>
          <w:rFonts w:cs="Arial"/>
          <w:bCs/>
          <w:sz w:val="28"/>
          <w:szCs w:val="28"/>
          <w:lang w:val="es-MX"/>
        </w:rPr>
        <w:t>Es innecesario analizar este presupuesto procesal porque el Tribunal Colegiado que previno en el conocimiento del asunto ya estudió dicho aspecto.</w:t>
      </w:r>
      <w:r w:rsidR="000804DD" w:rsidRPr="00C67536">
        <w:rPr>
          <w:rFonts w:cs="Arial"/>
          <w:bCs/>
          <w:sz w:val="28"/>
          <w:szCs w:val="28"/>
          <w:lang w:val="es-MX"/>
        </w:rPr>
        <w:t xml:space="preserve"> </w:t>
      </w:r>
    </w:p>
    <w:p w14:paraId="0EFD4318" w14:textId="707798FE" w:rsidR="00983721" w:rsidRPr="00C67536" w:rsidRDefault="00983721" w:rsidP="00507BE7">
      <w:pPr>
        <w:pStyle w:val="corte4fondo"/>
        <w:ind w:firstLine="0"/>
        <w:rPr>
          <w:rFonts w:cs="Arial"/>
          <w:bCs/>
          <w:sz w:val="28"/>
          <w:szCs w:val="28"/>
        </w:rPr>
      </w:pPr>
    </w:p>
    <w:p w14:paraId="55317E95" w14:textId="77777777" w:rsidR="0090181E" w:rsidRPr="00C67536" w:rsidRDefault="0090181E" w:rsidP="0090181E">
      <w:pPr>
        <w:pStyle w:val="corte4fondo"/>
        <w:numPr>
          <w:ilvl w:val="0"/>
          <w:numId w:val="15"/>
        </w:numPr>
        <w:ind w:left="0" w:hanging="567"/>
        <w:rPr>
          <w:rFonts w:cs="Arial"/>
          <w:bCs/>
          <w:sz w:val="28"/>
          <w:szCs w:val="28"/>
        </w:rPr>
      </w:pPr>
      <w:r w:rsidRPr="00C67536">
        <w:rPr>
          <w:rFonts w:cs="Arial"/>
          <w:bCs/>
          <w:sz w:val="28"/>
          <w:szCs w:val="28"/>
        </w:rPr>
        <w:t>Estas consideraciones son obligatorias al haberse aprobado por unanimidad de once votos</w:t>
      </w:r>
      <w:r w:rsidRPr="00C67536">
        <w:rPr>
          <w:color w:val="000000"/>
          <w:sz w:val="27"/>
          <w:szCs w:val="27"/>
        </w:rPr>
        <w:t xml:space="preserve"> de las señoras </w:t>
      </w:r>
      <w:proofErr w:type="gramStart"/>
      <w:r w:rsidRPr="00C67536">
        <w:rPr>
          <w:color w:val="000000"/>
          <w:sz w:val="27"/>
          <w:szCs w:val="27"/>
        </w:rPr>
        <w:t>Ministras</w:t>
      </w:r>
      <w:proofErr w:type="gramEnd"/>
      <w:r w:rsidRPr="00C67536">
        <w:rPr>
          <w:color w:val="000000"/>
          <w:sz w:val="27"/>
          <w:szCs w:val="27"/>
        </w:rPr>
        <w:t xml:space="preserve"> y de los señores Ministros Gutiérrez Ortiz Mena, González Alcántara Carrancá, Esquivel </w:t>
      </w:r>
      <w:proofErr w:type="spellStart"/>
      <w:r w:rsidRPr="00C67536">
        <w:rPr>
          <w:color w:val="000000"/>
          <w:sz w:val="27"/>
          <w:szCs w:val="27"/>
        </w:rPr>
        <w:t>Mossa</w:t>
      </w:r>
      <w:proofErr w:type="spellEnd"/>
      <w:r w:rsidRPr="00C67536">
        <w:rPr>
          <w:color w:val="000000"/>
          <w:sz w:val="27"/>
          <w:szCs w:val="27"/>
        </w:rPr>
        <w:t xml:space="preserve">, Ortiz </w:t>
      </w:r>
      <w:proofErr w:type="spellStart"/>
      <w:r w:rsidRPr="00C67536">
        <w:rPr>
          <w:color w:val="000000"/>
          <w:sz w:val="27"/>
          <w:szCs w:val="27"/>
        </w:rPr>
        <w:t>Ahlf</w:t>
      </w:r>
      <w:proofErr w:type="spellEnd"/>
      <w:r w:rsidRPr="00C67536">
        <w:rPr>
          <w:color w:val="000000"/>
          <w:sz w:val="27"/>
          <w:szCs w:val="27"/>
        </w:rPr>
        <w:t xml:space="preserve">, Aguilar Morales, Pardo Rebolledo, Batres Guadarrama, Ríos </w:t>
      </w:r>
      <w:proofErr w:type="spellStart"/>
      <w:r w:rsidRPr="00C67536">
        <w:rPr>
          <w:color w:val="000000"/>
          <w:sz w:val="27"/>
          <w:szCs w:val="27"/>
        </w:rPr>
        <w:t>Farjat</w:t>
      </w:r>
      <w:proofErr w:type="spellEnd"/>
      <w:r w:rsidRPr="00C67536">
        <w:rPr>
          <w:color w:val="000000"/>
          <w:sz w:val="27"/>
          <w:szCs w:val="27"/>
        </w:rPr>
        <w:t>, Laynez Potisek, Pérez Dayán y Presidenta Piña Hernández</w:t>
      </w:r>
      <w:r w:rsidRPr="00C67536">
        <w:rPr>
          <w:rFonts w:cs="Arial"/>
          <w:bCs/>
          <w:sz w:val="28"/>
          <w:szCs w:val="28"/>
        </w:rPr>
        <w:t>.</w:t>
      </w:r>
    </w:p>
    <w:p w14:paraId="16033913" w14:textId="77777777" w:rsidR="00922E39" w:rsidRPr="00C67536" w:rsidRDefault="00922E39" w:rsidP="006F3865">
      <w:pPr>
        <w:pStyle w:val="corte4fondo"/>
        <w:spacing w:line="240" w:lineRule="auto"/>
        <w:ind w:hanging="567"/>
        <w:rPr>
          <w:rFonts w:cs="Arial"/>
          <w:b/>
          <w:sz w:val="28"/>
          <w:szCs w:val="28"/>
        </w:rPr>
      </w:pPr>
    </w:p>
    <w:p w14:paraId="6FEC4EFC" w14:textId="5D4DFE7C" w:rsidR="00772082" w:rsidRPr="00C67536" w:rsidRDefault="00B96E41">
      <w:pPr>
        <w:pStyle w:val="corte4fondo"/>
        <w:numPr>
          <w:ilvl w:val="0"/>
          <w:numId w:val="1"/>
        </w:numPr>
        <w:ind w:left="993" w:hanging="284"/>
        <w:jc w:val="center"/>
        <w:rPr>
          <w:rFonts w:cs="Arial"/>
          <w:b/>
          <w:sz w:val="28"/>
          <w:szCs w:val="28"/>
          <w:lang w:val="es-MX"/>
        </w:rPr>
      </w:pPr>
      <w:r w:rsidRPr="00C67536">
        <w:rPr>
          <w:rFonts w:cs="Arial"/>
          <w:b/>
          <w:sz w:val="28"/>
          <w:szCs w:val="28"/>
          <w:lang w:val="es-MX"/>
        </w:rPr>
        <w:t xml:space="preserve"> </w:t>
      </w:r>
      <w:r w:rsidR="0038739B" w:rsidRPr="00C67536">
        <w:rPr>
          <w:rFonts w:cs="Arial"/>
          <w:b/>
          <w:sz w:val="28"/>
          <w:szCs w:val="28"/>
          <w:lang w:val="es-MX"/>
        </w:rPr>
        <w:t xml:space="preserve"> </w:t>
      </w:r>
      <w:r w:rsidR="00BB6BA1" w:rsidRPr="00C67536">
        <w:rPr>
          <w:rFonts w:cs="Arial"/>
          <w:b/>
          <w:sz w:val="28"/>
          <w:szCs w:val="28"/>
          <w:lang w:val="es-MX"/>
        </w:rPr>
        <w:t>L</w:t>
      </w:r>
      <w:r w:rsidR="00922E39" w:rsidRPr="00C67536">
        <w:rPr>
          <w:rFonts w:cs="Arial"/>
          <w:b/>
          <w:sz w:val="28"/>
          <w:szCs w:val="28"/>
          <w:lang w:val="es-MX"/>
        </w:rPr>
        <w:t>EGITIMACIÓN</w:t>
      </w:r>
      <w:r w:rsidR="00CB7076">
        <w:rPr>
          <w:rFonts w:cs="Arial"/>
          <w:b/>
          <w:sz w:val="28"/>
          <w:szCs w:val="28"/>
          <w:lang w:val="es-MX"/>
        </w:rPr>
        <w:t>.</w:t>
      </w:r>
    </w:p>
    <w:p w14:paraId="579F097D" w14:textId="77777777" w:rsidR="00922E39" w:rsidRPr="00C67536" w:rsidRDefault="00922E39" w:rsidP="00076C42">
      <w:pPr>
        <w:pStyle w:val="corte4fondo"/>
        <w:ind w:left="1145" w:firstLine="0"/>
        <w:rPr>
          <w:rFonts w:cs="Arial"/>
          <w:b/>
          <w:sz w:val="28"/>
          <w:szCs w:val="28"/>
          <w:lang w:val="es-MX"/>
        </w:rPr>
      </w:pPr>
    </w:p>
    <w:p w14:paraId="2F93E233" w14:textId="77777777" w:rsidR="006F3865" w:rsidRPr="00C67536" w:rsidRDefault="00B93A92" w:rsidP="00B144AE">
      <w:pPr>
        <w:pStyle w:val="corte4fondo"/>
        <w:numPr>
          <w:ilvl w:val="0"/>
          <w:numId w:val="15"/>
        </w:numPr>
        <w:ind w:left="0" w:hanging="567"/>
        <w:rPr>
          <w:rFonts w:cs="Arial"/>
          <w:b/>
          <w:sz w:val="28"/>
          <w:szCs w:val="28"/>
          <w:lang w:val="es-MX"/>
        </w:rPr>
      </w:pPr>
      <w:r w:rsidRPr="00C67536">
        <w:rPr>
          <w:rFonts w:cs="Arial"/>
          <w:bCs/>
          <w:sz w:val="28"/>
          <w:szCs w:val="28"/>
          <w:lang w:val="es-MX"/>
        </w:rPr>
        <w:t>Es innecesario analizar este presupuesto procesal porque el Tribunal Colegiado que previno en el conocimiento del asunto ya estudió dicho aspecto</w:t>
      </w:r>
      <w:r w:rsidR="006F3865" w:rsidRPr="00C67536">
        <w:rPr>
          <w:rFonts w:cs="Arial"/>
          <w:bCs/>
          <w:sz w:val="28"/>
          <w:szCs w:val="28"/>
          <w:lang w:val="es-MX"/>
        </w:rPr>
        <w:t>.</w:t>
      </w:r>
    </w:p>
    <w:p w14:paraId="23709D3C" w14:textId="77777777" w:rsidR="006F3865" w:rsidRPr="00C67536" w:rsidRDefault="006F3865" w:rsidP="006F3865">
      <w:pPr>
        <w:pStyle w:val="corte4fondo"/>
        <w:ind w:firstLine="0"/>
        <w:rPr>
          <w:rFonts w:cs="Arial"/>
          <w:b/>
          <w:sz w:val="28"/>
          <w:szCs w:val="28"/>
          <w:lang w:val="es-MX"/>
        </w:rPr>
      </w:pPr>
    </w:p>
    <w:p w14:paraId="0D0E1E29" w14:textId="77777777" w:rsidR="005F632D" w:rsidRPr="00C67536" w:rsidRDefault="005F632D" w:rsidP="005F632D">
      <w:pPr>
        <w:pStyle w:val="corte4fondo"/>
        <w:numPr>
          <w:ilvl w:val="0"/>
          <w:numId w:val="15"/>
        </w:numPr>
        <w:ind w:left="0" w:hanging="567"/>
        <w:rPr>
          <w:rFonts w:cs="Arial"/>
          <w:bCs/>
          <w:sz w:val="28"/>
          <w:szCs w:val="28"/>
        </w:rPr>
      </w:pPr>
      <w:r w:rsidRPr="00C67536">
        <w:rPr>
          <w:rFonts w:cs="Arial"/>
          <w:bCs/>
          <w:sz w:val="28"/>
          <w:szCs w:val="28"/>
        </w:rPr>
        <w:t>Estas consideraciones son obligatorias al haberse aprobado por unanimidad de once votos</w:t>
      </w:r>
      <w:r w:rsidRPr="00C67536">
        <w:rPr>
          <w:color w:val="000000"/>
          <w:sz w:val="27"/>
          <w:szCs w:val="27"/>
        </w:rPr>
        <w:t xml:space="preserve"> de las señoras </w:t>
      </w:r>
      <w:proofErr w:type="gramStart"/>
      <w:r w:rsidRPr="00C67536">
        <w:rPr>
          <w:color w:val="000000"/>
          <w:sz w:val="27"/>
          <w:szCs w:val="27"/>
        </w:rPr>
        <w:t>Ministras</w:t>
      </w:r>
      <w:proofErr w:type="gramEnd"/>
      <w:r w:rsidRPr="00C67536">
        <w:rPr>
          <w:color w:val="000000"/>
          <w:sz w:val="27"/>
          <w:szCs w:val="27"/>
        </w:rPr>
        <w:t xml:space="preserve"> y de los señores Ministros Gutiérrez Ortiz Mena, González Alcántara Carrancá, Esquivel </w:t>
      </w:r>
      <w:proofErr w:type="spellStart"/>
      <w:r w:rsidRPr="00C67536">
        <w:rPr>
          <w:color w:val="000000"/>
          <w:sz w:val="27"/>
          <w:szCs w:val="27"/>
        </w:rPr>
        <w:t>Mossa</w:t>
      </w:r>
      <w:proofErr w:type="spellEnd"/>
      <w:r w:rsidRPr="00C67536">
        <w:rPr>
          <w:color w:val="000000"/>
          <w:sz w:val="27"/>
          <w:szCs w:val="27"/>
        </w:rPr>
        <w:t xml:space="preserve">, Ortiz </w:t>
      </w:r>
      <w:proofErr w:type="spellStart"/>
      <w:r w:rsidRPr="00C67536">
        <w:rPr>
          <w:color w:val="000000"/>
          <w:sz w:val="27"/>
          <w:szCs w:val="27"/>
        </w:rPr>
        <w:t>Ahlf</w:t>
      </w:r>
      <w:proofErr w:type="spellEnd"/>
      <w:r w:rsidRPr="00C67536">
        <w:rPr>
          <w:color w:val="000000"/>
          <w:sz w:val="27"/>
          <w:szCs w:val="27"/>
        </w:rPr>
        <w:t xml:space="preserve">, Aguilar Morales, Pardo Rebolledo, Batres Guadarrama, Ríos </w:t>
      </w:r>
      <w:proofErr w:type="spellStart"/>
      <w:r w:rsidRPr="00C67536">
        <w:rPr>
          <w:color w:val="000000"/>
          <w:sz w:val="27"/>
          <w:szCs w:val="27"/>
        </w:rPr>
        <w:t>Farjat</w:t>
      </w:r>
      <w:proofErr w:type="spellEnd"/>
      <w:r w:rsidRPr="00C67536">
        <w:rPr>
          <w:color w:val="000000"/>
          <w:sz w:val="27"/>
          <w:szCs w:val="27"/>
        </w:rPr>
        <w:t>, Laynez Potisek, Pérez Dayán y Presidenta Piña Hernández</w:t>
      </w:r>
      <w:r w:rsidRPr="00C67536">
        <w:rPr>
          <w:rFonts w:cs="Arial"/>
          <w:bCs/>
          <w:sz w:val="28"/>
          <w:szCs w:val="28"/>
        </w:rPr>
        <w:t>.</w:t>
      </w:r>
    </w:p>
    <w:p w14:paraId="4E735F20" w14:textId="77777777" w:rsidR="006F3865" w:rsidRPr="00C67536" w:rsidRDefault="006F3865" w:rsidP="006F3865">
      <w:pPr>
        <w:pStyle w:val="corte4fondo"/>
        <w:spacing w:line="240" w:lineRule="auto"/>
        <w:ind w:firstLine="0"/>
        <w:rPr>
          <w:rFonts w:cs="Arial"/>
          <w:b/>
          <w:sz w:val="28"/>
          <w:szCs w:val="28"/>
        </w:rPr>
      </w:pPr>
    </w:p>
    <w:p w14:paraId="64C15FDB" w14:textId="77777777" w:rsidR="00772082" w:rsidRPr="00C67536" w:rsidRDefault="00772082" w:rsidP="00A863C7">
      <w:pPr>
        <w:pStyle w:val="corte4fondo"/>
        <w:spacing w:line="240" w:lineRule="auto"/>
        <w:ind w:firstLine="0"/>
        <w:rPr>
          <w:rFonts w:cs="Arial"/>
          <w:b/>
          <w:sz w:val="28"/>
          <w:szCs w:val="28"/>
          <w:lang w:val="es-MX"/>
        </w:rPr>
      </w:pPr>
    </w:p>
    <w:p w14:paraId="69874134" w14:textId="1428B2A4" w:rsidR="00730B13" w:rsidRPr="00C67536" w:rsidRDefault="00D1507E">
      <w:pPr>
        <w:pStyle w:val="corte4fondo"/>
        <w:numPr>
          <w:ilvl w:val="0"/>
          <w:numId w:val="1"/>
        </w:numPr>
        <w:ind w:left="993" w:hanging="284"/>
        <w:jc w:val="center"/>
        <w:rPr>
          <w:rFonts w:cs="Arial"/>
          <w:b/>
          <w:sz w:val="28"/>
          <w:szCs w:val="28"/>
          <w:lang w:val="es-MX"/>
        </w:rPr>
      </w:pPr>
      <w:r w:rsidRPr="00C67536">
        <w:rPr>
          <w:rFonts w:cs="Arial"/>
          <w:b/>
          <w:sz w:val="28"/>
          <w:szCs w:val="28"/>
          <w:lang w:val="es-MX"/>
        </w:rPr>
        <w:t>CAUSAS DE IMPROCEDENCIA</w:t>
      </w:r>
      <w:r w:rsidR="00CB7076">
        <w:rPr>
          <w:rFonts w:cs="Arial"/>
          <w:b/>
          <w:sz w:val="28"/>
          <w:szCs w:val="28"/>
          <w:lang w:val="es-MX"/>
        </w:rPr>
        <w:t>.</w:t>
      </w:r>
    </w:p>
    <w:p w14:paraId="04DD5045" w14:textId="77777777" w:rsidR="00922E39" w:rsidRPr="00C67536" w:rsidRDefault="00922E39" w:rsidP="00076C42">
      <w:pPr>
        <w:pStyle w:val="corte4fondo"/>
        <w:jc w:val="center"/>
        <w:rPr>
          <w:rFonts w:cs="Arial"/>
          <w:b/>
          <w:sz w:val="28"/>
          <w:szCs w:val="28"/>
          <w:lang w:val="es-MX"/>
        </w:rPr>
      </w:pPr>
    </w:p>
    <w:p w14:paraId="08CE94A3" w14:textId="0EBACAC1" w:rsidR="00B87C5C" w:rsidRPr="00C67536" w:rsidRDefault="00D52D33" w:rsidP="00B144AE">
      <w:pPr>
        <w:pStyle w:val="corte4fondo"/>
        <w:numPr>
          <w:ilvl w:val="0"/>
          <w:numId w:val="15"/>
        </w:numPr>
        <w:ind w:left="0" w:hanging="567"/>
        <w:rPr>
          <w:rFonts w:cs="Arial"/>
          <w:sz w:val="28"/>
          <w:szCs w:val="28"/>
        </w:rPr>
      </w:pPr>
      <w:r w:rsidRPr="00C67536">
        <w:rPr>
          <w:rFonts w:cs="Arial"/>
          <w:bCs/>
          <w:sz w:val="28"/>
          <w:szCs w:val="28"/>
        </w:rPr>
        <w:t>Las causas de improcedencia ya fueron analizadas por el Tribunal Colegiado de Circuito</w:t>
      </w:r>
      <w:r w:rsidR="003C5B6C" w:rsidRPr="00C67536">
        <w:rPr>
          <w:rFonts w:cs="Arial"/>
          <w:bCs/>
          <w:sz w:val="28"/>
          <w:szCs w:val="28"/>
        </w:rPr>
        <w:t>,</w:t>
      </w:r>
      <w:r w:rsidR="003C5B6C" w:rsidRPr="00C67536">
        <w:rPr>
          <w:rFonts w:cs="Arial"/>
          <w:sz w:val="28"/>
          <w:szCs w:val="28"/>
        </w:rPr>
        <w:t xml:space="preserve"> </w:t>
      </w:r>
      <w:r w:rsidR="00B87C5C" w:rsidRPr="00C67536">
        <w:rPr>
          <w:rFonts w:cs="Arial"/>
          <w:sz w:val="28"/>
          <w:szCs w:val="28"/>
          <w:lang w:val="es-ES"/>
        </w:rPr>
        <w:t>sin que en el caso se advierta de oficio, la actualización de alguna causa de improcedencia distinta</w:t>
      </w:r>
      <w:r w:rsidR="00B87C5C" w:rsidRPr="00C67536">
        <w:rPr>
          <w:rFonts w:eastAsiaTheme="minorHAnsi" w:cs="Arial"/>
          <w:sz w:val="28"/>
          <w:szCs w:val="28"/>
          <w:lang w:eastAsia="en-US"/>
        </w:rPr>
        <w:t>.</w:t>
      </w:r>
    </w:p>
    <w:p w14:paraId="7828DF25" w14:textId="77777777" w:rsidR="00B87C5C" w:rsidRPr="00C67536" w:rsidRDefault="00B87C5C" w:rsidP="00624062">
      <w:pPr>
        <w:pStyle w:val="corte4fondoCar"/>
        <w:spacing w:line="240" w:lineRule="auto"/>
        <w:ind w:firstLine="0"/>
        <w:rPr>
          <w:rFonts w:cs="Arial"/>
          <w:sz w:val="28"/>
          <w:szCs w:val="28"/>
        </w:rPr>
      </w:pPr>
    </w:p>
    <w:p w14:paraId="53012E2C" w14:textId="77777777" w:rsidR="00DA3158" w:rsidRPr="00C67536" w:rsidRDefault="00DA3158" w:rsidP="00DA3158">
      <w:pPr>
        <w:pStyle w:val="corte4fondo"/>
        <w:numPr>
          <w:ilvl w:val="0"/>
          <w:numId w:val="15"/>
        </w:numPr>
        <w:ind w:left="0" w:hanging="567"/>
        <w:rPr>
          <w:rFonts w:cs="Arial"/>
          <w:bCs/>
          <w:sz w:val="28"/>
          <w:szCs w:val="28"/>
        </w:rPr>
      </w:pPr>
      <w:r w:rsidRPr="00C67536">
        <w:rPr>
          <w:rFonts w:cs="Arial"/>
          <w:bCs/>
          <w:sz w:val="28"/>
          <w:szCs w:val="28"/>
        </w:rPr>
        <w:t>Estas consideraciones son obligatorias al haberse aprobado por unanimidad de once votos</w:t>
      </w:r>
      <w:r w:rsidRPr="00C67536">
        <w:rPr>
          <w:color w:val="000000"/>
          <w:sz w:val="27"/>
          <w:szCs w:val="27"/>
        </w:rPr>
        <w:t xml:space="preserve"> de las señoras </w:t>
      </w:r>
      <w:proofErr w:type="gramStart"/>
      <w:r w:rsidRPr="00C67536">
        <w:rPr>
          <w:color w:val="000000"/>
          <w:sz w:val="27"/>
          <w:szCs w:val="27"/>
        </w:rPr>
        <w:t>Ministras</w:t>
      </w:r>
      <w:proofErr w:type="gramEnd"/>
      <w:r w:rsidRPr="00C67536">
        <w:rPr>
          <w:color w:val="000000"/>
          <w:sz w:val="27"/>
          <w:szCs w:val="27"/>
        </w:rPr>
        <w:t xml:space="preserve"> y de los señores Ministros Gutiérrez Ortiz Mena, González Alcántara Carrancá, Esquivel </w:t>
      </w:r>
      <w:proofErr w:type="spellStart"/>
      <w:r w:rsidRPr="00C67536">
        <w:rPr>
          <w:color w:val="000000"/>
          <w:sz w:val="27"/>
          <w:szCs w:val="27"/>
        </w:rPr>
        <w:t>Mossa</w:t>
      </w:r>
      <w:proofErr w:type="spellEnd"/>
      <w:r w:rsidRPr="00C67536">
        <w:rPr>
          <w:color w:val="000000"/>
          <w:sz w:val="27"/>
          <w:szCs w:val="27"/>
        </w:rPr>
        <w:t xml:space="preserve">, Ortiz </w:t>
      </w:r>
      <w:proofErr w:type="spellStart"/>
      <w:r w:rsidRPr="00C67536">
        <w:rPr>
          <w:color w:val="000000"/>
          <w:sz w:val="27"/>
          <w:szCs w:val="27"/>
        </w:rPr>
        <w:t>Ahlf</w:t>
      </w:r>
      <w:proofErr w:type="spellEnd"/>
      <w:r w:rsidRPr="00C67536">
        <w:rPr>
          <w:color w:val="000000"/>
          <w:sz w:val="27"/>
          <w:szCs w:val="27"/>
        </w:rPr>
        <w:t xml:space="preserve">, Aguilar Morales, Pardo Rebolledo, Batres Guadarrama, Ríos </w:t>
      </w:r>
      <w:proofErr w:type="spellStart"/>
      <w:r w:rsidRPr="00C67536">
        <w:rPr>
          <w:color w:val="000000"/>
          <w:sz w:val="27"/>
          <w:szCs w:val="27"/>
        </w:rPr>
        <w:t>Farjat</w:t>
      </w:r>
      <w:proofErr w:type="spellEnd"/>
      <w:r w:rsidRPr="00C67536">
        <w:rPr>
          <w:color w:val="000000"/>
          <w:sz w:val="27"/>
          <w:szCs w:val="27"/>
        </w:rPr>
        <w:t>, Laynez Potisek, Pérez Dayán y Presidenta Piña Hernández</w:t>
      </w:r>
      <w:r w:rsidRPr="00C67536">
        <w:rPr>
          <w:rFonts w:cs="Arial"/>
          <w:bCs/>
          <w:sz w:val="28"/>
          <w:szCs w:val="28"/>
        </w:rPr>
        <w:t>.</w:t>
      </w:r>
    </w:p>
    <w:p w14:paraId="4AD3954A" w14:textId="77777777" w:rsidR="00A863C7" w:rsidRPr="00C67536" w:rsidRDefault="00A863C7" w:rsidP="00A863C7">
      <w:pPr>
        <w:pStyle w:val="ListParagraph"/>
        <w:rPr>
          <w:rFonts w:cs="Arial"/>
          <w:bCs/>
          <w:sz w:val="28"/>
          <w:szCs w:val="28"/>
          <w:lang w:val="es-ES_tradnl"/>
        </w:rPr>
      </w:pPr>
    </w:p>
    <w:p w14:paraId="32131758" w14:textId="0560F3D4" w:rsidR="00A863C7" w:rsidRPr="00C67536" w:rsidRDefault="00A863C7" w:rsidP="00A863C7">
      <w:pPr>
        <w:pStyle w:val="corte4fondo"/>
        <w:numPr>
          <w:ilvl w:val="0"/>
          <w:numId w:val="1"/>
        </w:numPr>
        <w:ind w:left="993" w:hanging="284"/>
        <w:jc w:val="center"/>
        <w:rPr>
          <w:rFonts w:cs="Arial"/>
          <w:b/>
          <w:sz w:val="28"/>
          <w:szCs w:val="28"/>
          <w:lang w:val="es-MX"/>
        </w:rPr>
      </w:pPr>
      <w:r w:rsidRPr="00C67536">
        <w:rPr>
          <w:rFonts w:cs="Arial"/>
          <w:b/>
          <w:sz w:val="28"/>
          <w:szCs w:val="28"/>
          <w:lang w:val="es-MX"/>
        </w:rPr>
        <w:t xml:space="preserve">  </w:t>
      </w:r>
      <w:r w:rsidR="00EB4C60" w:rsidRPr="00C67536">
        <w:rPr>
          <w:rFonts w:cs="Arial"/>
          <w:b/>
          <w:sz w:val="28"/>
          <w:szCs w:val="28"/>
          <w:lang w:val="es-MX"/>
        </w:rPr>
        <w:t>PRECISIÓN DE LA LITIS</w:t>
      </w:r>
      <w:r w:rsidR="00CB7076">
        <w:rPr>
          <w:rFonts w:cs="Arial"/>
          <w:b/>
          <w:sz w:val="28"/>
          <w:szCs w:val="28"/>
          <w:lang w:val="es-MX"/>
        </w:rPr>
        <w:t>.</w:t>
      </w:r>
    </w:p>
    <w:p w14:paraId="21734E2E" w14:textId="77777777" w:rsidR="00A863C7" w:rsidRPr="00C67536" w:rsidRDefault="00A863C7" w:rsidP="00A863C7">
      <w:pPr>
        <w:pStyle w:val="corte4fondo"/>
        <w:ind w:left="1145" w:firstLine="0"/>
        <w:rPr>
          <w:rFonts w:cs="Arial"/>
          <w:b/>
          <w:sz w:val="28"/>
          <w:szCs w:val="28"/>
          <w:lang w:val="es-MX"/>
        </w:rPr>
      </w:pPr>
    </w:p>
    <w:p w14:paraId="10CE2D6F" w14:textId="0B7EC519" w:rsidR="003B5F74" w:rsidRPr="00C67536" w:rsidRDefault="00136868" w:rsidP="00B144AE">
      <w:pPr>
        <w:pStyle w:val="corte4fondo"/>
        <w:numPr>
          <w:ilvl w:val="0"/>
          <w:numId w:val="15"/>
        </w:numPr>
        <w:ind w:left="0" w:hanging="567"/>
        <w:rPr>
          <w:rFonts w:cs="Arial"/>
          <w:bCs/>
          <w:sz w:val="28"/>
          <w:szCs w:val="28"/>
        </w:rPr>
      </w:pPr>
      <w:r w:rsidRPr="00C67536">
        <w:rPr>
          <w:rFonts w:cs="Arial"/>
          <w:bCs/>
          <w:sz w:val="28"/>
          <w:szCs w:val="28"/>
        </w:rPr>
        <w:t>Con base en lo anterior, e</w:t>
      </w:r>
      <w:r w:rsidR="008F297A" w:rsidRPr="00C67536">
        <w:rPr>
          <w:rFonts w:cs="Arial"/>
          <w:bCs/>
          <w:sz w:val="28"/>
          <w:szCs w:val="28"/>
        </w:rPr>
        <w:t>l Pleno de este Máximo Tribunal</w:t>
      </w:r>
      <w:r w:rsidR="00BF6881" w:rsidRPr="00C67536">
        <w:rPr>
          <w:rFonts w:cs="Arial"/>
          <w:bCs/>
          <w:sz w:val="28"/>
          <w:szCs w:val="28"/>
        </w:rPr>
        <w:t xml:space="preserve"> determina que el análisis de fondo</w:t>
      </w:r>
      <w:r w:rsidR="001A5557" w:rsidRPr="00C67536">
        <w:rPr>
          <w:rFonts w:cs="Arial"/>
          <w:bCs/>
          <w:sz w:val="28"/>
          <w:szCs w:val="28"/>
        </w:rPr>
        <w:t xml:space="preserve">, materia del recurso de revisión, es la </w:t>
      </w:r>
      <w:r w:rsidRPr="00C67536">
        <w:rPr>
          <w:rFonts w:cs="Arial"/>
          <w:bCs/>
          <w:sz w:val="28"/>
          <w:szCs w:val="28"/>
          <w:lang w:val="es-MX"/>
        </w:rPr>
        <w:t xml:space="preserve">constitucionalidad de los </w:t>
      </w:r>
      <w:r w:rsidRPr="00C67536">
        <w:rPr>
          <w:rFonts w:cs="Arial"/>
          <w:sz w:val="28"/>
          <w:szCs w:val="28"/>
          <w:lang w:val="es-MX"/>
        </w:rPr>
        <w:t>artículos 212, párrafo tercero, y 215, fracción VI, de la Ley General de Salud, adicionados mediante el decreto de reformas publicado en el Diario Oficial de la Federación el ocho de noviembre de dos mil diecinueve, en relación con la Modificación a la Norma Oficial Mexicana NOM-051-SCFI/SSA1</w:t>
      </w:r>
      <w:r w:rsidR="009F3A50">
        <w:rPr>
          <w:rFonts w:cs="Arial"/>
          <w:sz w:val="28"/>
          <w:szCs w:val="28"/>
          <w:lang w:val="es-MX"/>
        </w:rPr>
        <w:t>-</w:t>
      </w:r>
      <w:r w:rsidRPr="00C67536">
        <w:rPr>
          <w:rFonts w:cs="Arial"/>
          <w:sz w:val="28"/>
          <w:szCs w:val="28"/>
          <w:lang w:val="es-MX"/>
        </w:rPr>
        <w:t xml:space="preserve">2010, publicada en ese medio de difusión oficial el veintisiete de marzo de dos mil veinte, específicamente por lo que hace a los numerales 1, 4.5.3.4 al 4.5.3.4.7 y 7.1.3, y el apéndice A (normativo), así como de la Nota Aclaratoria que emiten la Secretaría de Economía y la Secretaría de Salud a través de la Comisión Federal para la Protección contra Riesgos Sanitarios a la Modificación a la Norma Oficial Mexicana </w:t>
      </w:r>
      <w:r w:rsidRPr="00C67536">
        <w:rPr>
          <w:rFonts w:cs="Arial"/>
          <w:sz w:val="28"/>
          <w:szCs w:val="28"/>
        </w:rPr>
        <w:t xml:space="preserve">NOM-051-SCFI/SSA1-2010, Especificaciones generales de etiquetado para alimentos y bebidas no alcohólicas preenvasados-Información comercial y sanitaria, publicada el veintisiete de marzo </w:t>
      </w:r>
      <w:r w:rsidRPr="00C67536">
        <w:rPr>
          <w:rFonts w:cs="Arial"/>
          <w:sz w:val="28"/>
          <w:szCs w:val="28"/>
          <w:lang w:val="es-MX"/>
        </w:rPr>
        <w:t>de dos mil veinte.</w:t>
      </w:r>
    </w:p>
    <w:p w14:paraId="4DBF26CC" w14:textId="77777777" w:rsidR="003B5F74" w:rsidRPr="00C67536" w:rsidRDefault="003B5F74" w:rsidP="003B5F74">
      <w:pPr>
        <w:pStyle w:val="corte4fondo"/>
        <w:ind w:firstLine="0"/>
        <w:rPr>
          <w:rFonts w:cs="Arial"/>
          <w:bCs/>
          <w:sz w:val="28"/>
          <w:szCs w:val="28"/>
        </w:rPr>
      </w:pPr>
    </w:p>
    <w:p w14:paraId="7166100C" w14:textId="50B1BD7C" w:rsidR="008F297A" w:rsidRPr="00C67536" w:rsidRDefault="008F297A" w:rsidP="00B144AE">
      <w:pPr>
        <w:pStyle w:val="corte4fondo"/>
        <w:numPr>
          <w:ilvl w:val="0"/>
          <w:numId w:val="15"/>
        </w:numPr>
        <w:ind w:left="0" w:hanging="567"/>
        <w:rPr>
          <w:rFonts w:cs="Arial"/>
          <w:bCs/>
          <w:sz w:val="28"/>
          <w:szCs w:val="28"/>
        </w:rPr>
      </w:pPr>
      <w:r w:rsidRPr="00C67536">
        <w:rPr>
          <w:rFonts w:cs="Arial"/>
          <w:sz w:val="28"/>
          <w:szCs w:val="28"/>
        </w:rPr>
        <w:t>Ello, porque fueron los actos por los que se admitió a trámite la demanda de amparo indirecto y que no fueron motivo del sobreseimiento decretado por la juez de Distrito.</w:t>
      </w:r>
    </w:p>
    <w:p w14:paraId="0B51A246" w14:textId="77777777" w:rsidR="00507AE6" w:rsidRPr="00C67536" w:rsidRDefault="00507AE6" w:rsidP="00507AE6">
      <w:pPr>
        <w:pStyle w:val="ListParagraph"/>
        <w:rPr>
          <w:rFonts w:cs="Arial"/>
          <w:bCs/>
          <w:sz w:val="28"/>
          <w:szCs w:val="28"/>
        </w:rPr>
      </w:pPr>
    </w:p>
    <w:p w14:paraId="10E8C78F" w14:textId="77777777" w:rsidR="000E54C1" w:rsidRPr="00C67536" w:rsidRDefault="000E54C1" w:rsidP="000E54C1">
      <w:pPr>
        <w:pStyle w:val="corte4fondo"/>
        <w:numPr>
          <w:ilvl w:val="0"/>
          <w:numId w:val="15"/>
        </w:numPr>
        <w:ind w:left="0" w:hanging="567"/>
        <w:rPr>
          <w:rFonts w:cs="Arial"/>
          <w:bCs/>
          <w:sz w:val="28"/>
          <w:szCs w:val="28"/>
        </w:rPr>
      </w:pPr>
      <w:r w:rsidRPr="00C67536">
        <w:rPr>
          <w:rFonts w:cs="Arial"/>
          <w:bCs/>
          <w:sz w:val="28"/>
          <w:szCs w:val="28"/>
        </w:rPr>
        <w:t>Estas consideraciones son obligatorias al haberse aprobado por unanimidad de once votos</w:t>
      </w:r>
      <w:r w:rsidRPr="00C67536">
        <w:rPr>
          <w:color w:val="000000"/>
          <w:sz w:val="27"/>
          <w:szCs w:val="27"/>
        </w:rPr>
        <w:t xml:space="preserve"> de las señoras </w:t>
      </w:r>
      <w:proofErr w:type="gramStart"/>
      <w:r w:rsidRPr="00C67536">
        <w:rPr>
          <w:color w:val="000000"/>
          <w:sz w:val="27"/>
          <w:szCs w:val="27"/>
        </w:rPr>
        <w:t>Ministras</w:t>
      </w:r>
      <w:proofErr w:type="gramEnd"/>
      <w:r w:rsidRPr="00C67536">
        <w:rPr>
          <w:color w:val="000000"/>
          <w:sz w:val="27"/>
          <w:szCs w:val="27"/>
        </w:rPr>
        <w:t xml:space="preserve"> y de los señores Ministros Gutiérrez Ortiz Mena, González Alcántara Carrancá, Esquivel </w:t>
      </w:r>
      <w:proofErr w:type="spellStart"/>
      <w:r w:rsidRPr="00C67536">
        <w:rPr>
          <w:color w:val="000000"/>
          <w:sz w:val="27"/>
          <w:szCs w:val="27"/>
        </w:rPr>
        <w:t>Mossa</w:t>
      </w:r>
      <w:proofErr w:type="spellEnd"/>
      <w:r w:rsidRPr="00C67536">
        <w:rPr>
          <w:color w:val="000000"/>
          <w:sz w:val="27"/>
          <w:szCs w:val="27"/>
        </w:rPr>
        <w:t xml:space="preserve">, Ortiz </w:t>
      </w:r>
      <w:proofErr w:type="spellStart"/>
      <w:r w:rsidRPr="00C67536">
        <w:rPr>
          <w:color w:val="000000"/>
          <w:sz w:val="27"/>
          <w:szCs w:val="27"/>
        </w:rPr>
        <w:t>Ahlf</w:t>
      </w:r>
      <w:proofErr w:type="spellEnd"/>
      <w:r w:rsidRPr="00C67536">
        <w:rPr>
          <w:color w:val="000000"/>
          <w:sz w:val="27"/>
          <w:szCs w:val="27"/>
        </w:rPr>
        <w:t xml:space="preserve">, Aguilar Morales, Pardo Rebolledo, Batres Guadarrama, Ríos </w:t>
      </w:r>
      <w:proofErr w:type="spellStart"/>
      <w:r w:rsidRPr="00C67536">
        <w:rPr>
          <w:color w:val="000000"/>
          <w:sz w:val="27"/>
          <w:szCs w:val="27"/>
        </w:rPr>
        <w:t>Farjat</w:t>
      </w:r>
      <w:proofErr w:type="spellEnd"/>
      <w:r w:rsidRPr="00C67536">
        <w:rPr>
          <w:color w:val="000000"/>
          <w:sz w:val="27"/>
          <w:szCs w:val="27"/>
        </w:rPr>
        <w:t>, Laynez Potisek, Pérez Dayán y Presidenta Piña Hernández</w:t>
      </w:r>
      <w:r w:rsidRPr="00C67536">
        <w:rPr>
          <w:rFonts w:cs="Arial"/>
          <w:bCs/>
          <w:sz w:val="28"/>
          <w:szCs w:val="28"/>
        </w:rPr>
        <w:t>.</w:t>
      </w:r>
    </w:p>
    <w:p w14:paraId="7382A015" w14:textId="77777777" w:rsidR="008F297A" w:rsidRPr="00C67536" w:rsidRDefault="008F297A" w:rsidP="00507AE6">
      <w:pPr>
        <w:pStyle w:val="corte4fondo"/>
        <w:tabs>
          <w:tab w:val="center" w:pos="4420"/>
          <w:tab w:val="left" w:pos="6975"/>
        </w:tabs>
        <w:autoSpaceDE w:val="0"/>
        <w:autoSpaceDN w:val="0"/>
        <w:adjustRightInd w:val="0"/>
        <w:spacing w:line="240" w:lineRule="auto"/>
        <w:ind w:firstLine="0"/>
        <w:rPr>
          <w:rFonts w:cs="Arial"/>
          <w:sz w:val="28"/>
          <w:szCs w:val="28"/>
        </w:rPr>
      </w:pPr>
    </w:p>
    <w:p w14:paraId="62AC4254" w14:textId="7376B1DA" w:rsidR="005969F2" w:rsidRPr="00C67536" w:rsidRDefault="00922E39">
      <w:pPr>
        <w:pStyle w:val="corte4fondo"/>
        <w:numPr>
          <w:ilvl w:val="0"/>
          <w:numId w:val="1"/>
        </w:numPr>
        <w:ind w:left="993" w:hanging="426"/>
        <w:jc w:val="center"/>
        <w:rPr>
          <w:rFonts w:cs="Arial"/>
          <w:b/>
          <w:sz w:val="28"/>
          <w:szCs w:val="28"/>
          <w:lang w:val="es-MX"/>
        </w:rPr>
      </w:pPr>
      <w:r w:rsidRPr="00C67536">
        <w:rPr>
          <w:rFonts w:cs="Arial"/>
          <w:b/>
          <w:sz w:val="28"/>
          <w:szCs w:val="28"/>
          <w:lang w:val="es-MX"/>
        </w:rPr>
        <w:t>ESTUDIO DE FONDO</w:t>
      </w:r>
      <w:r w:rsidR="00CB7076">
        <w:rPr>
          <w:rFonts w:cs="Arial"/>
          <w:b/>
          <w:sz w:val="28"/>
          <w:szCs w:val="28"/>
          <w:lang w:val="es-MX"/>
        </w:rPr>
        <w:t>.</w:t>
      </w:r>
    </w:p>
    <w:p w14:paraId="789C87F5" w14:textId="78C6DD40" w:rsidR="00D1507E" w:rsidRPr="00C67536" w:rsidRDefault="00D1507E" w:rsidP="0075696D">
      <w:pPr>
        <w:spacing w:line="360" w:lineRule="auto"/>
        <w:rPr>
          <w:rFonts w:ascii="Arial" w:hAnsi="Arial" w:cs="Arial"/>
          <w:bCs/>
          <w:sz w:val="28"/>
          <w:szCs w:val="28"/>
        </w:rPr>
      </w:pPr>
      <w:r w:rsidRPr="00C67536">
        <w:rPr>
          <w:rFonts w:ascii="Arial" w:hAnsi="Arial" w:cs="Arial"/>
          <w:bCs/>
          <w:sz w:val="28"/>
          <w:szCs w:val="28"/>
        </w:rPr>
        <w:tab/>
      </w:r>
    </w:p>
    <w:p w14:paraId="2818CC19" w14:textId="7F3A3A67" w:rsidR="00772082" w:rsidRPr="00C67536" w:rsidRDefault="00922E39" w:rsidP="00B96E41">
      <w:pPr>
        <w:pStyle w:val="corte4fondo"/>
        <w:ind w:firstLine="0"/>
        <w:rPr>
          <w:rFonts w:cs="Arial"/>
          <w:b/>
          <w:sz w:val="28"/>
          <w:szCs w:val="28"/>
          <w:lang w:val="es-MX"/>
        </w:rPr>
      </w:pPr>
      <w:r w:rsidRPr="00C67536">
        <w:rPr>
          <w:rFonts w:cs="Arial"/>
          <w:b/>
          <w:sz w:val="28"/>
          <w:szCs w:val="28"/>
          <w:lang w:val="es-MX"/>
        </w:rPr>
        <w:t>VI.</w:t>
      </w:r>
      <w:r w:rsidR="00D1507E" w:rsidRPr="00C67536">
        <w:rPr>
          <w:rFonts w:cs="Arial"/>
          <w:b/>
          <w:sz w:val="28"/>
          <w:szCs w:val="28"/>
          <w:lang w:val="es-MX"/>
        </w:rPr>
        <w:t>1</w:t>
      </w:r>
      <w:r w:rsidRPr="00C67536">
        <w:rPr>
          <w:rFonts w:cs="Arial"/>
          <w:b/>
          <w:sz w:val="28"/>
          <w:szCs w:val="28"/>
          <w:lang w:val="es-MX"/>
        </w:rPr>
        <w:t xml:space="preserve">. </w:t>
      </w:r>
      <w:r w:rsidR="00C41155" w:rsidRPr="00C67536">
        <w:rPr>
          <w:rFonts w:cs="Arial"/>
          <w:b/>
          <w:sz w:val="28"/>
          <w:szCs w:val="28"/>
          <w:lang w:val="es-MX"/>
        </w:rPr>
        <w:t>Vulneración al principio de igualdad.</w:t>
      </w:r>
    </w:p>
    <w:p w14:paraId="5A5AABEE" w14:textId="77777777" w:rsidR="00076C42" w:rsidRPr="00C67536" w:rsidRDefault="00076C42" w:rsidP="00B96E41">
      <w:pPr>
        <w:pStyle w:val="corte4fondo"/>
        <w:ind w:hanging="567"/>
        <w:rPr>
          <w:rFonts w:cs="Arial"/>
          <w:b/>
          <w:sz w:val="28"/>
          <w:szCs w:val="28"/>
          <w:lang w:val="es-MX"/>
        </w:rPr>
      </w:pPr>
    </w:p>
    <w:p w14:paraId="58E50130" w14:textId="77777777" w:rsidR="001C4682" w:rsidRPr="00C67536" w:rsidRDefault="00C41155" w:rsidP="001C4682">
      <w:pPr>
        <w:pStyle w:val="corte4fondo"/>
        <w:numPr>
          <w:ilvl w:val="0"/>
          <w:numId w:val="15"/>
        </w:numPr>
        <w:ind w:left="0" w:hanging="567"/>
        <w:rPr>
          <w:rFonts w:cs="Arial"/>
          <w:bCs/>
          <w:color w:val="000000"/>
          <w:sz w:val="28"/>
          <w:szCs w:val="28"/>
          <w:lang w:val="es-MX"/>
        </w:rPr>
      </w:pPr>
      <w:r w:rsidRPr="00C67536">
        <w:rPr>
          <w:rFonts w:cs="Arial"/>
          <w:bCs/>
          <w:color w:val="000000"/>
          <w:sz w:val="28"/>
          <w:szCs w:val="28"/>
          <w:lang w:val="es-MX"/>
        </w:rPr>
        <w:t>Al</w:t>
      </w:r>
      <w:r w:rsidR="0093793D" w:rsidRPr="00C67536">
        <w:rPr>
          <w:rFonts w:cs="Arial"/>
          <w:bCs/>
          <w:color w:val="000000"/>
          <w:sz w:val="28"/>
          <w:szCs w:val="28"/>
          <w:lang w:val="es-MX"/>
        </w:rPr>
        <w:t xml:space="preserve"> respecto, </w:t>
      </w:r>
      <w:r w:rsidR="00AC6851" w:rsidRPr="00C67536">
        <w:rPr>
          <w:rFonts w:cs="Arial"/>
          <w:bCs/>
          <w:color w:val="000000"/>
          <w:sz w:val="28"/>
          <w:szCs w:val="28"/>
          <w:lang w:val="es-MX"/>
        </w:rPr>
        <w:t>en el primer agravio la</w:t>
      </w:r>
      <w:r w:rsidR="0093793D" w:rsidRPr="00C67536">
        <w:rPr>
          <w:rFonts w:cs="Arial"/>
          <w:bCs/>
          <w:color w:val="000000"/>
          <w:sz w:val="28"/>
          <w:szCs w:val="28"/>
          <w:lang w:val="es-MX"/>
        </w:rPr>
        <w:t xml:space="preserve"> quejosa a</w:t>
      </w:r>
      <w:r w:rsidR="003E10AD" w:rsidRPr="00C67536">
        <w:rPr>
          <w:rFonts w:cs="Arial"/>
          <w:bCs/>
          <w:color w:val="000000"/>
          <w:sz w:val="28"/>
          <w:szCs w:val="28"/>
          <w:lang w:val="es-MX"/>
        </w:rPr>
        <w:t>rgumenta</w:t>
      </w:r>
      <w:r w:rsidR="0093793D" w:rsidRPr="00C67536">
        <w:rPr>
          <w:rFonts w:cs="Arial"/>
          <w:bCs/>
          <w:color w:val="000000"/>
          <w:sz w:val="28"/>
          <w:szCs w:val="28"/>
          <w:lang w:val="es-MX"/>
        </w:rPr>
        <w:t xml:space="preserve"> que </w:t>
      </w:r>
      <w:r w:rsidRPr="00C67536">
        <w:rPr>
          <w:rFonts w:cs="Arial"/>
          <w:b/>
          <w:color w:val="000000"/>
          <w:sz w:val="28"/>
          <w:szCs w:val="28"/>
          <w:lang w:val="es-MX"/>
        </w:rPr>
        <w:t>se le trata de forma desigual</w:t>
      </w:r>
      <w:r w:rsidRPr="00C67536">
        <w:rPr>
          <w:rFonts w:cs="Arial"/>
          <w:bCs/>
          <w:color w:val="000000"/>
          <w:sz w:val="28"/>
          <w:szCs w:val="28"/>
          <w:lang w:val="es-MX"/>
        </w:rPr>
        <w:t xml:space="preserve"> con los productos envasados en punto de venta o vendidos a granel, pues se les excluye de tal normatividad y de ser estigmatizado, como si ocurre con los que produce la quejosa, ya que la norma tiene por efecto desvalorizar los productos que fabrica.</w:t>
      </w:r>
    </w:p>
    <w:p w14:paraId="6A21A5CE" w14:textId="77777777" w:rsidR="00D637D2" w:rsidRPr="00C67536" w:rsidRDefault="00D637D2" w:rsidP="00D637D2">
      <w:pPr>
        <w:pStyle w:val="corte4fondo"/>
        <w:spacing w:line="240" w:lineRule="auto"/>
        <w:ind w:firstLine="0"/>
        <w:rPr>
          <w:rFonts w:cs="Arial"/>
          <w:bCs/>
          <w:color w:val="000000"/>
          <w:sz w:val="28"/>
          <w:szCs w:val="28"/>
          <w:lang w:val="es-MX"/>
        </w:rPr>
      </w:pPr>
    </w:p>
    <w:p w14:paraId="04A936F4" w14:textId="5DB832AD" w:rsidR="00FE3150" w:rsidRPr="00C67536" w:rsidRDefault="001C4682" w:rsidP="001C4682">
      <w:pPr>
        <w:pStyle w:val="corte4fondo"/>
        <w:numPr>
          <w:ilvl w:val="0"/>
          <w:numId w:val="15"/>
        </w:numPr>
        <w:ind w:left="0" w:hanging="567"/>
        <w:rPr>
          <w:rFonts w:cs="Arial"/>
          <w:bCs/>
          <w:color w:val="000000"/>
          <w:sz w:val="28"/>
          <w:szCs w:val="28"/>
          <w:lang w:val="es-MX"/>
        </w:rPr>
      </w:pPr>
      <w:r w:rsidRPr="00C67536">
        <w:rPr>
          <w:rFonts w:cs="Arial"/>
          <w:bCs/>
          <w:color w:val="000000"/>
          <w:sz w:val="28"/>
          <w:szCs w:val="28"/>
        </w:rPr>
        <w:t>Asimismo, al resolver sobre el test de proporcionalidad</w:t>
      </w:r>
      <w:r w:rsidRPr="00C67536">
        <w:rPr>
          <w:rFonts w:cs="Arial"/>
          <w:bCs/>
          <w:color w:val="000000"/>
          <w:sz w:val="28"/>
          <w:szCs w:val="28"/>
          <w:lang w:val="es-MX"/>
        </w:rPr>
        <w:t xml:space="preserve">, la A quo omitió estudiarlo a la luz de la violación </w:t>
      </w:r>
      <w:r w:rsidRPr="00C67536">
        <w:rPr>
          <w:rFonts w:cs="Arial"/>
          <w:b/>
          <w:color w:val="000000"/>
          <w:sz w:val="28"/>
          <w:szCs w:val="28"/>
          <w:lang w:val="es-MX"/>
        </w:rPr>
        <w:t>al principio de igualdad plantead</w:t>
      </w:r>
      <w:r w:rsidRPr="00257B8D">
        <w:rPr>
          <w:rFonts w:cs="Arial"/>
          <w:b/>
          <w:color w:val="000000"/>
          <w:sz w:val="28"/>
          <w:szCs w:val="28"/>
          <w:lang w:val="es-MX"/>
        </w:rPr>
        <w:t>o</w:t>
      </w:r>
      <w:r w:rsidRPr="00C67536">
        <w:rPr>
          <w:rFonts w:cs="Arial"/>
          <w:bCs/>
          <w:color w:val="000000"/>
          <w:sz w:val="28"/>
          <w:szCs w:val="28"/>
          <w:lang w:val="es-MX"/>
        </w:rPr>
        <w:t xml:space="preserve"> por la quejosa, tanto en el primero como en el segundo concepto de violación, en los que se reclamaron las normas impugnadas las cuales emiten un mensaje estigmatizante sobre el producto del trabajo de la parte quejosa.   </w:t>
      </w:r>
    </w:p>
    <w:p w14:paraId="6AADF11A" w14:textId="77777777" w:rsidR="00FE3150" w:rsidRPr="00C67536" w:rsidRDefault="00FE3150" w:rsidP="00D637D2">
      <w:pPr>
        <w:pStyle w:val="ListParagraph"/>
        <w:rPr>
          <w:rFonts w:ascii="Arial" w:hAnsi="Arial" w:cs="Arial"/>
          <w:bCs/>
          <w:color w:val="000000"/>
          <w:sz w:val="28"/>
          <w:szCs w:val="28"/>
        </w:rPr>
      </w:pPr>
    </w:p>
    <w:p w14:paraId="64D76BA1" w14:textId="67318ED5" w:rsidR="00FB04EE" w:rsidRPr="00C67536" w:rsidRDefault="00FB04EE" w:rsidP="00B144AE">
      <w:pPr>
        <w:pStyle w:val="corte4fondo"/>
        <w:numPr>
          <w:ilvl w:val="0"/>
          <w:numId w:val="15"/>
        </w:numPr>
        <w:ind w:left="0" w:hanging="567"/>
        <w:rPr>
          <w:rFonts w:cs="Arial"/>
          <w:bCs/>
          <w:sz w:val="28"/>
          <w:szCs w:val="28"/>
          <w:lang w:val="es-MX"/>
        </w:rPr>
      </w:pPr>
      <w:r w:rsidRPr="00C67536">
        <w:rPr>
          <w:rFonts w:eastAsiaTheme="minorHAnsi" w:cs="Arial"/>
          <w:sz w:val="28"/>
          <w:szCs w:val="28"/>
          <w:lang w:val="es-MX" w:eastAsia="en-US"/>
        </w:rPr>
        <w:t>También, argumenta vulnera</w:t>
      </w:r>
      <w:r w:rsidR="004463A5" w:rsidRPr="00C67536">
        <w:rPr>
          <w:rFonts w:eastAsiaTheme="minorHAnsi" w:cs="Arial"/>
          <w:sz w:val="28"/>
          <w:szCs w:val="28"/>
          <w:lang w:val="es-MX" w:eastAsia="en-US"/>
        </w:rPr>
        <w:t>ción a</w:t>
      </w:r>
      <w:r w:rsidRPr="00C67536">
        <w:rPr>
          <w:rFonts w:eastAsiaTheme="minorHAnsi" w:cs="Arial"/>
          <w:sz w:val="28"/>
          <w:szCs w:val="28"/>
          <w:lang w:val="es-MX" w:eastAsia="en-US"/>
        </w:rPr>
        <w:t xml:space="preserve"> la debida fundamentación y motivación, porque </w:t>
      </w:r>
      <w:r w:rsidRPr="00C67536">
        <w:rPr>
          <w:rFonts w:eastAsiaTheme="minorHAnsi" w:cs="Arial"/>
          <w:b/>
          <w:bCs/>
          <w:sz w:val="28"/>
          <w:szCs w:val="28"/>
          <w:lang w:val="es-MX" w:eastAsia="en-US"/>
        </w:rPr>
        <w:t>no se pronuncia sobre los argumentos relativos al principio de igualdad</w:t>
      </w:r>
      <w:r w:rsidRPr="00C67536">
        <w:rPr>
          <w:rFonts w:eastAsiaTheme="minorHAnsi" w:cs="Arial"/>
          <w:sz w:val="28"/>
          <w:szCs w:val="28"/>
          <w:lang w:val="es-MX" w:eastAsia="en-US"/>
        </w:rPr>
        <w:t>, sin señalar las razones y fundamentos que lo llevaron a considerar idónea y necesaria la información protegida constitucionalmente. De igual forma, no indicó las razones y fundamentos que los llevaron a descartar otros sistemas de etiquetado, así como el sistema de etiquetado frontal como necesario.</w:t>
      </w:r>
    </w:p>
    <w:p w14:paraId="3748E265" w14:textId="77777777" w:rsidR="00FB04EE" w:rsidRPr="00C67536" w:rsidRDefault="00FB04EE" w:rsidP="00D637D2">
      <w:pPr>
        <w:pStyle w:val="ListParagraph"/>
        <w:rPr>
          <w:rFonts w:ascii="Arial" w:eastAsiaTheme="minorHAnsi" w:hAnsi="Arial" w:cs="Arial"/>
          <w:sz w:val="28"/>
          <w:szCs w:val="28"/>
          <w:lang w:eastAsia="en-US"/>
        </w:rPr>
      </w:pPr>
    </w:p>
    <w:p w14:paraId="0ADB51F2" w14:textId="77777777" w:rsidR="00506118" w:rsidRPr="00C67536" w:rsidRDefault="003E10AD" w:rsidP="00B144AE">
      <w:pPr>
        <w:pStyle w:val="corte4fondo"/>
        <w:numPr>
          <w:ilvl w:val="0"/>
          <w:numId w:val="15"/>
        </w:numPr>
        <w:ind w:left="0" w:hanging="567"/>
        <w:rPr>
          <w:rFonts w:cs="Arial"/>
          <w:bCs/>
          <w:sz w:val="28"/>
          <w:szCs w:val="28"/>
          <w:lang w:val="es-MX"/>
        </w:rPr>
      </w:pPr>
      <w:r w:rsidRPr="00C67536">
        <w:rPr>
          <w:rFonts w:eastAsiaTheme="minorHAnsi" w:cs="Arial"/>
          <w:sz w:val="28"/>
          <w:szCs w:val="28"/>
          <w:lang w:eastAsia="en-US"/>
        </w:rPr>
        <w:t xml:space="preserve">En el </w:t>
      </w:r>
      <w:r w:rsidRPr="00C67536">
        <w:rPr>
          <w:rFonts w:eastAsiaTheme="minorHAnsi" w:cs="Arial"/>
          <w:b/>
          <w:bCs/>
          <w:sz w:val="28"/>
          <w:szCs w:val="28"/>
          <w:lang w:eastAsia="en-US"/>
        </w:rPr>
        <w:t>segundo agravio</w:t>
      </w:r>
      <w:r w:rsidRPr="00C67536">
        <w:rPr>
          <w:rFonts w:eastAsiaTheme="minorHAnsi" w:cs="Arial"/>
          <w:sz w:val="28"/>
          <w:szCs w:val="28"/>
          <w:lang w:eastAsia="en-US"/>
        </w:rPr>
        <w:t xml:space="preserve">, </w:t>
      </w:r>
      <w:r w:rsidR="002F3465" w:rsidRPr="00C67536">
        <w:rPr>
          <w:rFonts w:eastAsiaTheme="minorHAnsi" w:cs="Arial"/>
          <w:sz w:val="28"/>
          <w:szCs w:val="28"/>
          <w:lang w:eastAsia="en-US"/>
        </w:rPr>
        <w:t>refiere</w:t>
      </w:r>
      <w:r w:rsidRPr="00C67536">
        <w:rPr>
          <w:rFonts w:eastAsiaTheme="minorHAnsi" w:cs="Arial"/>
          <w:sz w:val="28"/>
          <w:szCs w:val="28"/>
          <w:lang w:eastAsia="en-US"/>
        </w:rPr>
        <w:t xml:space="preserve"> </w:t>
      </w:r>
      <w:r w:rsidRPr="00C67536">
        <w:rPr>
          <w:rFonts w:eastAsiaTheme="minorHAnsi" w:cs="Arial"/>
          <w:b/>
          <w:bCs/>
          <w:sz w:val="28"/>
          <w:szCs w:val="28"/>
          <w:lang w:eastAsia="en-US"/>
        </w:rPr>
        <w:t>que sí ofreció un término de comparación homologable</w:t>
      </w:r>
      <w:r w:rsidRPr="00C67536">
        <w:rPr>
          <w:rFonts w:eastAsiaTheme="minorHAnsi" w:cs="Arial"/>
          <w:sz w:val="28"/>
          <w:szCs w:val="28"/>
          <w:lang w:eastAsia="en-US"/>
        </w:rPr>
        <w:t xml:space="preserve"> entre los productos preenvasados y los productos a granel o envasados en punto de venta, porque no se exponen las razones por las cuales era necesario o conveniente exentar a los terceros que vendan los mismos productos que ella y que no fueron incluidos dentro de la regulación de la modificación.</w:t>
      </w:r>
    </w:p>
    <w:p w14:paraId="1AE361FF" w14:textId="77777777" w:rsidR="00506118" w:rsidRPr="00C67536" w:rsidRDefault="00506118" w:rsidP="00D637D2">
      <w:pPr>
        <w:pStyle w:val="ListParagraph"/>
        <w:rPr>
          <w:rFonts w:ascii="Arial" w:eastAsiaTheme="minorHAnsi" w:hAnsi="Arial" w:cs="Arial"/>
          <w:sz w:val="28"/>
          <w:szCs w:val="28"/>
          <w:lang w:eastAsia="en-US"/>
        </w:rPr>
      </w:pPr>
    </w:p>
    <w:p w14:paraId="4AAF175C" w14:textId="77777777" w:rsidR="00E978A6" w:rsidRPr="00C67536" w:rsidRDefault="003E10AD" w:rsidP="00B144AE">
      <w:pPr>
        <w:pStyle w:val="corte4fondo"/>
        <w:numPr>
          <w:ilvl w:val="0"/>
          <w:numId w:val="15"/>
        </w:numPr>
        <w:ind w:left="0" w:hanging="567"/>
        <w:rPr>
          <w:rFonts w:cs="Arial"/>
          <w:bCs/>
          <w:sz w:val="28"/>
          <w:szCs w:val="28"/>
          <w:lang w:val="es-MX"/>
        </w:rPr>
      </w:pPr>
      <w:r w:rsidRPr="00C67536">
        <w:rPr>
          <w:rFonts w:eastAsiaTheme="minorHAnsi" w:cs="Arial"/>
          <w:sz w:val="28"/>
          <w:szCs w:val="28"/>
          <w:lang w:eastAsia="en-US"/>
        </w:rPr>
        <w:t>Además, que acreditó la identidad en la naturaleza sustantiva calórica, entre los productos respecto de los que se propone la comparación, con independencia de cómo se vendan, pues cualquier tercero podría adquirir un producto de la quejosa, remover el envase y venderlo a granel o en punto de venta, sin estar obligado a observar la modificación.</w:t>
      </w:r>
    </w:p>
    <w:p w14:paraId="3A2010FE" w14:textId="77777777" w:rsidR="00E978A6" w:rsidRPr="00C67536" w:rsidRDefault="00E978A6" w:rsidP="00D637D2">
      <w:pPr>
        <w:pStyle w:val="ListParagraph"/>
        <w:rPr>
          <w:rFonts w:ascii="Arial" w:eastAsiaTheme="minorHAnsi" w:hAnsi="Arial" w:cs="Arial"/>
          <w:sz w:val="28"/>
          <w:szCs w:val="28"/>
          <w:lang w:eastAsia="en-US"/>
        </w:rPr>
      </w:pPr>
    </w:p>
    <w:p w14:paraId="0F2A2A56" w14:textId="77777777" w:rsidR="00D728ED" w:rsidRPr="00C67536" w:rsidRDefault="003E10AD" w:rsidP="00B144AE">
      <w:pPr>
        <w:pStyle w:val="corte4fondo"/>
        <w:numPr>
          <w:ilvl w:val="0"/>
          <w:numId w:val="15"/>
        </w:numPr>
        <w:ind w:left="0" w:hanging="567"/>
        <w:rPr>
          <w:rFonts w:cs="Arial"/>
          <w:bCs/>
          <w:sz w:val="28"/>
          <w:szCs w:val="28"/>
          <w:lang w:val="es-MX"/>
        </w:rPr>
      </w:pPr>
      <w:r w:rsidRPr="00C67536">
        <w:rPr>
          <w:rFonts w:eastAsiaTheme="minorHAnsi" w:cs="Arial"/>
          <w:sz w:val="28"/>
          <w:szCs w:val="28"/>
          <w:lang w:eastAsia="en-US"/>
        </w:rPr>
        <w:t>De igual forma,</w:t>
      </w:r>
      <w:r w:rsidR="00E978A6" w:rsidRPr="00C67536">
        <w:rPr>
          <w:rFonts w:eastAsiaTheme="minorHAnsi" w:cs="Arial"/>
          <w:sz w:val="28"/>
          <w:szCs w:val="28"/>
          <w:lang w:eastAsia="en-US"/>
        </w:rPr>
        <w:t xml:space="preserve"> refiere</w:t>
      </w:r>
      <w:r w:rsidRPr="00C67536">
        <w:rPr>
          <w:rFonts w:eastAsiaTheme="minorHAnsi" w:cs="Arial"/>
          <w:sz w:val="28"/>
          <w:szCs w:val="28"/>
          <w:lang w:eastAsia="en-US"/>
        </w:rPr>
        <w:t xml:space="preserve"> que </w:t>
      </w:r>
      <w:r w:rsidRPr="00C67536">
        <w:rPr>
          <w:rFonts w:eastAsiaTheme="minorHAnsi" w:cs="Arial"/>
          <w:b/>
          <w:bCs/>
          <w:sz w:val="28"/>
          <w:szCs w:val="28"/>
          <w:lang w:eastAsia="en-US"/>
        </w:rPr>
        <w:t>existen productos a granel o en punto de origen que contienen las mismas calorías que los productos que elabora la quejosa</w:t>
      </w:r>
      <w:r w:rsidRPr="00C67536">
        <w:rPr>
          <w:rFonts w:eastAsiaTheme="minorHAnsi" w:cs="Arial"/>
          <w:sz w:val="28"/>
          <w:szCs w:val="28"/>
          <w:lang w:eastAsia="en-US"/>
        </w:rPr>
        <w:t>, por lo que deberían ser materia de la misma regulación, pues el fin de las normas es proteger la salud de los consumidores, por medio del combate a la obesidad. Por ello, aduce que dichos productos son idénticos en riesgo calórico, por lo que se deben aplicar las mismas reglas, por lo que la distinción que realiza la norma es injustificada.</w:t>
      </w:r>
    </w:p>
    <w:p w14:paraId="5FA6D27F" w14:textId="77777777" w:rsidR="00D728ED" w:rsidRPr="00C67536" w:rsidRDefault="00D728ED" w:rsidP="00D728ED">
      <w:pPr>
        <w:pStyle w:val="ListParagraph"/>
        <w:rPr>
          <w:rFonts w:ascii="Arial" w:eastAsiaTheme="minorHAnsi" w:hAnsi="Arial" w:cs="Arial"/>
          <w:sz w:val="28"/>
          <w:szCs w:val="28"/>
          <w:lang w:eastAsia="en-US"/>
        </w:rPr>
      </w:pPr>
    </w:p>
    <w:p w14:paraId="614A3DED" w14:textId="198B46DC" w:rsidR="003E10AD" w:rsidRPr="00C67536" w:rsidRDefault="003E10AD" w:rsidP="00B144AE">
      <w:pPr>
        <w:pStyle w:val="corte4fondo"/>
        <w:numPr>
          <w:ilvl w:val="0"/>
          <w:numId w:val="15"/>
        </w:numPr>
        <w:ind w:left="0" w:hanging="567"/>
        <w:rPr>
          <w:rFonts w:cs="Arial"/>
          <w:bCs/>
          <w:sz w:val="28"/>
          <w:szCs w:val="28"/>
          <w:lang w:val="es-MX"/>
        </w:rPr>
      </w:pPr>
      <w:r w:rsidRPr="00C67536">
        <w:rPr>
          <w:rFonts w:eastAsiaTheme="minorHAnsi" w:cs="Arial"/>
          <w:sz w:val="28"/>
          <w:szCs w:val="28"/>
          <w:lang w:eastAsia="en-US"/>
        </w:rPr>
        <w:t xml:space="preserve">Así, concluye que </w:t>
      </w:r>
      <w:r w:rsidRPr="00C67536">
        <w:rPr>
          <w:rFonts w:eastAsiaTheme="minorHAnsi" w:cs="Arial"/>
          <w:b/>
          <w:bCs/>
          <w:sz w:val="28"/>
          <w:szCs w:val="28"/>
          <w:lang w:eastAsia="en-US"/>
        </w:rPr>
        <w:t>sí existe el punto de homologación entre los productos elaborados por la peticionaria de amparo y los productos a granel y envasado en punto de venta</w:t>
      </w:r>
      <w:r w:rsidRPr="00C67536">
        <w:rPr>
          <w:rFonts w:eastAsiaTheme="minorHAnsi" w:cs="Arial"/>
          <w:sz w:val="28"/>
          <w:szCs w:val="28"/>
          <w:lang w:eastAsia="en-US"/>
        </w:rPr>
        <w:t>, ya que la norma reclamada contiene una discriminación indirecta, al existir una diferenciación desproporcionada entre las personas que elaboran productos preenvasados, sin que exista una justificación objetiva para hacer una distinción entre productos de idéntica naturaleza y que representa el mismo riesgo de salud.</w:t>
      </w:r>
    </w:p>
    <w:p w14:paraId="2648386B" w14:textId="77777777" w:rsidR="00D728ED" w:rsidRPr="00C67536" w:rsidRDefault="00D728ED" w:rsidP="00953D8A">
      <w:pPr>
        <w:pStyle w:val="corte4fondo"/>
        <w:spacing w:line="240" w:lineRule="auto"/>
        <w:ind w:firstLine="0"/>
        <w:rPr>
          <w:rFonts w:cs="Arial"/>
          <w:bCs/>
          <w:sz w:val="28"/>
          <w:szCs w:val="28"/>
          <w:lang w:val="es-MX"/>
        </w:rPr>
      </w:pPr>
    </w:p>
    <w:p w14:paraId="149064C2" w14:textId="77777777" w:rsidR="00B841FE" w:rsidRPr="00C67536" w:rsidRDefault="002D3658" w:rsidP="00B144AE">
      <w:pPr>
        <w:pStyle w:val="corte4fondo"/>
        <w:numPr>
          <w:ilvl w:val="0"/>
          <w:numId w:val="15"/>
        </w:numPr>
        <w:ind w:left="0" w:hanging="567"/>
        <w:rPr>
          <w:rFonts w:cs="Arial"/>
          <w:bCs/>
          <w:sz w:val="28"/>
          <w:szCs w:val="28"/>
          <w:lang w:val="es-MX"/>
        </w:rPr>
      </w:pPr>
      <w:r w:rsidRPr="00C67536">
        <w:rPr>
          <w:rFonts w:cs="Arial"/>
          <w:bCs/>
          <w:sz w:val="28"/>
          <w:szCs w:val="28"/>
          <w:lang w:val="es-MX"/>
        </w:rPr>
        <w:t xml:space="preserve">Son </w:t>
      </w:r>
      <w:r w:rsidRPr="00C67536">
        <w:rPr>
          <w:rFonts w:cs="Arial"/>
          <w:b/>
          <w:sz w:val="28"/>
          <w:szCs w:val="28"/>
          <w:lang w:val="es-MX"/>
        </w:rPr>
        <w:t>infundados</w:t>
      </w:r>
      <w:r w:rsidRPr="00C67536">
        <w:rPr>
          <w:rFonts w:cs="Arial"/>
          <w:bCs/>
          <w:sz w:val="28"/>
          <w:szCs w:val="28"/>
          <w:lang w:val="es-MX"/>
        </w:rPr>
        <w:t xml:space="preserve"> los agravios antes mencionados.</w:t>
      </w:r>
    </w:p>
    <w:p w14:paraId="027635C1" w14:textId="77777777" w:rsidR="00B841FE" w:rsidRPr="00C67536" w:rsidRDefault="00B841FE" w:rsidP="00B841FE">
      <w:pPr>
        <w:pStyle w:val="ListParagraph"/>
        <w:rPr>
          <w:sz w:val="28"/>
          <w:szCs w:val="28"/>
        </w:rPr>
      </w:pPr>
    </w:p>
    <w:p w14:paraId="63986D63" w14:textId="1081AF42" w:rsidR="00286586" w:rsidRPr="00C67536" w:rsidRDefault="00B841FE" w:rsidP="00B144AE">
      <w:pPr>
        <w:pStyle w:val="corte4fondo"/>
        <w:numPr>
          <w:ilvl w:val="0"/>
          <w:numId w:val="15"/>
        </w:numPr>
        <w:ind w:left="0" w:hanging="567"/>
        <w:rPr>
          <w:sz w:val="28"/>
          <w:szCs w:val="28"/>
        </w:rPr>
      </w:pPr>
      <w:r w:rsidRPr="00C67536">
        <w:rPr>
          <w:sz w:val="28"/>
          <w:szCs w:val="28"/>
        </w:rPr>
        <w:t xml:space="preserve">En efecto, contrario a lo aducido por la quejosa, </w:t>
      </w:r>
      <w:r w:rsidR="00A370C4" w:rsidRPr="00C67536">
        <w:rPr>
          <w:sz w:val="28"/>
          <w:szCs w:val="28"/>
        </w:rPr>
        <w:t>el</w:t>
      </w:r>
      <w:r w:rsidRPr="00C67536">
        <w:rPr>
          <w:sz w:val="28"/>
          <w:szCs w:val="28"/>
        </w:rPr>
        <w:t xml:space="preserve"> </w:t>
      </w:r>
      <w:r w:rsidR="00DD7622" w:rsidRPr="00C67536">
        <w:rPr>
          <w:sz w:val="28"/>
          <w:szCs w:val="28"/>
        </w:rPr>
        <w:t>J</w:t>
      </w:r>
      <w:r w:rsidRPr="00C67536">
        <w:rPr>
          <w:sz w:val="28"/>
          <w:szCs w:val="28"/>
        </w:rPr>
        <w:t>uez</w:t>
      </w:r>
      <w:r w:rsidR="00A370C4" w:rsidRPr="00C67536">
        <w:rPr>
          <w:sz w:val="28"/>
          <w:szCs w:val="28"/>
        </w:rPr>
        <w:t xml:space="preserve"> de </w:t>
      </w:r>
      <w:r w:rsidR="00DD7622" w:rsidRPr="00C67536">
        <w:rPr>
          <w:sz w:val="28"/>
          <w:szCs w:val="28"/>
        </w:rPr>
        <w:t>D</w:t>
      </w:r>
      <w:r w:rsidR="00A370C4" w:rsidRPr="00C67536">
        <w:rPr>
          <w:sz w:val="28"/>
          <w:szCs w:val="28"/>
        </w:rPr>
        <w:t xml:space="preserve">istrito sí analizó el concepto de violación relativo a la vulneración al </w:t>
      </w:r>
      <w:r w:rsidR="00667F1D" w:rsidRPr="00C67536">
        <w:rPr>
          <w:sz w:val="28"/>
          <w:szCs w:val="28"/>
        </w:rPr>
        <w:t xml:space="preserve">derecho a la igualdad contemplado en el artículo 1° </w:t>
      </w:r>
      <w:r w:rsidR="00DD7622" w:rsidRPr="00C67536">
        <w:rPr>
          <w:sz w:val="28"/>
          <w:szCs w:val="28"/>
        </w:rPr>
        <w:t>c</w:t>
      </w:r>
      <w:r w:rsidR="00667F1D" w:rsidRPr="00C67536">
        <w:rPr>
          <w:sz w:val="28"/>
          <w:szCs w:val="28"/>
        </w:rPr>
        <w:t>onstitucional</w:t>
      </w:r>
      <w:r w:rsidR="00B97E32" w:rsidRPr="00C67536">
        <w:rPr>
          <w:sz w:val="28"/>
          <w:szCs w:val="28"/>
        </w:rPr>
        <w:t xml:space="preserve">, pero lo declaró infundado porque </w:t>
      </w:r>
      <w:r w:rsidR="000820B8" w:rsidRPr="00C67536">
        <w:rPr>
          <w:sz w:val="28"/>
          <w:szCs w:val="28"/>
        </w:rPr>
        <w:t>la</w:t>
      </w:r>
      <w:r w:rsidR="00B97E32" w:rsidRPr="00C67536">
        <w:rPr>
          <w:sz w:val="28"/>
          <w:szCs w:val="28"/>
        </w:rPr>
        <w:t xml:space="preserve"> inconforme</w:t>
      </w:r>
      <w:r w:rsidR="000820B8" w:rsidRPr="00C67536">
        <w:rPr>
          <w:sz w:val="28"/>
          <w:szCs w:val="28"/>
        </w:rPr>
        <w:t xml:space="preserve"> no cumpl</w:t>
      </w:r>
      <w:r w:rsidR="00B97E32" w:rsidRPr="00C67536">
        <w:rPr>
          <w:sz w:val="28"/>
          <w:szCs w:val="28"/>
        </w:rPr>
        <w:t>ió</w:t>
      </w:r>
      <w:r w:rsidR="000820B8" w:rsidRPr="00C67536">
        <w:rPr>
          <w:sz w:val="28"/>
          <w:szCs w:val="28"/>
        </w:rPr>
        <w:t xml:space="preserve"> con la carga argumentativa suficiente </w:t>
      </w:r>
      <w:r w:rsidR="00B31026" w:rsidRPr="00C67536">
        <w:rPr>
          <w:sz w:val="28"/>
          <w:szCs w:val="28"/>
        </w:rPr>
        <w:t xml:space="preserve">de </w:t>
      </w:r>
      <w:r w:rsidR="00286586" w:rsidRPr="00C67536">
        <w:rPr>
          <w:sz w:val="28"/>
          <w:szCs w:val="28"/>
        </w:rPr>
        <w:t xml:space="preserve">establecer </w:t>
      </w:r>
      <w:r w:rsidR="000820B8" w:rsidRPr="00C67536">
        <w:rPr>
          <w:sz w:val="28"/>
          <w:szCs w:val="28"/>
        </w:rPr>
        <w:t>un punto o término de comparación que sea idóneo ni homologable, semejante o análogo.</w:t>
      </w:r>
    </w:p>
    <w:p w14:paraId="69A94E0C" w14:textId="77777777" w:rsidR="00286586" w:rsidRPr="00C67536" w:rsidRDefault="00286586" w:rsidP="00286586">
      <w:pPr>
        <w:pStyle w:val="ListParagraph"/>
        <w:rPr>
          <w:sz w:val="28"/>
          <w:szCs w:val="28"/>
        </w:rPr>
      </w:pPr>
    </w:p>
    <w:p w14:paraId="7357046C" w14:textId="5705F67D" w:rsidR="00CB04BB" w:rsidRPr="00C67536" w:rsidRDefault="000820B8" w:rsidP="00B144AE">
      <w:pPr>
        <w:pStyle w:val="corte4fondo"/>
        <w:numPr>
          <w:ilvl w:val="0"/>
          <w:numId w:val="15"/>
        </w:numPr>
        <w:ind w:left="0" w:hanging="567"/>
        <w:rPr>
          <w:sz w:val="28"/>
          <w:szCs w:val="28"/>
        </w:rPr>
      </w:pPr>
      <w:r w:rsidRPr="00C67536">
        <w:rPr>
          <w:sz w:val="28"/>
          <w:szCs w:val="28"/>
        </w:rPr>
        <w:t>Lo anterior,</w:t>
      </w:r>
      <w:r w:rsidR="00286586" w:rsidRPr="00C67536">
        <w:rPr>
          <w:sz w:val="28"/>
          <w:szCs w:val="28"/>
        </w:rPr>
        <w:t xml:space="preserve"> porque el juez Federal consideró</w:t>
      </w:r>
      <w:r w:rsidRPr="00C67536">
        <w:rPr>
          <w:sz w:val="28"/>
          <w:szCs w:val="28"/>
        </w:rPr>
        <w:t xml:space="preserve"> que las situaciones a comparar no pueden contrastarse, en virtud de que la norma oficial mexicana va dirigida a los alimentos y bebidas no alcohólicas, que son colocados en un envase de cualquier naturaleza, en ausencia del consumidor y la cantidad de producto contenido en él no puede ser alterada, a menos que el envase sea abierto o modificado perceptiblemente, siendo el caso que los alimentos a granel preseleccionados y empaquetados en punto de venta pueden ser</w:t>
      </w:r>
      <w:r w:rsidR="00CB04BB" w:rsidRPr="00C67536">
        <w:rPr>
          <w:sz w:val="28"/>
          <w:szCs w:val="28"/>
        </w:rPr>
        <w:t xml:space="preserve"> </w:t>
      </w:r>
      <w:r w:rsidRPr="00C67536">
        <w:rPr>
          <w:sz w:val="28"/>
          <w:szCs w:val="28"/>
        </w:rPr>
        <w:t>alterados o modificados en cuanto a su contenido, por ello se trata de productos de distinta naturaleza</w:t>
      </w:r>
      <w:r w:rsidR="004B3C20" w:rsidRPr="00C67536">
        <w:rPr>
          <w:sz w:val="28"/>
          <w:szCs w:val="28"/>
        </w:rPr>
        <w:t>.</w:t>
      </w:r>
    </w:p>
    <w:p w14:paraId="7C54D6E0" w14:textId="77777777" w:rsidR="001C1BDB" w:rsidRPr="00C67536" w:rsidRDefault="001C1BDB" w:rsidP="001C1BDB">
      <w:pPr>
        <w:pStyle w:val="ListParagraph"/>
        <w:rPr>
          <w:sz w:val="28"/>
          <w:szCs w:val="28"/>
        </w:rPr>
      </w:pPr>
    </w:p>
    <w:p w14:paraId="7A13FF35" w14:textId="2F5F4CE2" w:rsidR="00E66FAC" w:rsidRPr="00C67536" w:rsidRDefault="00E666F1" w:rsidP="00B144AE">
      <w:pPr>
        <w:pStyle w:val="corte4fondo"/>
        <w:numPr>
          <w:ilvl w:val="0"/>
          <w:numId w:val="15"/>
        </w:numPr>
        <w:ind w:left="0" w:hanging="567"/>
        <w:rPr>
          <w:sz w:val="28"/>
          <w:szCs w:val="28"/>
        </w:rPr>
      </w:pPr>
      <w:r w:rsidRPr="00C67536">
        <w:rPr>
          <w:sz w:val="28"/>
          <w:szCs w:val="28"/>
        </w:rPr>
        <w:t>En ese contexto, los restantes conceptos de violación son infundados</w:t>
      </w:r>
      <w:r w:rsidR="00E66FAC" w:rsidRPr="00C67536">
        <w:rPr>
          <w:sz w:val="28"/>
          <w:szCs w:val="28"/>
        </w:rPr>
        <w:t xml:space="preserve"> por los siguientes motivos.</w:t>
      </w:r>
    </w:p>
    <w:p w14:paraId="6C3293B4" w14:textId="77777777" w:rsidR="00E66FAC" w:rsidRPr="00C67536" w:rsidRDefault="00E66FAC" w:rsidP="00D637D2">
      <w:pPr>
        <w:pStyle w:val="ListParagraph"/>
        <w:rPr>
          <w:rFonts w:cs="Arial"/>
          <w:bCs/>
          <w:sz w:val="28"/>
          <w:szCs w:val="28"/>
        </w:rPr>
      </w:pPr>
    </w:p>
    <w:p w14:paraId="5E69C6C0" w14:textId="77777777" w:rsidR="00A10578" w:rsidRPr="00C67536" w:rsidRDefault="00E66FAC" w:rsidP="00B144AE">
      <w:pPr>
        <w:pStyle w:val="corte4fondo"/>
        <w:numPr>
          <w:ilvl w:val="0"/>
          <w:numId w:val="15"/>
        </w:numPr>
        <w:ind w:left="0" w:hanging="567"/>
      </w:pPr>
      <w:r w:rsidRPr="00C67536">
        <w:rPr>
          <w:rFonts w:cs="Arial"/>
          <w:bCs/>
          <w:sz w:val="28"/>
          <w:szCs w:val="28"/>
        </w:rPr>
        <w:t>E</w:t>
      </w:r>
      <w:r w:rsidR="001C1BDB" w:rsidRPr="00C67536">
        <w:rPr>
          <w:rFonts w:cs="Arial"/>
          <w:sz w:val="28"/>
          <w:szCs w:val="28"/>
        </w:rPr>
        <w:t>l principio de igualdad se encuentra positivizado en diversos preceptos de la Constitución Política de los Estados Unidos Mexicanos, así como en diferentes ordenamientos de índole internacional, tal como la Convención Americana sobre Derechos Humanos, cuyo artículo 24 dispone que todas las personas son iguales ante la ley y, en consecuencia, tienen derecho a igual protección sin discriminación alguna.</w:t>
      </w:r>
    </w:p>
    <w:p w14:paraId="1AFA9E73" w14:textId="77777777" w:rsidR="00A10578" w:rsidRPr="00C67536" w:rsidRDefault="00A10578" w:rsidP="00D637D2">
      <w:pPr>
        <w:pStyle w:val="ListParagraph"/>
        <w:rPr>
          <w:rFonts w:cs="Arial"/>
          <w:sz w:val="28"/>
          <w:szCs w:val="28"/>
        </w:rPr>
      </w:pPr>
    </w:p>
    <w:p w14:paraId="4EDB8B31" w14:textId="77777777" w:rsidR="00A10578" w:rsidRPr="00C67536" w:rsidRDefault="001C1BDB" w:rsidP="00B144AE">
      <w:pPr>
        <w:pStyle w:val="corte4fondo"/>
        <w:numPr>
          <w:ilvl w:val="0"/>
          <w:numId w:val="15"/>
        </w:numPr>
        <w:ind w:left="0" w:hanging="567"/>
      </w:pPr>
      <w:r w:rsidRPr="00C67536">
        <w:rPr>
          <w:rFonts w:cs="Arial"/>
          <w:sz w:val="28"/>
          <w:szCs w:val="28"/>
        </w:rPr>
        <w:t>Dichas disposiciones imponen obligaciones o deberes específicos a los poderes públicos en relación con el principio indicado que no postula la paridad entre todos los individuos ni implica</w:t>
      </w:r>
      <w:r w:rsidRPr="00C67536">
        <w:rPr>
          <w:rFonts w:cs="Arial"/>
          <w:sz w:val="28"/>
          <w:szCs w:val="28"/>
          <w:lang w:val="es-MX"/>
        </w:rPr>
        <w:t>,</w:t>
      </w:r>
      <w:r w:rsidRPr="00C67536">
        <w:rPr>
          <w:rFonts w:cs="Arial"/>
          <w:sz w:val="28"/>
          <w:szCs w:val="28"/>
        </w:rPr>
        <w:t xml:space="preserve"> necesariamente</w:t>
      </w:r>
      <w:r w:rsidRPr="00C67536">
        <w:rPr>
          <w:rFonts w:cs="Arial"/>
          <w:sz w:val="28"/>
          <w:szCs w:val="28"/>
          <w:lang w:val="es-MX"/>
        </w:rPr>
        <w:t>,</w:t>
      </w:r>
      <w:r w:rsidRPr="00C67536">
        <w:rPr>
          <w:rFonts w:cs="Arial"/>
          <w:sz w:val="28"/>
          <w:szCs w:val="28"/>
        </w:rPr>
        <w:t xml:space="preserve"> una igualdad material, sino que exige razonabilidad en la diferencia de trato, como criterio básico para la producción normativa. </w:t>
      </w:r>
    </w:p>
    <w:p w14:paraId="5777AB3E" w14:textId="77777777" w:rsidR="00A10578" w:rsidRPr="00C67536" w:rsidRDefault="00A10578" w:rsidP="00A10578">
      <w:pPr>
        <w:pStyle w:val="ListParagraph"/>
        <w:rPr>
          <w:rFonts w:cs="Arial"/>
          <w:sz w:val="28"/>
          <w:szCs w:val="28"/>
        </w:rPr>
      </w:pPr>
    </w:p>
    <w:p w14:paraId="404CC4FB" w14:textId="77777777" w:rsidR="00A10578" w:rsidRPr="00C67536" w:rsidRDefault="001C1BDB" w:rsidP="00B144AE">
      <w:pPr>
        <w:pStyle w:val="corte4fondo"/>
        <w:numPr>
          <w:ilvl w:val="0"/>
          <w:numId w:val="15"/>
        </w:numPr>
        <w:ind w:left="0" w:hanging="567"/>
      </w:pPr>
      <w:r w:rsidRPr="00C67536">
        <w:rPr>
          <w:rFonts w:cs="Arial"/>
          <w:sz w:val="28"/>
          <w:szCs w:val="28"/>
        </w:rPr>
        <w:t>Así, esta Suprema Corte de Justicia de la Nación ha sostenido que del principio en análisis derivan dos directrices que vinculan específicamente al legislador ordinario. Por un lado, un mandamiento de trato igual en supuestos de hecho equivalentes, salvo que exista fundamento objetivo y razonable para efectuar diferenciación entre esos supuestos y, por el otro, un mandato de trato desigual que obliga al legislador a establecer diferencias entre supuestos de hecho distintos.</w:t>
      </w:r>
    </w:p>
    <w:p w14:paraId="5C2DA1F4" w14:textId="77777777" w:rsidR="00A10578" w:rsidRPr="00C67536" w:rsidRDefault="00A10578" w:rsidP="00A10578">
      <w:pPr>
        <w:pStyle w:val="ListParagraph"/>
        <w:rPr>
          <w:rFonts w:cs="Arial"/>
          <w:sz w:val="28"/>
          <w:szCs w:val="28"/>
        </w:rPr>
      </w:pPr>
    </w:p>
    <w:p w14:paraId="04AC541E" w14:textId="77777777" w:rsidR="006E24D3" w:rsidRPr="00C67536" w:rsidRDefault="001C1BDB" w:rsidP="00B144AE">
      <w:pPr>
        <w:pStyle w:val="corte4fondo"/>
        <w:numPr>
          <w:ilvl w:val="0"/>
          <w:numId w:val="15"/>
        </w:numPr>
        <w:ind w:left="0" w:hanging="567"/>
      </w:pPr>
      <w:r w:rsidRPr="00C67536">
        <w:rPr>
          <w:rFonts w:cs="Arial"/>
          <w:sz w:val="28"/>
          <w:szCs w:val="28"/>
        </w:rPr>
        <w:t>En ese orden de ideas, para que las diferencias normativas puedan considerarse apegadas al principio de igualdad es indispensable que exista una justificación objetiva y razonable de acuerdo con estándares y juicios de valor generalmente aceptados, cuya pertinencia debe apreciarse en relación con la finalidad y efectos de la medida considerada, debiendo concurrir una relación de proporcionalidad entre los medios empleados y la finalidad perseguida.</w:t>
      </w:r>
    </w:p>
    <w:p w14:paraId="6223BA92" w14:textId="77777777" w:rsidR="006E24D3" w:rsidRPr="00C67536" w:rsidRDefault="006E24D3" w:rsidP="006E24D3">
      <w:pPr>
        <w:pStyle w:val="ListParagraph"/>
        <w:rPr>
          <w:rFonts w:cs="Arial"/>
          <w:sz w:val="28"/>
          <w:szCs w:val="28"/>
        </w:rPr>
      </w:pPr>
    </w:p>
    <w:p w14:paraId="6D6EA735" w14:textId="77777777" w:rsidR="006E24D3" w:rsidRPr="00C67536" w:rsidRDefault="001C1BDB" w:rsidP="00B144AE">
      <w:pPr>
        <w:pStyle w:val="corte4fondo"/>
        <w:numPr>
          <w:ilvl w:val="0"/>
          <w:numId w:val="15"/>
        </w:numPr>
        <w:ind w:left="0" w:hanging="567"/>
      </w:pPr>
      <w:r w:rsidRPr="00C67536">
        <w:rPr>
          <w:rFonts w:cs="Arial"/>
          <w:sz w:val="28"/>
          <w:szCs w:val="28"/>
        </w:rPr>
        <w:t xml:space="preserve">La igualdad normativa de que se habla presupone necesariamente una comparación entre dos o más regímenes jurídicos, ya que uno no es discriminatorio por sí mismo, sino en relación con otro. </w:t>
      </w:r>
    </w:p>
    <w:p w14:paraId="49117B7D" w14:textId="77777777" w:rsidR="006E24D3" w:rsidRPr="00C67536" w:rsidRDefault="006E24D3" w:rsidP="006E24D3">
      <w:pPr>
        <w:pStyle w:val="ListParagraph"/>
        <w:rPr>
          <w:rFonts w:cs="Arial"/>
          <w:sz w:val="28"/>
          <w:szCs w:val="28"/>
        </w:rPr>
      </w:pPr>
    </w:p>
    <w:p w14:paraId="0BFDD708" w14:textId="77777777" w:rsidR="006E24D3" w:rsidRPr="00C67536" w:rsidRDefault="001C1BDB" w:rsidP="00B144AE">
      <w:pPr>
        <w:pStyle w:val="corte4fondo"/>
        <w:numPr>
          <w:ilvl w:val="0"/>
          <w:numId w:val="15"/>
        </w:numPr>
        <w:ind w:left="0" w:hanging="567"/>
      </w:pPr>
      <w:r w:rsidRPr="00C67536">
        <w:rPr>
          <w:rFonts w:cs="Arial"/>
          <w:sz w:val="28"/>
          <w:szCs w:val="28"/>
        </w:rPr>
        <w:t xml:space="preserve">Por tanto, el primer aspecto necesario para analizar una norma a la luz del derecho de igualdad consiste en elegir el término de comparación apropiado que permita confrontar a los sujetos desde un determinado punto de vista y establecer si se encuentran o no en una situación de igualdad respecto de otros individuos sujetos a diverso régimen y si el trato que se les otorga, con base en el propio término de comparación, es diferente. </w:t>
      </w:r>
    </w:p>
    <w:p w14:paraId="242EF865" w14:textId="77777777" w:rsidR="006E24D3" w:rsidRPr="00C67536" w:rsidRDefault="006E24D3" w:rsidP="006E24D3">
      <w:pPr>
        <w:pStyle w:val="ListParagraph"/>
        <w:rPr>
          <w:rFonts w:cs="Arial"/>
          <w:sz w:val="28"/>
          <w:szCs w:val="28"/>
        </w:rPr>
      </w:pPr>
    </w:p>
    <w:p w14:paraId="665096E6" w14:textId="77777777" w:rsidR="006E24D3" w:rsidRPr="00C67536" w:rsidRDefault="001C1BDB" w:rsidP="00B144AE">
      <w:pPr>
        <w:pStyle w:val="corte4fondo"/>
        <w:numPr>
          <w:ilvl w:val="0"/>
          <w:numId w:val="15"/>
        </w:numPr>
        <w:ind w:left="0" w:hanging="567"/>
      </w:pPr>
      <w:r w:rsidRPr="00C67536">
        <w:rPr>
          <w:rFonts w:cs="Arial"/>
          <w:sz w:val="28"/>
          <w:szCs w:val="28"/>
        </w:rPr>
        <w:t xml:space="preserve">En caso de que los sujetos comparados no sean iguales o no sean tratados de manera desigual, no habrá violación al </w:t>
      </w:r>
      <w:r w:rsidRPr="00C67536">
        <w:rPr>
          <w:rFonts w:cs="Arial"/>
          <w:sz w:val="28"/>
          <w:szCs w:val="28"/>
          <w:lang w:val="es-MX"/>
        </w:rPr>
        <w:t>derecho</w:t>
      </w:r>
      <w:r w:rsidRPr="00C67536">
        <w:rPr>
          <w:rFonts w:cs="Arial"/>
          <w:sz w:val="28"/>
          <w:szCs w:val="28"/>
        </w:rPr>
        <w:t xml:space="preserve"> individual en cuestión y, por ende, el argumento será inoperante.</w:t>
      </w:r>
    </w:p>
    <w:p w14:paraId="3CB9F528" w14:textId="77777777" w:rsidR="006E24D3" w:rsidRPr="00C67536" w:rsidRDefault="006E24D3" w:rsidP="00D637D2">
      <w:pPr>
        <w:pStyle w:val="ListParagraph"/>
        <w:rPr>
          <w:rFonts w:cs="Arial"/>
          <w:sz w:val="28"/>
          <w:szCs w:val="28"/>
        </w:rPr>
      </w:pPr>
    </w:p>
    <w:p w14:paraId="04346E14" w14:textId="77777777" w:rsidR="006E24D3" w:rsidRPr="00C67536" w:rsidRDefault="001C1BDB" w:rsidP="00B144AE">
      <w:pPr>
        <w:pStyle w:val="corte4fondo"/>
        <w:numPr>
          <w:ilvl w:val="0"/>
          <w:numId w:val="15"/>
        </w:numPr>
        <w:ind w:left="0" w:hanging="567"/>
      </w:pPr>
      <w:r w:rsidRPr="00C67536">
        <w:rPr>
          <w:rFonts w:cs="Arial"/>
          <w:sz w:val="28"/>
          <w:szCs w:val="28"/>
        </w:rPr>
        <w:t xml:space="preserve">Posteriormente, establecida la situación de igualdad y la diferencia de trato, debe determinarse si la diferenciación persigue una finalidad constitucionalmente válida y si es adecuada para alcanzarla. </w:t>
      </w:r>
    </w:p>
    <w:p w14:paraId="6A6F9E66" w14:textId="77777777" w:rsidR="006E24D3" w:rsidRPr="00C67536" w:rsidRDefault="006E24D3" w:rsidP="00D637D2">
      <w:pPr>
        <w:pStyle w:val="ListParagraph"/>
        <w:rPr>
          <w:rFonts w:cs="Arial"/>
          <w:sz w:val="28"/>
          <w:szCs w:val="28"/>
        </w:rPr>
      </w:pPr>
    </w:p>
    <w:p w14:paraId="112C1AC2" w14:textId="77777777" w:rsidR="006E24D3" w:rsidRPr="00C67536" w:rsidRDefault="001C1BDB" w:rsidP="00B144AE">
      <w:pPr>
        <w:pStyle w:val="corte4fondo"/>
        <w:numPr>
          <w:ilvl w:val="0"/>
          <w:numId w:val="15"/>
        </w:numPr>
        <w:ind w:left="0" w:hanging="567"/>
      </w:pPr>
      <w:r w:rsidRPr="00C67536">
        <w:rPr>
          <w:rFonts w:cs="Arial"/>
          <w:sz w:val="28"/>
          <w:szCs w:val="28"/>
        </w:rPr>
        <w:t>Finalmente, debe valorarse si la medida legislativa de que se trate resulta proporcional, es decir, si guarda una relación razonable con el fin que se procura alcanzar.</w:t>
      </w:r>
    </w:p>
    <w:p w14:paraId="640B4463" w14:textId="77777777" w:rsidR="006E24D3" w:rsidRPr="00C67536" w:rsidRDefault="006E24D3" w:rsidP="00D637D2">
      <w:pPr>
        <w:pStyle w:val="ListParagraph"/>
        <w:rPr>
          <w:rFonts w:cs="Arial"/>
          <w:sz w:val="28"/>
          <w:szCs w:val="28"/>
        </w:rPr>
      </w:pPr>
    </w:p>
    <w:p w14:paraId="3F9AA804" w14:textId="77777777" w:rsidR="006E24D3" w:rsidRPr="00C67536" w:rsidRDefault="001C1BDB" w:rsidP="00B144AE">
      <w:pPr>
        <w:pStyle w:val="corte4fondo"/>
        <w:numPr>
          <w:ilvl w:val="0"/>
          <w:numId w:val="15"/>
        </w:numPr>
        <w:ind w:left="0" w:hanging="567"/>
      </w:pPr>
      <w:r w:rsidRPr="00C67536">
        <w:rPr>
          <w:rFonts w:cs="Arial"/>
          <w:sz w:val="28"/>
          <w:szCs w:val="28"/>
        </w:rPr>
        <w:t>En consecuencia, el análisis de vulneración al principio de igualdad debe efectuarse a partir de la comprobación de la actualización de los siguientes supuestos:</w:t>
      </w:r>
    </w:p>
    <w:p w14:paraId="2B2C77C6" w14:textId="77777777" w:rsidR="006E24D3" w:rsidRPr="00C67536" w:rsidRDefault="006E24D3" w:rsidP="006E24D3">
      <w:pPr>
        <w:pStyle w:val="ListParagraph"/>
        <w:rPr>
          <w:rFonts w:cs="Arial"/>
          <w:sz w:val="28"/>
          <w:szCs w:val="28"/>
        </w:rPr>
      </w:pPr>
    </w:p>
    <w:p w14:paraId="407FBB50" w14:textId="77777777" w:rsidR="006E24D3" w:rsidRPr="00C67536" w:rsidRDefault="006E24D3" w:rsidP="006E24D3">
      <w:pPr>
        <w:pStyle w:val="corte4fondo"/>
        <w:spacing w:line="240" w:lineRule="auto"/>
        <w:ind w:left="567" w:right="567" w:firstLine="0"/>
        <w:rPr>
          <w:rFonts w:cs="Arial"/>
          <w:sz w:val="28"/>
          <w:szCs w:val="28"/>
          <w:lang w:val="es-ES"/>
        </w:rPr>
      </w:pPr>
      <w:r w:rsidRPr="00C67536">
        <w:rPr>
          <w:rFonts w:cs="Arial"/>
          <w:sz w:val="28"/>
          <w:szCs w:val="28"/>
          <w:lang w:val="es-MX"/>
        </w:rPr>
        <w:t>a</w:t>
      </w:r>
      <w:r w:rsidRPr="00C67536">
        <w:rPr>
          <w:rFonts w:cs="Arial"/>
          <w:sz w:val="28"/>
          <w:szCs w:val="28"/>
        </w:rPr>
        <w:t>) Verificación de la existencia de una diferencia de trato entre individuos o grupos que se encuentran en una situación comparable;</w:t>
      </w:r>
    </w:p>
    <w:p w14:paraId="7F41B02B" w14:textId="77777777" w:rsidR="006E24D3" w:rsidRPr="00C67536" w:rsidRDefault="006E24D3" w:rsidP="006E24D3">
      <w:pPr>
        <w:pStyle w:val="ListParagraph"/>
        <w:ind w:left="567" w:right="567"/>
        <w:jc w:val="both"/>
        <w:rPr>
          <w:rFonts w:ascii="Arial" w:hAnsi="Arial" w:cs="Arial"/>
          <w:sz w:val="28"/>
          <w:szCs w:val="28"/>
        </w:rPr>
      </w:pPr>
    </w:p>
    <w:p w14:paraId="16106619" w14:textId="77777777" w:rsidR="006E24D3" w:rsidRPr="00C67536" w:rsidRDefault="006E24D3" w:rsidP="006E24D3">
      <w:pPr>
        <w:pStyle w:val="corte4fondo"/>
        <w:spacing w:line="240" w:lineRule="auto"/>
        <w:ind w:left="567" w:right="567" w:firstLine="0"/>
        <w:rPr>
          <w:rFonts w:cs="Arial"/>
          <w:sz w:val="28"/>
          <w:szCs w:val="28"/>
          <w:lang w:val="es-ES"/>
        </w:rPr>
      </w:pPr>
      <w:r w:rsidRPr="00C67536">
        <w:rPr>
          <w:rFonts w:cs="Arial"/>
          <w:sz w:val="28"/>
          <w:szCs w:val="28"/>
          <w:lang w:val="es-MX"/>
        </w:rPr>
        <w:t>b</w:t>
      </w:r>
      <w:r w:rsidRPr="00C67536">
        <w:rPr>
          <w:rFonts w:cs="Arial"/>
          <w:sz w:val="28"/>
          <w:szCs w:val="28"/>
        </w:rPr>
        <w:t xml:space="preserve">) De existir esa situación comparable debe valorarse si la precisión legislativa obedece a una finalidad legítima, objetiva y constitucionalmente válida; </w:t>
      </w:r>
    </w:p>
    <w:p w14:paraId="0E2985F5" w14:textId="77777777" w:rsidR="006E24D3" w:rsidRPr="00C67536" w:rsidRDefault="006E24D3" w:rsidP="006E24D3">
      <w:pPr>
        <w:pStyle w:val="ListParagraph"/>
        <w:ind w:left="567" w:right="567"/>
        <w:jc w:val="both"/>
        <w:rPr>
          <w:rFonts w:ascii="Arial" w:hAnsi="Arial" w:cs="Arial"/>
          <w:sz w:val="28"/>
          <w:szCs w:val="28"/>
        </w:rPr>
      </w:pPr>
    </w:p>
    <w:p w14:paraId="6A04B64F" w14:textId="77777777" w:rsidR="006E24D3" w:rsidRPr="00C67536" w:rsidRDefault="006E24D3" w:rsidP="006E24D3">
      <w:pPr>
        <w:pStyle w:val="corte4fondo"/>
        <w:spacing w:line="240" w:lineRule="auto"/>
        <w:ind w:left="567" w:right="567" w:firstLine="0"/>
        <w:rPr>
          <w:rFonts w:cs="Arial"/>
          <w:sz w:val="28"/>
          <w:szCs w:val="28"/>
          <w:lang w:val="es-ES"/>
        </w:rPr>
      </w:pPr>
      <w:r w:rsidRPr="00C67536">
        <w:rPr>
          <w:rFonts w:cs="Arial"/>
          <w:sz w:val="28"/>
          <w:szCs w:val="28"/>
          <w:lang w:val="es-MX"/>
        </w:rPr>
        <w:t>c</w:t>
      </w:r>
      <w:r w:rsidRPr="00C67536">
        <w:rPr>
          <w:rFonts w:cs="Arial"/>
          <w:sz w:val="28"/>
          <w:szCs w:val="28"/>
        </w:rPr>
        <w:t xml:space="preserve">) De reunirse ambos requisitos habrá de corroborarse si la distinción constituye un medio apto y adecuado para conducir al fin u objetivo que el legislador pretende alcanzar, es decir, si existe una relación de instrumentalidad entre la medida clasificatoria y el fin pretendido; y, </w:t>
      </w:r>
    </w:p>
    <w:p w14:paraId="51D2D847" w14:textId="77777777" w:rsidR="006E24D3" w:rsidRPr="00C67536" w:rsidRDefault="006E24D3" w:rsidP="006E24D3">
      <w:pPr>
        <w:pStyle w:val="ListParagraph"/>
        <w:ind w:left="567" w:right="567"/>
        <w:jc w:val="both"/>
        <w:rPr>
          <w:rFonts w:ascii="Arial" w:hAnsi="Arial" w:cs="Arial"/>
          <w:sz w:val="28"/>
          <w:szCs w:val="28"/>
        </w:rPr>
      </w:pPr>
    </w:p>
    <w:p w14:paraId="20C004FF" w14:textId="77777777" w:rsidR="006E24D3" w:rsidRPr="00C67536" w:rsidRDefault="006E24D3" w:rsidP="006E24D3">
      <w:pPr>
        <w:pStyle w:val="corte4fondo"/>
        <w:spacing w:line="240" w:lineRule="auto"/>
        <w:ind w:left="567" w:right="567" w:firstLine="0"/>
        <w:rPr>
          <w:rFonts w:cs="Arial"/>
          <w:sz w:val="28"/>
          <w:szCs w:val="28"/>
        </w:rPr>
      </w:pPr>
      <w:r w:rsidRPr="00C67536">
        <w:rPr>
          <w:rFonts w:cs="Arial"/>
          <w:sz w:val="28"/>
          <w:szCs w:val="28"/>
          <w:lang w:val="es-MX"/>
        </w:rPr>
        <w:t>d</w:t>
      </w:r>
      <w:r w:rsidRPr="00C67536">
        <w:rPr>
          <w:rFonts w:cs="Arial"/>
          <w:sz w:val="28"/>
          <w:szCs w:val="28"/>
        </w:rPr>
        <w:t>) De actualizarse las tres condiciones citadas, se requiere, además, que la configuración legal de la norma no origine una afectación desproporcionada o desmedida de los bienes y derechos constitucionalmente protegidos.</w:t>
      </w:r>
    </w:p>
    <w:p w14:paraId="4FDAB585" w14:textId="77777777" w:rsidR="00265F6F" w:rsidRPr="00C67536" w:rsidRDefault="00265F6F" w:rsidP="00265F6F">
      <w:pPr>
        <w:pStyle w:val="corte4fondo"/>
        <w:ind w:firstLine="0"/>
      </w:pPr>
    </w:p>
    <w:p w14:paraId="4142BF5D" w14:textId="313ADE5F" w:rsidR="00265F6F" w:rsidRPr="00C67536" w:rsidRDefault="00025E27" w:rsidP="00B144AE">
      <w:pPr>
        <w:pStyle w:val="corte4fondo"/>
        <w:numPr>
          <w:ilvl w:val="0"/>
          <w:numId w:val="15"/>
        </w:numPr>
        <w:ind w:left="0" w:hanging="567"/>
        <w:rPr>
          <w:rStyle w:val="FootnoteReference"/>
          <w:vertAlign w:val="baseline"/>
        </w:rPr>
      </w:pPr>
      <w:r w:rsidRPr="00C67536">
        <w:rPr>
          <w:rFonts w:cs="Arial"/>
          <w:sz w:val="28"/>
          <w:szCs w:val="28"/>
        </w:rPr>
        <w:t>Sirve de apoyo a lo anterior, la jurisprudencia 2a./J. 42/2010 de la Segunda Sala, del título siguiente</w:t>
      </w:r>
      <w:r w:rsidR="001C1BDB" w:rsidRPr="00C67536">
        <w:rPr>
          <w:rFonts w:cs="Arial"/>
          <w:sz w:val="28"/>
          <w:szCs w:val="28"/>
        </w:rPr>
        <w:t xml:space="preserve">: </w:t>
      </w:r>
      <w:r w:rsidR="001C1BDB" w:rsidRPr="00C67536">
        <w:rPr>
          <w:rFonts w:cs="Arial"/>
          <w:bCs/>
          <w:iCs/>
          <w:sz w:val="28"/>
          <w:szCs w:val="28"/>
        </w:rPr>
        <w:t>IGUALDAD. CRITERIOS QUE DEBEN OBSERVARSE EN EL CONTROL DE LA CONSTITUCIONALIDAD DE NORMAS QUE SE ESTIMAN VIOLATORIAS DE DICHA GARANTÍA</w:t>
      </w:r>
      <w:r w:rsidR="001C1BDB" w:rsidRPr="00C67536">
        <w:rPr>
          <w:rStyle w:val="FootnoteReference"/>
          <w:rFonts w:cs="Arial"/>
          <w:bCs/>
          <w:sz w:val="28"/>
          <w:szCs w:val="28"/>
        </w:rPr>
        <w:footnoteReference w:id="2"/>
      </w:r>
      <w:r w:rsidR="001C1BDB" w:rsidRPr="00C67536">
        <w:rPr>
          <w:rFonts w:cs="Arial"/>
          <w:bCs/>
          <w:iCs/>
          <w:sz w:val="28"/>
          <w:szCs w:val="28"/>
        </w:rPr>
        <w:t>.</w:t>
      </w:r>
    </w:p>
    <w:p w14:paraId="7199D962" w14:textId="77777777" w:rsidR="00265F6F" w:rsidRPr="00C67536" w:rsidRDefault="00265F6F" w:rsidP="00265F6F">
      <w:pPr>
        <w:pStyle w:val="corte4fondo"/>
        <w:ind w:firstLine="0"/>
      </w:pPr>
    </w:p>
    <w:p w14:paraId="4DECB8A5" w14:textId="77777777" w:rsidR="00265F6F" w:rsidRPr="00C67536" w:rsidRDefault="001C1BDB" w:rsidP="00B144AE">
      <w:pPr>
        <w:pStyle w:val="corte4fondo"/>
        <w:numPr>
          <w:ilvl w:val="0"/>
          <w:numId w:val="15"/>
        </w:numPr>
        <w:ind w:left="0" w:hanging="567"/>
      </w:pPr>
      <w:r w:rsidRPr="00C67536">
        <w:rPr>
          <w:rFonts w:cs="Arial"/>
          <w:sz w:val="28"/>
          <w:szCs w:val="28"/>
        </w:rPr>
        <w:t>Luego, la carga argumentativa de proponer el término de comparación no implica que éste no sea idóneo, sino que debe permitir que efectivamente se advierta la existencia de algún aspecto homologable, semejante o análogo entre los elementos que se comparan.</w:t>
      </w:r>
    </w:p>
    <w:p w14:paraId="0D746318" w14:textId="77777777" w:rsidR="00265F6F" w:rsidRPr="00C67536" w:rsidRDefault="00265F6F" w:rsidP="00265F6F">
      <w:pPr>
        <w:pStyle w:val="ListParagraph"/>
        <w:rPr>
          <w:rFonts w:cs="Arial"/>
          <w:sz w:val="28"/>
          <w:szCs w:val="28"/>
        </w:rPr>
      </w:pPr>
    </w:p>
    <w:p w14:paraId="2404D093" w14:textId="77777777" w:rsidR="00265F6F" w:rsidRPr="00C67536" w:rsidRDefault="001C1BDB" w:rsidP="00B144AE">
      <w:pPr>
        <w:pStyle w:val="corte4fondo"/>
        <w:numPr>
          <w:ilvl w:val="0"/>
          <w:numId w:val="15"/>
        </w:numPr>
        <w:ind w:left="0" w:hanging="567"/>
      </w:pPr>
      <w:r w:rsidRPr="00C67536">
        <w:rPr>
          <w:rFonts w:cs="Arial"/>
          <w:sz w:val="28"/>
          <w:szCs w:val="28"/>
        </w:rPr>
        <w:t xml:space="preserve">Así, en caso de no proporcionarse el término de comparación para medir un trato disímil o que éste no sea idóneo, el concepto de violación que se haga valer devendría en inoperante. </w:t>
      </w:r>
    </w:p>
    <w:p w14:paraId="67C26879" w14:textId="77777777" w:rsidR="00265F6F" w:rsidRPr="00C67536" w:rsidRDefault="00265F6F" w:rsidP="00265F6F">
      <w:pPr>
        <w:pStyle w:val="ListParagraph"/>
        <w:rPr>
          <w:rFonts w:cs="Arial"/>
          <w:sz w:val="28"/>
          <w:szCs w:val="28"/>
        </w:rPr>
      </w:pPr>
    </w:p>
    <w:p w14:paraId="55FE4F70" w14:textId="77777777" w:rsidR="00C95869" w:rsidRPr="00C67536" w:rsidRDefault="001C1BDB" w:rsidP="00B144AE">
      <w:pPr>
        <w:pStyle w:val="corte4fondo"/>
        <w:numPr>
          <w:ilvl w:val="0"/>
          <w:numId w:val="15"/>
        </w:numPr>
        <w:ind w:left="0" w:hanging="567"/>
      </w:pPr>
      <w:r w:rsidRPr="00C67536">
        <w:rPr>
          <w:rFonts w:cs="Arial"/>
          <w:sz w:val="28"/>
          <w:szCs w:val="28"/>
        </w:rPr>
        <w:t>Atendiendo a la anterior distinción, debe indicarse que el término de comparación que indica la quejosa es con relación a los alimentos vendidos a granel y punto de venta</w:t>
      </w:r>
      <w:r w:rsidRPr="00C67536">
        <w:rPr>
          <w:rFonts w:cs="Arial"/>
          <w:bCs/>
          <w:color w:val="000000"/>
          <w:sz w:val="28"/>
          <w:szCs w:val="28"/>
          <w:lang w:val="es-MX"/>
        </w:rPr>
        <w:t>, es decir,</w:t>
      </w:r>
      <w:r w:rsidR="003B36A1" w:rsidRPr="00C67536">
        <w:rPr>
          <w:rFonts w:cs="Arial"/>
          <w:bCs/>
          <w:color w:val="000000"/>
          <w:sz w:val="28"/>
          <w:szCs w:val="28"/>
          <w:lang w:val="es-MX"/>
        </w:rPr>
        <w:t xml:space="preserve"> con motivo de</w:t>
      </w:r>
      <w:r w:rsidRPr="00C67536">
        <w:rPr>
          <w:rFonts w:cs="Arial"/>
          <w:bCs/>
          <w:color w:val="000000"/>
          <w:sz w:val="28"/>
          <w:szCs w:val="28"/>
          <w:lang w:val="es-MX"/>
        </w:rPr>
        <w:t xml:space="preserve"> los productos </w:t>
      </w:r>
      <w:r w:rsidRPr="00C67536">
        <w:rPr>
          <w:rFonts w:cs="Arial"/>
          <w:sz w:val="28"/>
          <w:szCs w:val="28"/>
        </w:rPr>
        <w:t>y no sobre los sujetos.</w:t>
      </w:r>
    </w:p>
    <w:p w14:paraId="183A5E5F" w14:textId="77777777" w:rsidR="00C95869" w:rsidRPr="00C67536" w:rsidRDefault="00C95869" w:rsidP="00C95869">
      <w:pPr>
        <w:pStyle w:val="ListParagraph"/>
        <w:rPr>
          <w:rFonts w:cs="Arial"/>
          <w:sz w:val="28"/>
          <w:szCs w:val="28"/>
        </w:rPr>
      </w:pPr>
    </w:p>
    <w:p w14:paraId="3B041D9C" w14:textId="77777777" w:rsidR="00C95869" w:rsidRPr="00C67536" w:rsidRDefault="001C1BDB" w:rsidP="00B144AE">
      <w:pPr>
        <w:pStyle w:val="corte4fondo"/>
        <w:numPr>
          <w:ilvl w:val="0"/>
          <w:numId w:val="15"/>
        </w:numPr>
        <w:ind w:left="0" w:hanging="567"/>
      </w:pPr>
      <w:r w:rsidRPr="00C67536">
        <w:rPr>
          <w:rFonts w:cs="Arial"/>
          <w:sz w:val="28"/>
          <w:szCs w:val="28"/>
        </w:rPr>
        <w:t xml:space="preserve">En tal contexto, esta Suprema Corte de Justicia de la Nación, determina que el punto de comparación señalada por la quejosa no es idóneo. </w:t>
      </w:r>
    </w:p>
    <w:p w14:paraId="27F0B4FA" w14:textId="77777777" w:rsidR="00C95869" w:rsidRPr="00C67536" w:rsidRDefault="00C95869" w:rsidP="00C95869">
      <w:pPr>
        <w:pStyle w:val="ListParagraph"/>
        <w:rPr>
          <w:rFonts w:eastAsiaTheme="minorHAnsi" w:cs="Arial"/>
          <w:color w:val="000000"/>
          <w:sz w:val="28"/>
          <w:szCs w:val="28"/>
          <w:lang w:eastAsia="en-US"/>
        </w:rPr>
      </w:pPr>
    </w:p>
    <w:p w14:paraId="15A0D912" w14:textId="0092E114" w:rsidR="00C95869" w:rsidRPr="00C67536" w:rsidRDefault="001C1BDB" w:rsidP="00B144AE">
      <w:pPr>
        <w:pStyle w:val="corte4fondo"/>
        <w:numPr>
          <w:ilvl w:val="0"/>
          <w:numId w:val="15"/>
        </w:numPr>
        <w:ind w:left="0" w:hanging="567"/>
      </w:pPr>
      <w:r w:rsidRPr="00C67536">
        <w:rPr>
          <w:rFonts w:eastAsiaTheme="minorHAnsi" w:cs="Arial"/>
          <w:color w:val="000000"/>
          <w:sz w:val="28"/>
          <w:szCs w:val="28"/>
          <w:lang w:eastAsia="en-US"/>
        </w:rPr>
        <w:t xml:space="preserve">Lo anterior, </w:t>
      </w:r>
      <w:r w:rsidR="00C95869" w:rsidRPr="00C67536">
        <w:rPr>
          <w:rFonts w:eastAsiaTheme="minorHAnsi" w:cs="Arial"/>
          <w:sz w:val="28"/>
          <w:szCs w:val="28"/>
          <w:lang w:eastAsia="en-US"/>
        </w:rPr>
        <w:t xml:space="preserve">porque </w:t>
      </w:r>
      <w:r w:rsidR="00C73B1A">
        <w:rPr>
          <w:rFonts w:eastAsiaTheme="minorHAnsi" w:cs="Arial"/>
          <w:sz w:val="28"/>
          <w:szCs w:val="28"/>
          <w:lang w:eastAsia="en-US"/>
        </w:rPr>
        <w:t>los</w:t>
      </w:r>
      <w:r w:rsidR="00C95869" w:rsidRPr="00C67536">
        <w:rPr>
          <w:rFonts w:eastAsiaTheme="minorHAnsi" w:cs="Arial"/>
          <w:sz w:val="28"/>
          <w:szCs w:val="28"/>
          <w:lang w:eastAsia="en-US"/>
        </w:rPr>
        <w:t xml:space="preserve"> artículo</w:t>
      </w:r>
      <w:r w:rsidR="00C73B1A">
        <w:rPr>
          <w:rFonts w:eastAsiaTheme="minorHAnsi" w:cs="Arial"/>
          <w:sz w:val="28"/>
          <w:szCs w:val="28"/>
          <w:lang w:eastAsia="en-US"/>
        </w:rPr>
        <w:t>s</w:t>
      </w:r>
      <w:r w:rsidR="00C95869" w:rsidRPr="00C67536">
        <w:rPr>
          <w:rFonts w:eastAsiaTheme="minorHAnsi" w:cs="Arial"/>
          <w:sz w:val="28"/>
          <w:szCs w:val="28"/>
          <w:lang w:eastAsia="en-US"/>
        </w:rPr>
        <w:t xml:space="preserve"> 212</w:t>
      </w:r>
      <w:r w:rsidR="00C73B1A">
        <w:rPr>
          <w:rFonts w:eastAsiaTheme="minorHAnsi" w:cs="Arial"/>
          <w:sz w:val="28"/>
          <w:szCs w:val="28"/>
          <w:lang w:eastAsia="en-US"/>
        </w:rPr>
        <w:t>, párrafo tercero</w:t>
      </w:r>
      <w:r w:rsidR="00C95869" w:rsidRPr="00C67536">
        <w:rPr>
          <w:rFonts w:eastAsiaTheme="minorHAnsi" w:cs="Arial"/>
          <w:sz w:val="28"/>
          <w:szCs w:val="28"/>
          <w:lang w:eastAsia="en-US"/>
        </w:rPr>
        <w:t xml:space="preserve"> y 215, fracción VI, de la </w:t>
      </w:r>
      <w:r w:rsidR="00C95869" w:rsidRPr="00C67536">
        <w:rPr>
          <w:rFonts w:cs="Arial"/>
          <w:sz w:val="28"/>
          <w:szCs w:val="28"/>
        </w:rPr>
        <w:t>Ley General de Salud, reclamados, establecen:</w:t>
      </w:r>
    </w:p>
    <w:p w14:paraId="56B456F6" w14:textId="77777777" w:rsidR="00C95869" w:rsidRPr="00C67536" w:rsidRDefault="00C95869" w:rsidP="00C95869">
      <w:pPr>
        <w:pStyle w:val="ListParagraph"/>
        <w:rPr>
          <w:rFonts w:eastAsiaTheme="minorHAnsi" w:cs="Arial"/>
          <w:color w:val="000000"/>
          <w:sz w:val="28"/>
          <w:szCs w:val="28"/>
          <w:lang w:eastAsia="en-US"/>
        </w:rPr>
      </w:pPr>
    </w:p>
    <w:p w14:paraId="5810E599" w14:textId="391FEF09" w:rsidR="00C95869" w:rsidRPr="00C67536" w:rsidRDefault="00C95869" w:rsidP="00C95869">
      <w:pPr>
        <w:pStyle w:val="Estilo"/>
        <w:ind w:left="567"/>
        <w:rPr>
          <w:rFonts w:cs="Arial"/>
          <w:sz w:val="26"/>
          <w:szCs w:val="26"/>
        </w:rPr>
      </w:pPr>
      <w:r w:rsidRPr="00C67536">
        <w:rPr>
          <w:rFonts w:cs="Arial"/>
          <w:b/>
          <w:bCs/>
          <w:sz w:val="26"/>
          <w:szCs w:val="26"/>
        </w:rPr>
        <w:t>ART</w:t>
      </w:r>
      <w:r w:rsidR="00ED3F0F" w:rsidRPr="00C67536">
        <w:rPr>
          <w:rFonts w:cs="Arial"/>
          <w:b/>
          <w:bCs/>
          <w:sz w:val="26"/>
          <w:szCs w:val="26"/>
        </w:rPr>
        <w:t>Í</w:t>
      </w:r>
      <w:r w:rsidRPr="00C67536">
        <w:rPr>
          <w:rFonts w:cs="Arial"/>
          <w:b/>
          <w:bCs/>
          <w:sz w:val="26"/>
          <w:szCs w:val="26"/>
        </w:rPr>
        <w:t>CULO 212</w:t>
      </w:r>
      <w:r w:rsidRPr="00C67536">
        <w:rPr>
          <w:rFonts w:cs="Arial"/>
          <w:sz w:val="26"/>
          <w:szCs w:val="26"/>
        </w:rPr>
        <w:t>.- La naturaleza del producto, la fórmula, la composición, calidad, denominación distintiva o marca, denominación genérica y específica, información de las etiquetas y contra etiquetas, deberán corresponder a las especificaciones establecidas por la Secretaría de Salud, de conformidad con las disposiciones aplicables, y responderán exactamente a la naturaleza del producto que se consume, sin modificarse; para tal efecto se observará lo señalado en la fracción VI del artículo 115.</w:t>
      </w:r>
    </w:p>
    <w:p w14:paraId="1B4503D0" w14:textId="77777777" w:rsidR="00C95869" w:rsidRPr="00C67536" w:rsidRDefault="00C95869" w:rsidP="00C95869">
      <w:pPr>
        <w:pStyle w:val="Estilo"/>
        <w:ind w:left="567"/>
        <w:rPr>
          <w:rFonts w:cs="Arial"/>
          <w:sz w:val="26"/>
          <w:szCs w:val="26"/>
        </w:rPr>
      </w:pPr>
      <w:r w:rsidRPr="00C67536">
        <w:rPr>
          <w:rFonts w:cs="Arial"/>
          <w:sz w:val="26"/>
          <w:szCs w:val="26"/>
        </w:rPr>
        <w:t>Las etiquetas o contra etiquetas para los alimentos y bebidas no alcohólicas, deberán incluir información nutrimental de fácil comprensión, veraz, directa, sencilla y visible.</w:t>
      </w:r>
    </w:p>
    <w:p w14:paraId="41B00540" w14:textId="77777777" w:rsidR="00C95869" w:rsidRPr="00C67536" w:rsidRDefault="00C95869" w:rsidP="00C95869">
      <w:pPr>
        <w:pStyle w:val="Estilo"/>
        <w:ind w:left="567"/>
        <w:rPr>
          <w:rFonts w:cs="Arial"/>
          <w:b/>
          <w:bCs/>
          <w:sz w:val="26"/>
          <w:szCs w:val="26"/>
        </w:rPr>
      </w:pPr>
      <w:r w:rsidRPr="00C67536">
        <w:rPr>
          <w:rFonts w:cs="Arial"/>
          <w:b/>
          <w:bCs/>
          <w:sz w:val="26"/>
          <w:szCs w:val="26"/>
        </w:rPr>
        <w:t>Además de lo dispuesto en el párrafo anterior, el etiquetado frontal de advertencia deberá hacerse en forma separada e independiente a la declaración de ingredientes e información nutrimental, para indicar los productos que excedan los límites máximos de contenido energético, azúcares añadidos, grasas saturadas, sodio y los demás nutrimentos críticos e ingredientes que establezcan las disposiciones normativas competentes.</w:t>
      </w:r>
    </w:p>
    <w:p w14:paraId="18C6350E" w14:textId="77777777" w:rsidR="00C95869" w:rsidRPr="00C67536" w:rsidRDefault="00C95869" w:rsidP="00C95869">
      <w:pPr>
        <w:pStyle w:val="Estilo"/>
        <w:ind w:left="567"/>
        <w:rPr>
          <w:rFonts w:cs="Arial"/>
          <w:sz w:val="26"/>
          <w:szCs w:val="26"/>
        </w:rPr>
      </w:pPr>
      <w:r w:rsidRPr="00C67536">
        <w:rPr>
          <w:rFonts w:cs="Arial"/>
          <w:sz w:val="26"/>
          <w:szCs w:val="26"/>
        </w:rPr>
        <w:t>La Secretaría de Salud podrá ordenar la inclusión de leyendas o pictogramas cuando lo considere necesario.</w:t>
      </w:r>
    </w:p>
    <w:p w14:paraId="06EE1489" w14:textId="77777777" w:rsidR="00C95869" w:rsidRPr="00C67536" w:rsidRDefault="00C95869" w:rsidP="00C95869">
      <w:pPr>
        <w:pStyle w:val="corte4fondo"/>
        <w:spacing w:line="240" w:lineRule="auto"/>
        <w:ind w:left="567" w:firstLine="0"/>
        <w:rPr>
          <w:rFonts w:cs="Arial"/>
          <w:sz w:val="26"/>
          <w:szCs w:val="26"/>
        </w:rPr>
      </w:pPr>
      <w:r w:rsidRPr="00C67536">
        <w:rPr>
          <w:rFonts w:cs="Arial"/>
          <w:sz w:val="26"/>
          <w:szCs w:val="26"/>
        </w:rPr>
        <w:t>En la marca o denominación de los productos, no podrán incluirse clara o veladamente indicaciones con relación a enfermedades, síndromes, signos o síntomas, ni aquellos que refieran datos anatómicos o fisiológicos.</w:t>
      </w:r>
    </w:p>
    <w:p w14:paraId="7FF28D32" w14:textId="77777777" w:rsidR="00960BD2" w:rsidRPr="00C67536" w:rsidRDefault="00960BD2" w:rsidP="00C95869">
      <w:pPr>
        <w:pStyle w:val="corte4fondo"/>
        <w:spacing w:line="240" w:lineRule="auto"/>
        <w:ind w:left="567" w:firstLine="0"/>
        <w:rPr>
          <w:rFonts w:cs="Arial"/>
          <w:sz w:val="26"/>
          <w:szCs w:val="26"/>
        </w:rPr>
      </w:pPr>
    </w:p>
    <w:p w14:paraId="769672F4" w14:textId="5468CD72" w:rsidR="00C95869" w:rsidRPr="00C67536" w:rsidRDefault="00C95869" w:rsidP="00C95869">
      <w:pPr>
        <w:pStyle w:val="Estilo"/>
        <w:ind w:left="567"/>
        <w:rPr>
          <w:rFonts w:cs="Arial"/>
          <w:sz w:val="26"/>
          <w:szCs w:val="26"/>
        </w:rPr>
      </w:pPr>
      <w:r w:rsidRPr="00C67536">
        <w:rPr>
          <w:rFonts w:cs="Arial"/>
          <w:b/>
          <w:bCs/>
          <w:sz w:val="26"/>
          <w:szCs w:val="26"/>
        </w:rPr>
        <w:t>ART</w:t>
      </w:r>
      <w:r w:rsidR="00960BD2" w:rsidRPr="00C67536">
        <w:rPr>
          <w:rFonts w:cs="Arial"/>
          <w:b/>
          <w:bCs/>
          <w:sz w:val="26"/>
          <w:szCs w:val="26"/>
        </w:rPr>
        <w:t>Í</w:t>
      </w:r>
      <w:r w:rsidRPr="00C67536">
        <w:rPr>
          <w:rFonts w:cs="Arial"/>
          <w:b/>
          <w:bCs/>
          <w:sz w:val="26"/>
          <w:szCs w:val="26"/>
        </w:rPr>
        <w:t>CULO 215</w:t>
      </w:r>
      <w:r w:rsidRPr="00C67536">
        <w:rPr>
          <w:rFonts w:cs="Arial"/>
          <w:sz w:val="26"/>
          <w:szCs w:val="26"/>
        </w:rPr>
        <w:t>.- Para los efectos de esta Ley, se entiende por:</w:t>
      </w:r>
    </w:p>
    <w:p w14:paraId="04C4FAC6" w14:textId="77777777" w:rsidR="00C95869" w:rsidRPr="00C67536" w:rsidRDefault="00C95869" w:rsidP="00C95869">
      <w:pPr>
        <w:pStyle w:val="Estilo"/>
        <w:ind w:left="567"/>
        <w:rPr>
          <w:rFonts w:cs="Arial"/>
          <w:sz w:val="26"/>
          <w:szCs w:val="26"/>
        </w:rPr>
      </w:pPr>
      <w:r w:rsidRPr="00C67536">
        <w:rPr>
          <w:rFonts w:cs="Arial"/>
          <w:sz w:val="26"/>
          <w:szCs w:val="26"/>
        </w:rPr>
        <w:t>…</w:t>
      </w:r>
    </w:p>
    <w:p w14:paraId="13D5226C" w14:textId="77777777" w:rsidR="00C95869" w:rsidRPr="00C67536" w:rsidRDefault="00C95869" w:rsidP="00C95869">
      <w:pPr>
        <w:pStyle w:val="corte4fondo"/>
        <w:spacing w:line="240" w:lineRule="auto"/>
        <w:ind w:left="567" w:firstLine="0"/>
        <w:rPr>
          <w:rFonts w:cs="Arial"/>
          <w:sz w:val="26"/>
          <w:szCs w:val="26"/>
        </w:rPr>
      </w:pPr>
      <w:r w:rsidRPr="00C73B1A">
        <w:rPr>
          <w:rFonts w:cs="Arial"/>
          <w:b/>
          <w:bCs/>
          <w:sz w:val="26"/>
          <w:szCs w:val="26"/>
        </w:rPr>
        <w:t>VI.-</w:t>
      </w:r>
      <w:r w:rsidRPr="00C67536">
        <w:rPr>
          <w:rFonts w:cs="Arial"/>
          <w:sz w:val="26"/>
          <w:szCs w:val="26"/>
        </w:rPr>
        <w:t xml:space="preserve"> Etiquetado frontal de advertencia de alimentos y bebidas no alcohólicas: Sistema de información simplificada en el área frontal de exhibición del envase, el cual debe advertir de manera veraz, clara, rápida y simple sobre el contenido que exceda los niveles máximos de contenido energético, azúcares añadidos, grasas saturadas, grasas, sodio y los nutrimentos críticos, ingredientes y las demás que determine la Secretaría.</w:t>
      </w:r>
    </w:p>
    <w:p w14:paraId="417D203B" w14:textId="72964E51" w:rsidR="00C95869" w:rsidRPr="00C67536" w:rsidRDefault="00C95869" w:rsidP="00960BD2">
      <w:pPr>
        <w:pStyle w:val="corte4fondo"/>
        <w:ind w:firstLine="567"/>
      </w:pPr>
      <w:r w:rsidRPr="00C67536">
        <w:rPr>
          <w:rFonts w:cs="Arial"/>
          <w:sz w:val="26"/>
          <w:szCs w:val="26"/>
        </w:rPr>
        <w:t>…”</w:t>
      </w:r>
    </w:p>
    <w:p w14:paraId="784A5E4F" w14:textId="77777777" w:rsidR="00C95869" w:rsidRPr="00C67536" w:rsidRDefault="00C95869" w:rsidP="00C95869">
      <w:pPr>
        <w:pStyle w:val="ListParagraph"/>
        <w:rPr>
          <w:rFonts w:eastAsiaTheme="minorHAnsi" w:cs="Arial"/>
          <w:color w:val="000000"/>
          <w:sz w:val="28"/>
          <w:szCs w:val="28"/>
          <w:lang w:eastAsia="en-US"/>
        </w:rPr>
      </w:pPr>
    </w:p>
    <w:p w14:paraId="23F4D431" w14:textId="26056A8E" w:rsidR="00923740" w:rsidRPr="00C67536" w:rsidRDefault="00C95869" w:rsidP="00B144AE">
      <w:pPr>
        <w:pStyle w:val="corte4fondo"/>
        <w:numPr>
          <w:ilvl w:val="0"/>
          <w:numId w:val="15"/>
        </w:numPr>
        <w:ind w:left="0" w:hanging="567"/>
      </w:pPr>
      <w:r w:rsidRPr="00C67536">
        <w:rPr>
          <w:rFonts w:eastAsiaTheme="minorHAnsi" w:cs="Arial"/>
          <w:color w:val="000000"/>
          <w:sz w:val="28"/>
          <w:szCs w:val="28"/>
          <w:lang w:eastAsia="en-US"/>
        </w:rPr>
        <w:t xml:space="preserve">Luego, </w:t>
      </w:r>
      <w:r w:rsidR="001C1BDB" w:rsidRPr="00C67536">
        <w:rPr>
          <w:rFonts w:eastAsiaTheme="minorHAnsi" w:cs="Arial"/>
          <w:color w:val="000000"/>
          <w:sz w:val="28"/>
          <w:szCs w:val="28"/>
          <w:lang w:eastAsia="en-US"/>
        </w:rPr>
        <w:t>de acuerdo con el artículo 1</w:t>
      </w:r>
      <w:r w:rsidR="008441F9">
        <w:rPr>
          <w:rFonts w:eastAsiaTheme="minorHAnsi" w:cs="Arial"/>
          <w:color w:val="000000"/>
          <w:sz w:val="28"/>
          <w:szCs w:val="28"/>
          <w:lang w:eastAsia="en-US"/>
        </w:rPr>
        <w:t>°</w:t>
      </w:r>
      <w:r w:rsidR="001C1BDB" w:rsidRPr="00C67536">
        <w:rPr>
          <w:rFonts w:eastAsiaTheme="minorHAnsi" w:cs="Arial"/>
          <w:color w:val="000000"/>
          <w:sz w:val="28"/>
          <w:szCs w:val="28"/>
          <w:lang w:eastAsia="en-US"/>
        </w:rPr>
        <w:t xml:space="preserve"> de la norma oficial reclamada</w:t>
      </w:r>
      <w:r w:rsidR="001C1BDB" w:rsidRPr="00C67536">
        <w:rPr>
          <w:rStyle w:val="FootnoteReference"/>
          <w:rFonts w:eastAsiaTheme="minorHAnsi" w:cs="Arial"/>
          <w:color w:val="000000"/>
          <w:sz w:val="28"/>
          <w:szCs w:val="28"/>
          <w:lang w:eastAsia="en-US"/>
        </w:rPr>
        <w:footnoteReference w:id="3"/>
      </w:r>
      <w:r w:rsidR="001C1BDB" w:rsidRPr="00C67536">
        <w:rPr>
          <w:rFonts w:eastAsiaTheme="minorHAnsi" w:cs="Arial"/>
          <w:color w:val="000000"/>
          <w:sz w:val="28"/>
          <w:szCs w:val="28"/>
          <w:lang w:eastAsia="en-US"/>
        </w:rPr>
        <w:t xml:space="preserve"> </w:t>
      </w:r>
      <w:r w:rsidR="001C1BDB" w:rsidRPr="00C67536">
        <w:rPr>
          <w:rFonts w:eastAsiaTheme="minorHAnsi" w:cs="Arial"/>
          <w:sz w:val="28"/>
          <w:szCs w:val="28"/>
          <w:lang w:eastAsia="en-US"/>
        </w:rPr>
        <w:t>su o</w:t>
      </w:r>
      <w:r w:rsidR="001C1BDB" w:rsidRPr="00C67536">
        <w:rPr>
          <w:rFonts w:cs="Arial"/>
          <w:sz w:val="28"/>
          <w:szCs w:val="28"/>
        </w:rPr>
        <w:t>bjeto es establecer el sistema de etiquetado en los productos alimenticios y las bebidas no alcohólicas preenvasados, esto es, la información comercial y sanitaria que debe contener el etiquetado del producto preenvasado destinado al consumidor final, de fabricación nacional o extranjera, comercializado en territorio nacional, así como determinar las características de dicha información y establecer un sistema de etiquetado frontal.</w:t>
      </w:r>
    </w:p>
    <w:p w14:paraId="15550AB9" w14:textId="77777777" w:rsidR="00923740" w:rsidRPr="00C67536" w:rsidRDefault="00923740" w:rsidP="00923740">
      <w:pPr>
        <w:pStyle w:val="corte4fondo"/>
        <w:ind w:firstLine="0"/>
      </w:pPr>
    </w:p>
    <w:p w14:paraId="7B1081BD" w14:textId="48322BA4" w:rsidR="00923740" w:rsidRPr="00C67536" w:rsidRDefault="001C1BDB" w:rsidP="00B144AE">
      <w:pPr>
        <w:pStyle w:val="corte4fondo"/>
        <w:numPr>
          <w:ilvl w:val="0"/>
          <w:numId w:val="15"/>
        </w:numPr>
        <w:ind w:left="0" w:hanging="567"/>
      </w:pPr>
      <w:r w:rsidRPr="00C67536">
        <w:rPr>
          <w:rFonts w:cs="Arial"/>
          <w:sz w:val="28"/>
          <w:szCs w:val="28"/>
        </w:rPr>
        <w:t xml:space="preserve">De igual forma, establece que la norma no se aplica </w:t>
      </w:r>
      <w:r w:rsidR="00960BD2" w:rsidRPr="00C67536">
        <w:rPr>
          <w:rFonts w:cs="Arial"/>
          <w:sz w:val="28"/>
          <w:szCs w:val="28"/>
        </w:rPr>
        <w:t>en</w:t>
      </w:r>
      <w:r w:rsidRPr="00C67536">
        <w:rPr>
          <w:rFonts w:cs="Arial"/>
          <w:sz w:val="28"/>
          <w:szCs w:val="28"/>
        </w:rPr>
        <w:t>: a) los alimentos y las bebidas no alcohólicas preenvasados que estén sujetos a disposiciones de información comercial y sanitaria contenidas en Normas Oficiales Mexicanas específicas y que no incluyan como referencia normativa a esta Norma Oficial Mexicana, o en alguna otra reglamentación federal vigente que explícitamente excluya de su cumplimiento al presente ordenamiento; b) los alimentos y las bebidas no alcohólicas a granel; c) los alimentos y las bebidas no alcohólicas envasados en punto de venta; y</w:t>
      </w:r>
      <w:r w:rsidR="00CB23CE">
        <w:rPr>
          <w:rFonts w:cs="Arial"/>
          <w:sz w:val="28"/>
          <w:szCs w:val="28"/>
        </w:rPr>
        <w:t>,</w:t>
      </w:r>
      <w:r w:rsidRPr="00C67536">
        <w:rPr>
          <w:rFonts w:cs="Arial"/>
          <w:sz w:val="28"/>
          <w:szCs w:val="28"/>
        </w:rPr>
        <w:t xml:space="preserve"> d) los demás productos que determine la autoridad competente, conforme a sus atribuciones.</w:t>
      </w:r>
    </w:p>
    <w:p w14:paraId="434E28E5" w14:textId="77777777" w:rsidR="00923740" w:rsidRPr="00C67536" w:rsidRDefault="00923740" w:rsidP="00923740">
      <w:pPr>
        <w:pStyle w:val="ListParagraph"/>
        <w:rPr>
          <w:rFonts w:eastAsiaTheme="minorHAnsi" w:cs="Arial"/>
          <w:color w:val="000000"/>
          <w:sz w:val="28"/>
          <w:szCs w:val="28"/>
          <w:lang w:eastAsia="en-US"/>
        </w:rPr>
      </w:pPr>
    </w:p>
    <w:p w14:paraId="6C0C3C9E" w14:textId="77777777" w:rsidR="00870A5F" w:rsidRPr="00C67536" w:rsidRDefault="001C1BDB" w:rsidP="00B144AE">
      <w:pPr>
        <w:pStyle w:val="corte4fondo"/>
        <w:numPr>
          <w:ilvl w:val="0"/>
          <w:numId w:val="15"/>
        </w:numPr>
        <w:ind w:left="0" w:hanging="567"/>
      </w:pPr>
      <w:r w:rsidRPr="00C67536">
        <w:rPr>
          <w:rFonts w:eastAsiaTheme="minorHAnsi" w:cs="Arial"/>
          <w:color w:val="000000"/>
          <w:sz w:val="28"/>
          <w:szCs w:val="28"/>
          <w:lang w:eastAsia="en-US"/>
        </w:rPr>
        <w:t>Como se aprecia, la norma oficial mexicana va dirigida a los alimentos y bebidas no alcohólicas, que son colocados en un envase de cualquier naturaleza, en ausencia del consumidor y la cantidad de producto contenido en él no puede ser alterada, a menos que el envase sea abierto o modificado perceptiblemente, siendo el caso que los alimentos a granel preseleccionados y empaquetados en punto de venta pueden ser alterados o modificados en cuanto a su contenido, por ello se trata de productos de distinta naturaleza, es decir va dirigida a todos los productos preenvasados, por lo que la norma no realiza la distinción propuesta por la parte quejosa a la luz del derecho de igualdad.</w:t>
      </w:r>
    </w:p>
    <w:p w14:paraId="2C7E5FC1" w14:textId="77777777" w:rsidR="00870A5F" w:rsidRPr="00C67536" w:rsidRDefault="00870A5F" w:rsidP="00870A5F">
      <w:pPr>
        <w:pStyle w:val="ListParagraph"/>
        <w:rPr>
          <w:rFonts w:cs="Arial"/>
          <w:sz w:val="28"/>
          <w:szCs w:val="28"/>
        </w:rPr>
      </w:pPr>
    </w:p>
    <w:p w14:paraId="1ED77B08" w14:textId="77777777" w:rsidR="00870A5F" w:rsidRPr="00C67536" w:rsidRDefault="001C1BDB" w:rsidP="00B144AE">
      <w:pPr>
        <w:pStyle w:val="corte4fondo"/>
        <w:numPr>
          <w:ilvl w:val="0"/>
          <w:numId w:val="15"/>
        </w:numPr>
        <w:ind w:left="0" w:hanging="567"/>
      </w:pPr>
      <w:r w:rsidRPr="00C67536">
        <w:rPr>
          <w:rFonts w:cs="Arial"/>
          <w:sz w:val="28"/>
          <w:szCs w:val="28"/>
        </w:rPr>
        <w:t>En efecto, las normas impugnadas están dirigidas al sistema de etiquetado, esto es, las etiquetas o embalajes que se coloca un producto para su distribución y comercialización, no se trata de normas que regulen los productos o calidad de los alimentos en sí.</w:t>
      </w:r>
    </w:p>
    <w:p w14:paraId="4B97A724" w14:textId="77777777" w:rsidR="00870A5F" w:rsidRPr="00C67536" w:rsidRDefault="00870A5F" w:rsidP="00870A5F">
      <w:pPr>
        <w:pStyle w:val="ListParagraph"/>
        <w:rPr>
          <w:rFonts w:cs="Arial"/>
          <w:sz w:val="28"/>
          <w:szCs w:val="28"/>
        </w:rPr>
      </w:pPr>
    </w:p>
    <w:p w14:paraId="25C862FC" w14:textId="77777777" w:rsidR="00870A5F" w:rsidRPr="00C67536" w:rsidRDefault="001C1BDB" w:rsidP="00B144AE">
      <w:pPr>
        <w:pStyle w:val="corte4fondo"/>
        <w:numPr>
          <w:ilvl w:val="0"/>
          <w:numId w:val="15"/>
        </w:numPr>
        <w:ind w:left="0" w:hanging="567"/>
      </w:pPr>
      <w:r w:rsidRPr="00C67536">
        <w:rPr>
          <w:rFonts w:cs="Arial"/>
          <w:sz w:val="28"/>
          <w:szCs w:val="28"/>
        </w:rPr>
        <w:t>Así, los productos procesados y ultra procesados se distinguen por su amplia disponibilidad, asequibilidad y promoción, ya que por sus características están hechos para ser distribuidos masivamente en todo el territorio nacional (y no sólo en un mercado o súper mercado), a través de cualquier punto de venta, tiendas de conveniencia, escuelas, centros comerciales, centros de entretenimiento, estanquillos, entre otros, los cuales son colocados en un envase de cualquier naturaleza, en ausencia del consumidor y la cantidad de producto contenido en él no puede ser alterada, a menos que el envase sea abierto o modificado perceptiblemente</w:t>
      </w:r>
      <w:r w:rsidRPr="00C67536">
        <w:rPr>
          <w:rStyle w:val="FootnoteReference"/>
          <w:rFonts w:cs="Arial"/>
          <w:sz w:val="28"/>
          <w:szCs w:val="28"/>
        </w:rPr>
        <w:footnoteReference w:id="4"/>
      </w:r>
      <w:r w:rsidRPr="00C67536">
        <w:rPr>
          <w:rFonts w:cs="Arial"/>
          <w:sz w:val="28"/>
          <w:szCs w:val="28"/>
        </w:rPr>
        <w:t>, por ello, requieren de una información que este visible y sea de fácil comprensión para los consumidores.</w:t>
      </w:r>
    </w:p>
    <w:p w14:paraId="138A1BD1" w14:textId="77777777" w:rsidR="00870A5F" w:rsidRPr="00C67536" w:rsidRDefault="00870A5F" w:rsidP="00870A5F">
      <w:pPr>
        <w:pStyle w:val="ListParagraph"/>
        <w:rPr>
          <w:rFonts w:cs="Arial"/>
          <w:sz w:val="28"/>
          <w:szCs w:val="28"/>
        </w:rPr>
      </w:pPr>
    </w:p>
    <w:p w14:paraId="37CBCF6F" w14:textId="77777777" w:rsidR="009A1DBD" w:rsidRPr="00C67536" w:rsidRDefault="001C1BDB" w:rsidP="00B144AE">
      <w:pPr>
        <w:pStyle w:val="corte4fondo"/>
        <w:numPr>
          <w:ilvl w:val="0"/>
          <w:numId w:val="15"/>
        </w:numPr>
        <w:ind w:left="0" w:hanging="567"/>
      </w:pPr>
      <w:r w:rsidRPr="00C67536">
        <w:rPr>
          <w:rFonts w:cs="Arial"/>
          <w:sz w:val="28"/>
          <w:szCs w:val="28"/>
        </w:rPr>
        <w:t>Los cuales, no son iguales a los alimentos y las bebidas no alcohólicas a granel y envasados en punto de venta, puesto que es claro que su composición cambia de acuerdo a la cantidad que compre el consumidor, ello, porque los productos previamente envasados ya contienen gramajes establecidos, con los cuales se puede establecer la cantidad de los ingredientes y si son dañinos para la salud, lo cual no se puede realizar con los productos a granel y envasados en punto de venta, debido a que no se puede establecer de manera correcta el gramaje y pueden agregar diversos productos</w:t>
      </w:r>
      <w:r w:rsidRPr="00C67536">
        <w:rPr>
          <w:rStyle w:val="FootnoteReference"/>
          <w:rFonts w:cs="Arial"/>
          <w:sz w:val="28"/>
          <w:szCs w:val="28"/>
        </w:rPr>
        <w:footnoteReference w:id="5"/>
      </w:r>
      <w:r w:rsidRPr="00C67536">
        <w:rPr>
          <w:rFonts w:cs="Arial"/>
          <w:sz w:val="28"/>
          <w:szCs w:val="28"/>
        </w:rPr>
        <w:t>.</w:t>
      </w:r>
    </w:p>
    <w:p w14:paraId="20E1B7B5" w14:textId="77777777" w:rsidR="009A1DBD" w:rsidRPr="00C67536" w:rsidRDefault="009A1DBD" w:rsidP="009A1DBD">
      <w:pPr>
        <w:pStyle w:val="ListParagraph"/>
        <w:rPr>
          <w:rFonts w:cs="Arial"/>
          <w:sz w:val="28"/>
          <w:szCs w:val="28"/>
        </w:rPr>
      </w:pPr>
    </w:p>
    <w:p w14:paraId="6BDEBCD9" w14:textId="499106AB" w:rsidR="009A1DBD" w:rsidRPr="00C67536" w:rsidRDefault="001C1BDB" w:rsidP="00B144AE">
      <w:pPr>
        <w:pStyle w:val="corte4fondo"/>
        <w:numPr>
          <w:ilvl w:val="0"/>
          <w:numId w:val="15"/>
        </w:numPr>
        <w:ind w:left="0" w:hanging="567"/>
      </w:pPr>
      <w:r w:rsidRPr="00C67536">
        <w:rPr>
          <w:rFonts w:cs="Arial"/>
          <w:sz w:val="28"/>
          <w:szCs w:val="28"/>
        </w:rPr>
        <w:t>Luego, como se mencionó, el sistema de etiquetado que se establece en la norma oficial mexicana reclamada deriva de la reforma a la Ley General de Salud, en su exposición de motivos, se adujo que existe un patrón en el aumento del consumo de alimentos procesados de tal manera que se ha estimado que más del 58% de la energía total (kilocalorías) consumida por los mexicanos proviene de alimentos procesados; en</w:t>
      </w:r>
      <w:r w:rsidR="00A6564B" w:rsidRPr="00C67536">
        <w:rPr>
          <w:rFonts w:cs="Arial"/>
          <w:sz w:val="28"/>
          <w:szCs w:val="28"/>
        </w:rPr>
        <w:t xml:space="preserve"> el año dos mil trece</w:t>
      </w:r>
      <w:r w:rsidRPr="00C67536">
        <w:rPr>
          <w:rFonts w:cs="Arial"/>
          <w:sz w:val="28"/>
          <w:szCs w:val="28"/>
        </w:rPr>
        <w:t>, México ocupó el primer lugar a la venta al menudeo per cápita de productos alimentarios y bebidas ultra procesadas.</w:t>
      </w:r>
    </w:p>
    <w:p w14:paraId="5AFFBEE6" w14:textId="77777777" w:rsidR="009A1DBD" w:rsidRPr="00C67536" w:rsidRDefault="009A1DBD" w:rsidP="009A1DBD">
      <w:pPr>
        <w:pStyle w:val="ListParagraph"/>
        <w:rPr>
          <w:rFonts w:cs="Arial"/>
          <w:sz w:val="28"/>
          <w:szCs w:val="28"/>
        </w:rPr>
      </w:pPr>
    </w:p>
    <w:p w14:paraId="70F7BA30" w14:textId="4D675639" w:rsidR="001C1BDB" w:rsidRPr="00C67536" w:rsidRDefault="001C1BDB" w:rsidP="00B144AE">
      <w:pPr>
        <w:pStyle w:val="corte4fondo"/>
        <w:numPr>
          <w:ilvl w:val="0"/>
          <w:numId w:val="15"/>
        </w:numPr>
        <w:ind w:left="0" w:hanging="567"/>
      </w:pPr>
      <w:r w:rsidRPr="00C67536">
        <w:rPr>
          <w:rFonts w:cs="Arial"/>
          <w:sz w:val="28"/>
          <w:szCs w:val="28"/>
        </w:rPr>
        <w:t>Por lo tanto, como l</w:t>
      </w:r>
      <w:r w:rsidR="009A1DBD" w:rsidRPr="00C67536">
        <w:rPr>
          <w:rFonts w:cs="Arial"/>
          <w:sz w:val="28"/>
          <w:szCs w:val="28"/>
        </w:rPr>
        <w:t xml:space="preserve">o estableció el </w:t>
      </w:r>
      <w:r w:rsidR="00A6564B" w:rsidRPr="00C67536">
        <w:rPr>
          <w:rFonts w:cs="Arial"/>
          <w:sz w:val="28"/>
          <w:szCs w:val="28"/>
        </w:rPr>
        <w:t>J</w:t>
      </w:r>
      <w:r w:rsidR="009A1DBD" w:rsidRPr="00C67536">
        <w:rPr>
          <w:rFonts w:cs="Arial"/>
          <w:sz w:val="28"/>
          <w:szCs w:val="28"/>
        </w:rPr>
        <w:t xml:space="preserve">uez de </w:t>
      </w:r>
      <w:r w:rsidR="00A6564B" w:rsidRPr="00C67536">
        <w:rPr>
          <w:rFonts w:cs="Arial"/>
          <w:sz w:val="28"/>
          <w:szCs w:val="28"/>
        </w:rPr>
        <w:t>D</w:t>
      </w:r>
      <w:r w:rsidR="009A1DBD" w:rsidRPr="00C67536">
        <w:rPr>
          <w:rFonts w:cs="Arial"/>
          <w:sz w:val="28"/>
          <w:szCs w:val="28"/>
        </w:rPr>
        <w:t>istrito, el</w:t>
      </w:r>
      <w:r w:rsidRPr="00C67536">
        <w:rPr>
          <w:rFonts w:cs="Arial"/>
          <w:sz w:val="28"/>
          <w:szCs w:val="28"/>
        </w:rPr>
        <w:t xml:space="preserve"> punto de comparación no resulta idóneo, </w:t>
      </w:r>
      <w:r w:rsidR="009632DD" w:rsidRPr="00C67536">
        <w:rPr>
          <w:rFonts w:cs="Arial"/>
          <w:sz w:val="28"/>
          <w:szCs w:val="28"/>
        </w:rPr>
        <w:t xml:space="preserve">por ende, </w:t>
      </w:r>
      <w:r w:rsidRPr="00C67536">
        <w:rPr>
          <w:rFonts w:cs="Arial"/>
          <w:sz w:val="28"/>
          <w:szCs w:val="28"/>
        </w:rPr>
        <w:t>no e</w:t>
      </w:r>
      <w:r w:rsidR="009632DD" w:rsidRPr="00C67536">
        <w:rPr>
          <w:rFonts w:cs="Arial"/>
          <w:sz w:val="28"/>
          <w:szCs w:val="28"/>
        </w:rPr>
        <w:t>ra</w:t>
      </w:r>
      <w:r w:rsidRPr="00C67536">
        <w:rPr>
          <w:rFonts w:cs="Arial"/>
          <w:sz w:val="28"/>
          <w:szCs w:val="28"/>
        </w:rPr>
        <w:t xml:space="preserve"> procedente correr las siguientes gradas, por ello, </w:t>
      </w:r>
      <w:r w:rsidRPr="00C67536">
        <w:rPr>
          <w:rFonts w:cs="Arial"/>
          <w:b/>
          <w:bCs/>
          <w:sz w:val="28"/>
          <w:szCs w:val="28"/>
        </w:rPr>
        <w:t>el</w:t>
      </w:r>
      <w:r w:rsidR="009632DD" w:rsidRPr="00C67536">
        <w:rPr>
          <w:rFonts w:cs="Arial"/>
          <w:b/>
          <w:bCs/>
          <w:sz w:val="28"/>
          <w:szCs w:val="28"/>
        </w:rPr>
        <w:t xml:space="preserve"> agravio</w:t>
      </w:r>
      <w:r w:rsidRPr="00C67536">
        <w:rPr>
          <w:rFonts w:cs="Arial"/>
          <w:b/>
          <w:bCs/>
          <w:sz w:val="28"/>
          <w:szCs w:val="28"/>
        </w:rPr>
        <w:t xml:space="preserve"> resulta in</w:t>
      </w:r>
      <w:r w:rsidR="009632DD" w:rsidRPr="00C67536">
        <w:rPr>
          <w:rFonts w:cs="Arial"/>
          <w:b/>
          <w:bCs/>
          <w:sz w:val="28"/>
          <w:szCs w:val="28"/>
        </w:rPr>
        <w:t>fundado</w:t>
      </w:r>
      <w:r w:rsidRPr="00C67536">
        <w:rPr>
          <w:rFonts w:cs="Arial"/>
          <w:sz w:val="28"/>
          <w:szCs w:val="28"/>
        </w:rPr>
        <w:t>.</w:t>
      </w:r>
    </w:p>
    <w:p w14:paraId="4D38C03D" w14:textId="77777777" w:rsidR="007E0FAC" w:rsidRPr="00C67536" w:rsidRDefault="007E0FAC" w:rsidP="007E0FAC">
      <w:pPr>
        <w:pStyle w:val="ListParagraph"/>
      </w:pPr>
    </w:p>
    <w:p w14:paraId="5B2A4B67" w14:textId="77777777" w:rsidR="00590FFF" w:rsidRPr="00C67536" w:rsidRDefault="00590FFF" w:rsidP="00D637D2">
      <w:pPr>
        <w:pStyle w:val="ListParagraph"/>
      </w:pPr>
    </w:p>
    <w:p w14:paraId="2385B2D5" w14:textId="7AC9F14C" w:rsidR="00590FFF" w:rsidRPr="00C67536" w:rsidRDefault="00590FFF" w:rsidP="00590FFF">
      <w:pPr>
        <w:pStyle w:val="corte4fondo"/>
        <w:ind w:firstLine="0"/>
        <w:rPr>
          <w:b/>
          <w:bCs/>
        </w:rPr>
      </w:pPr>
      <w:r w:rsidRPr="00C67536">
        <w:rPr>
          <w:b/>
          <w:bCs/>
        </w:rPr>
        <w:t>VI.2. Test de proporcionalidad</w:t>
      </w:r>
      <w:r w:rsidR="009A7AA1" w:rsidRPr="00C67536">
        <w:rPr>
          <w:b/>
          <w:bCs/>
        </w:rPr>
        <w:t xml:space="preserve"> con relación</w:t>
      </w:r>
      <w:r w:rsidR="00FF4610" w:rsidRPr="00C67536">
        <w:rPr>
          <w:b/>
          <w:bCs/>
        </w:rPr>
        <w:t xml:space="preserve"> a la libertad de trabajo</w:t>
      </w:r>
      <w:r w:rsidRPr="00C67536">
        <w:rPr>
          <w:b/>
          <w:bCs/>
        </w:rPr>
        <w:t>.</w:t>
      </w:r>
    </w:p>
    <w:p w14:paraId="4CA2C730" w14:textId="77777777" w:rsidR="001C1BDB" w:rsidRPr="00C67536" w:rsidRDefault="001C1BDB" w:rsidP="001C1BDB"/>
    <w:p w14:paraId="1DA2DF5C" w14:textId="77777777" w:rsidR="004F0E70" w:rsidRPr="00C67536" w:rsidRDefault="00590FFF" w:rsidP="00B144AE">
      <w:pPr>
        <w:pStyle w:val="corte4fondo"/>
        <w:numPr>
          <w:ilvl w:val="0"/>
          <w:numId w:val="15"/>
        </w:numPr>
        <w:ind w:left="0" w:hanging="567"/>
        <w:rPr>
          <w:rFonts w:cs="Arial"/>
          <w:sz w:val="28"/>
          <w:szCs w:val="28"/>
        </w:rPr>
      </w:pPr>
      <w:r w:rsidRPr="00C67536">
        <w:rPr>
          <w:rFonts w:cs="Arial"/>
          <w:bCs/>
          <w:color w:val="000000"/>
          <w:sz w:val="28"/>
          <w:szCs w:val="28"/>
          <w:lang w:val="es-MX"/>
        </w:rPr>
        <w:t xml:space="preserve">En parte del primer </w:t>
      </w:r>
      <w:r w:rsidR="003D127F" w:rsidRPr="00C67536">
        <w:rPr>
          <w:rFonts w:cs="Arial"/>
          <w:bCs/>
          <w:color w:val="000000"/>
          <w:sz w:val="28"/>
          <w:szCs w:val="28"/>
          <w:lang w:val="es-MX"/>
        </w:rPr>
        <w:t xml:space="preserve">agravio </w:t>
      </w:r>
      <w:r w:rsidRPr="00C67536">
        <w:rPr>
          <w:rFonts w:cs="Arial"/>
          <w:bCs/>
          <w:color w:val="000000"/>
          <w:sz w:val="28"/>
          <w:szCs w:val="28"/>
          <w:lang w:val="es-MX"/>
        </w:rPr>
        <w:t>la quejosa refiere</w:t>
      </w:r>
      <w:r w:rsidR="003D127F" w:rsidRPr="00C67536">
        <w:rPr>
          <w:rFonts w:cs="Arial"/>
          <w:bCs/>
          <w:color w:val="000000"/>
          <w:sz w:val="28"/>
          <w:szCs w:val="28"/>
          <w:lang w:val="es-MX"/>
        </w:rPr>
        <w:t xml:space="preserve"> que las normas reclamadas incumplen </w:t>
      </w:r>
      <w:r w:rsidR="003D127F" w:rsidRPr="00C67536">
        <w:rPr>
          <w:rFonts w:cs="Arial"/>
          <w:b/>
          <w:color w:val="000000"/>
          <w:sz w:val="28"/>
          <w:szCs w:val="28"/>
          <w:lang w:val="es-MX"/>
        </w:rPr>
        <w:t xml:space="preserve">con la grada de proporcionalidad en sentido </w:t>
      </w:r>
      <w:r w:rsidR="003D127F" w:rsidRPr="00C67536">
        <w:rPr>
          <w:rFonts w:cs="Arial"/>
          <w:bCs/>
          <w:color w:val="000000"/>
          <w:sz w:val="28"/>
          <w:szCs w:val="28"/>
          <w:lang w:val="es-MX"/>
        </w:rPr>
        <w:t>estricto, debido a que estigmatizan su producto, pues la finalidad constitucional (combate al sobrepeso) se hace a costa de una afectación desmedida e innecesaria a la libertad de trabajo en relación con el derecho a la no discriminación, por el repudio dispositivo y valorativo que la norma provoca.</w:t>
      </w:r>
    </w:p>
    <w:p w14:paraId="46670FFA" w14:textId="77777777" w:rsidR="004F0E70" w:rsidRPr="00C67536" w:rsidRDefault="004F0E70" w:rsidP="004F0E70">
      <w:pPr>
        <w:pStyle w:val="corte4fondo"/>
        <w:ind w:firstLine="0"/>
        <w:rPr>
          <w:rFonts w:cs="Arial"/>
          <w:sz w:val="28"/>
          <w:szCs w:val="28"/>
        </w:rPr>
      </w:pPr>
    </w:p>
    <w:p w14:paraId="6C32341C" w14:textId="7D04F695" w:rsidR="003C10BF" w:rsidRPr="00C67536" w:rsidRDefault="003D127F" w:rsidP="00B144AE">
      <w:pPr>
        <w:pStyle w:val="corte4fondo"/>
        <w:numPr>
          <w:ilvl w:val="0"/>
          <w:numId w:val="15"/>
        </w:numPr>
        <w:ind w:left="0" w:hanging="567"/>
        <w:rPr>
          <w:rFonts w:cs="Arial"/>
          <w:sz w:val="28"/>
          <w:szCs w:val="28"/>
        </w:rPr>
      </w:pPr>
      <w:r w:rsidRPr="00C67536">
        <w:rPr>
          <w:rFonts w:eastAsiaTheme="minorHAnsi" w:cs="Arial"/>
          <w:sz w:val="28"/>
          <w:szCs w:val="28"/>
          <w:lang w:eastAsia="en-US"/>
        </w:rPr>
        <w:t>También, refiere que</w:t>
      </w:r>
      <w:r w:rsidR="003C10BF" w:rsidRPr="00C67536">
        <w:rPr>
          <w:rFonts w:eastAsiaTheme="minorHAnsi" w:cs="Arial"/>
          <w:sz w:val="28"/>
          <w:szCs w:val="28"/>
          <w:lang w:eastAsia="en-US"/>
        </w:rPr>
        <w:t xml:space="preserve"> la sentencia reclamada, carece de la debida fundamentación y motivación</w:t>
      </w:r>
      <w:r w:rsidR="009A4482" w:rsidRPr="00C67536">
        <w:rPr>
          <w:rFonts w:eastAsiaTheme="minorHAnsi" w:cs="Arial"/>
          <w:sz w:val="28"/>
          <w:szCs w:val="28"/>
          <w:lang w:eastAsia="en-US"/>
        </w:rPr>
        <w:t>, porqu</w:t>
      </w:r>
      <w:r w:rsidR="006B681E" w:rsidRPr="00C67536">
        <w:rPr>
          <w:rFonts w:eastAsiaTheme="minorHAnsi" w:cs="Arial"/>
          <w:sz w:val="28"/>
          <w:szCs w:val="28"/>
          <w:lang w:eastAsia="en-US"/>
        </w:rPr>
        <w:t xml:space="preserve">e el </w:t>
      </w:r>
      <w:r w:rsidR="00A6564B" w:rsidRPr="00C67536">
        <w:rPr>
          <w:rFonts w:eastAsiaTheme="minorHAnsi" w:cs="Arial"/>
          <w:sz w:val="28"/>
          <w:szCs w:val="28"/>
          <w:lang w:eastAsia="en-US"/>
        </w:rPr>
        <w:t>J</w:t>
      </w:r>
      <w:r w:rsidR="006B681E" w:rsidRPr="00C67536">
        <w:rPr>
          <w:rFonts w:eastAsiaTheme="minorHAnsi" w:cs="Arial"/>
          <w:sz w:val="28"/>
          <w:szCs w:val="28"/>
          <w:lang w:eastAsia="en-US"/>
        </w:rPr>
        <w:t xml:space="preserve">uez de </w:t>
      </w:r>
      <w:r w:rsidR="00A6564B" w:rsidRPr="00C67536">
        <w:rPr>
          <w:rFonts w:eastAsiaTheme="minorHAnsi" w:cs="Arial"/>
          <w:sz w:val="28"/>
          <w:szCs w:val="28"/>
          <w:lang w:eastAsia="en-US"/>
        </w:rPr>
        <w:t>D</w:t>
      </w:r>
      <w:r w:rsidR="006B681E" w:rsidRPr="00C67536">
        <w:rPr>
          <w:rFonts w:eastAsiaTheme="minorHAnsi" w:cs="Arial"/>
          <w:sz w:val="28"/>
          <w:szCs w:val="28"/>
          <w:lang w:eastAsia="en-US"/>
        </w:rPr>
        <w:t>istrito consideró que</w:t>
      </w:r>
      <w:r w:rsidR="0065797C" w:rsidRPr="00C67536">
        <w:rPr>
          <w:rFonts w:eastAsiaTheme="minorHAnsi" w:cs="Arial"/>
          <w:sz w:val="28"/>
          <w:szCs w:val="28"/>
          <w:lang w:eastAsia="en-US"/>
        </w:rPr>
        <w:t xml:space="preserve"> la medida es idónea para permitir que los consumidores cuenten con la </w:t>
      </w:r>
      <w:r w:rsidR="0065797C" w:rsidRPr="00C67536">
        <w:rPr>
          <w:rFonts w:eastAsiaTheme="minorHAnsi" w:cs="Arial"/>
          <w:b/>
          <w:bCs/>
          <w:sz w:val="28"/>
          <w:szCs w:val="28"/>
          <w:lang w:eastAsia="en-US"/>
        </w:rPr>
        <w:t>información para poder realizar la elección de sus alimentos</w:t>
      </w:r>
      <w:r w:rsidR="00717CAB" w:rsidRPr="00C67536">
        <w:rPr>
          <w:rFonts w:eastAsiaTheme="minorHAnsi" w:cs="Arial"/>
          <w:b/>
          <w:bCs/>
          <w:sz w:val="28"/>
          <w:szCs w:val="28"/>
          <w:lang w:eastAsia="en-US"/>
        </w:rPr>
        <w:t xml:space="preserve"> y, por ende</w:t>
      </w:r>
      <w:r w:rsidR="00C21E26" w:rsidRPr="00C67536">
        <w:rPr>
          <w:rFonts w:eastAsiaTheme="minorHAnsi" w:cs="Arial"/>
          <w:b/>
          <w:bCs/>
          <w:sz w:val="28"/>
          <w:szCs w:val="28"/>
          <w:lang w:eastAsia="en-US"/>
        </w:rPr>
        <w:t>,</w:t>
      </w:r>
      <w:r w:rsidR="00717CAB" w:rsidRPr="00C67536">
        <w:rPr>
          <w:rFonts w:eastAsiaTheme="minorHAnsi" w:cs="Arial"/>
          <w:b/>
          <w:bCs/>
          <w:sz w:val="28"/>
          <w:szCs w:val="28"/>
          <w:lang w:eastAsia="en-US"/>
        </w:rPr>
        <w:t xml:space="preserve"> es necesaria, pero sin indicar los motivos y fundamentos</w:t>
      </w:r>
      <w:r w:rsidR="00607098" w:rsidRPr="00C67536">
        <w:rPr>
          <w:rFonts w:eastAsiaTheme="minorHAnsi" w:cs="Arial"/>
          <w:b/>
          <w:bCs/>
          <w:sz w:val="28"/>
          <w:szCs w:val="28"/>
          <w:lang w:eastAsia="en-US"/>
        </w:rPr>
        <w:t xml:space="preserve"> para ello.</w:t>
      </w:r>
    </w:p>
    <w:p w14:paraId="5D05F87A" w14:textId="77777777" w:rsidR="003C10BF" w:rsidRPr="00C67536" w:rsidRDefault="003C10BF" w:rsidP="003C10BF">
      <w:pPr>
        <w:pStyle w:val="ListParagraph"/>
        <w:rPr>
          <w:rFonts w:ascii="Arial" w:eastAsiaTheme="minorHAnsi" w:hAnsi="Arial" w:cs="Arial"/>
          <w:sz w:val="28"/>
          <w:szCs w:val="28"/>
          <w:lang w:eastAsia="en-US"/>
        </w:rPr>
      </w:pPr>
    </w:p>
    <w:p w14:paraId="07D83C74" w14:textId="645B8D8B" w:rsidR="006D612C" w:rsidRPr="00C67536" w:rsidRDefault="00E9406E" w:rsidP="00B144AE">
      <w:pPr>
        <w:pStyle w:val="corte4fondo"/>
        <w:numPr>
          <w:ilvl w:val="0"/>
          <w:numId w:val="15"/>
        </w:numPr>
        <w:ind w:left="0" w:hanging="567"/>
        <w:rPr>
          <w:rFonts w:cs="Arial"/>
          <w:sz w:val="28"/>
          <w:szCs w:val="28"/>
        </w:rPr>
      </w:pPr>
      <w:r w:rsidRPr="00C67536">
        <w:rPr>
          <w:rFonts w:eastAsiaTheme="minorHAnsi" w:cs="Arial"/>
          <w:sz w:val="28"/>
          <w:szCs w:val="28"/>
          <w:lang w:eastAsia="en-US"/>
        </w:rPr>
        <w:t>En ese contexto, indica</w:t>
      </w:r>
      <w:r w:rsidR="00485961" w:rsidRPr="00C67536">
        <w:rPr>
          <w:rFonts w:eastAsiaTheme="minorHAnsi" w:cs="Arial"/>
          <w:sz w:val="28"/>
          <w:szCs w:val="28"/>
          <w:lang w:eastAsia="en-US"/>
        </w:rPr>
        <w:t xml:space="preserve"> que</w:t>
      </w:r>
      <w:r w:rsidR="003D127F" w:rsidRPr="00C67536">
        <w:rPr>
          <w:rFonts w:eastAsiaTheme="minorHAnsi" w:cs="Arial"/>
          <w:sz w:val="28"/>
          <w:szCs w:val="28"/>
          <w:lang w:eastAsia="en-US"/>
        </w:rPr>
        <w:t xml:space="preserve"> es incorrecta la afirmación del a quo, puesto que el sistema de etiquetado frontal </w:t>
      </w:r>
      <w:r w:rsidR="003D127F" w:rsidRPr="00C67536">
        <w:rPr>
          <w:rFonts w:eastAsiaTheme="minorHAnsi" w:cs="Arial"/>
          <w:b/>
          <w:bCs/>
          <w:sz w:val="28"/>
          <w:szCs w:val="28"/>
          <w:lang w:eastAsia="en-US"/>
        </w:rPr>
        <w:t>no es el mejor sistema para el procesamiento</w:t>
      </w:r>
      <w:r w:rsidR="003D127F" w:rsidRPr="00C67536">
        <w:rPr>
          <w:rFonts w:eastAsiaTheme="minorHAnsi" w:cs="Arial"/>
          <w:sz w:val="28"/>
          <w:szCs w:val="28"/>
          <w:lang w:eastAsia="en-US"/>
        </w:rPr>
        <w:t>, comprensión, evaluación y utilización para los consumidores, pues no contienen información sobre la existencia de nutrientes en los productos,</w:t>
      </w:r>
      <w:r w:rsidR="00D21AFB" w:rsidRPr="00C67536">
        <w:rPr>
          <w:rFonts w:eastAsiaTheme="minorHAnsi" w:cs="Arial"/>
          <w:sz w:val="28"/>
          <w:szCs w:val="28"/>
          <w:lang w:eastAsia="en-US"/>
        </w:rPr>
        <w:t xml:space="preserve"> es decir, no brinda información</w:t>
      </w:r>
      <w:r w:rsidR="008A73BE" w:rsidRPr="00C67536">
        <w:rPr>
          <w:rFonts w:eastAsiaTheme="minorHAnsi" w:cs="Arial"/>
          <w:sz w:val="28"/>
          <w:szCs w:val="28"/>
          <w:lang w:eastAsia="en-US"/>
        </w:rPr>
        <w:t xml:space="preserve"> adecuada y clara sobre la correcta cantidad, </w:t>
      </w:r>
      <w:r w:rsidR="00AA339B" w:rsidRPr="00C67536">
        <w:rPr>
          <w:rFonts w:eastAsiaTheme="minorHAnsi" w:cs="Arial"/>
          <w:sz w:val="28"/>
          <w:szCs w:val="28"/>
          <w:lang w:eastAsia="en-US"/>
        </w:rPr>
        <w:t xml:space="preserve">características, composición y calidad, </w:t>
      </w:r>
      <w:r w:rsidR="003D127F" w:rsidRPr="00C67536">
        <w:rPr>
          <w:rFonts w:eastAsiaTheme="minorHAnsi" w:cs="Arial"/>
          <w:sz w:val="28"/>
          <w:szCs w:val="28"/>
          <w:lang w:eastAsia="en-US"/>
        </w:rPr>
        <w:t>sino que solo se limitan a advertir sobre la presencia de elementos críticos, sin graduación a los mismos, ni permitir la comparación con otros productos.</w:t>
      </w:r>
    </w:p>
    <w:p w14:paraId="0566763A" w14:textId="77777777" w:rsidR="00DA4603" w:rsidRPr="00C67536" w:rsidRDefault="00DA4603" w:rsidP="00DA4603">
      <w:pPr>
        <w:pStyle w:val="ListParagraph"/>
        <w:rPr>
          <w:rFonts w:ascii="Arial" w:hAnsi="Arial" w:cs="Arial"/>
          <w:sz w:val="28"/>
          <w:szCs w:val="28"/>
        </w:rPr>
      </w:pPr>
    </w:p>
    <w:p w14:paraId="29AEFD58" w14:textId="61B0D347" w:rsidR="00A92BD8" w:rsidRPr="00C67536" w:rsidRDefault="00DA4603"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Al respecto, el </w:t>
      </w:r>
      <w:r w:rsidR="00060AE1">
        <w:rPr>
          <w:rFonts w:cs="Arial"/>
          <w:sz w:val="28"/>
          <w:szCs w:val="28"/>
        </w:rPr>
        <w:t>J</w:t>
      </w:r>
      <w:r w:rsidRPr="00C67536">
        <w:rPr>
          <w:rFonts w:cs="Arial"/>
          <w:sz w:val="28"/>
          <w:szCs w:val="28"/>
        </w:rPr>
        <w:t xml:space="preserve">uez Federal </w:t>
      </w:r>
      <w:r w:rsidR="00F25A7C" w:rsidRPr="00C67536">
        <w:rPr>
          <w:rFonts w:eastAsiaTheme="minorHAnsi" w:cs="Arial"/>
          <w:bCs/>
          <w:sz w:val="28"/>
          <w:szCs w:val="28"/>
          <w:lang w:eastAsia="en-US"/>
        </w:rPr>
        <w:t xml:space="preserve">determinó que de </w:t>
      </w:r>
      <w:r w:rsidR="00D61143" w:rsidRPr="00C67536">
        <w:rPr>
          <w:rFonts w:eastAsiaTheme="minorHAnsi" w:cs="Arial"/>
          <w:bCs/>
          <w:sz w:val="28"/>
          <w:szCs w:val="28"/>
          <w:lang w:eastAsia="en-US"/>
        </w:rPr>
        <w:t xml:space="preserve">acuerdo a los </w:t>
      </w:r>
      <w:r w:rsidRPr="00C67536">
        <w:rPr>
          <w:rFonts w:eastAsiaTheme="minorHAnsi" w:cs="Arial"/>
          <w:bCs/>
          <w:color w:val="000000"/>
          <w:sz w:val="28"/>
          <w:szCs w:val="28"/>
          <w:lang w:eastAsia="en-US"/>
        </w:rPr>
        <w:t>criterios emitidos por la Suprema Corte de Justicia de la Nación, el cumplimiento de los principios de razonabilidad y proporcionalidad implica que, al fijar el alcance de un derecho fundamental por parte del legislador, debe: a) perseguir una finalidad constitucionalmente legítima; b) ser adecuada, idónea, apta y susceptible de alcanzar el fin perseguido; c) ser necesaria, es decir, suficiente para lograr dicha finalidad, de tal forma que no implique una carga desmedida, excesiva o injustificada para el gobernado; y, d) estar justificada en razones constitucionales.</w:t>
      </w:r>
    </w:p>
    <w:p w14:paraId="3939E09A" w14:textId="77777777" w:rsidR="00A92BD8" w:rsidRPr="00C67536" w:rsidRDefault="00A92BD8" w:rsidP="00A92BD8">
      <w:pPr>
        <w:pStyle w:val="ListParagraph"/>
        <w:rPr>
          <w:rFonts w:ascii="Arial" w:eastAsiaTheme="minorHAnsi" w:hAnsi="Arial" w:cs="Arial"/>
          <w:bCs/>
          <w:sz w:val="28"/>
          <w:szCs w:val="28"/>
          <w:lang w:eastAsia="en-US"/>
        </w:rPr>
      </w:pPr>
    </w:p>
    <w:p w14:paraId="32D8B66B" w14:textId="77777777" w:rsidR="001D7E45" w:rsidRPr="00C67536" w:rsidRDefault="00A92BD8"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bCs/>
          <w:sz w:val="28"/>
          <w:szCs w:val="28"/>
          <w:lang w:val="es-MX" w:eastAsia="en-US"/>
        </w:rPr>
        <w:t>Luego, indicó que la norma reclamada tiene</w:t>
      </w:r>
      <w:r w:rsidR="00DA4603" w:rsidRPr="00C67536">
        <w:rPr>
          <w:rFonts w:eastAsiaTheme="minorHAnsi" w:cs="Arial"/>
          <w:bCs/>
          <w:sz w:val="28"/>
          <w:szCs w:val="28"/>
          <w:lang w:val="es-MX" w:eastAsia="en-US"/>
        </w:rPr>
        <w:t xml:space="preserve"> como finalidad proteger a la población de dos derechos fundamentales como son: </w:t>
      </w:r>
      <w:r w:rsidR="00DA4603" w:rsidRPr="00C67536">
        <w:rPr>
          <w:rFonts w:eastAsiaTheme="minorHAnsi" w:cs="Arial"/>
          <w:bCs/>
          <w:sz w:val="28"/>
          <w:szCs w:val="28"/>
          <w:lang w:eastAsia="en-US"/>
        </w:rPr>
        <w:t xml:space="preserve">a) el derecho a la salud y b) el derecho a la información, tal como se consigna en el párrafo tercero del artículo 4º de la Constitución Política </w:t>
      </w:r>
      <w:r w:rsidR="00DA4603" w:rsidRPr="00C67536">
        <w:rPr>
          <w:rFonts w:eastAsiaTheme="minorHAnsi" w:cs="Arial"/>
          <w:bCs/>
          <w:sz w:val="28"/>
          <w:szCs w:val="28"/>
          <w:lang w:val="es-MX" w:eastAsia="en-US"/>
        </w:rPr>
        <w:t>de los Estados Unidos Mexicanos.</w:t>
      </w:r>
    </w:p>
    <w:p w14:paraId="3EDAF253" w14:textId="77777777" w:rsidR="001D7E45" w:rsidRPr="00C67536" w:rsidRDefault="001D7E45" w:rsidP="001D7E45">
      <w:pPr>
        <w:pStyle w:val="ListParagraph"/>
        <w:rPr>
          <w:rFonts w:ascii="Arial" w:eastAsiaTheme="minorHAnsi" w:hAnsi="Arial" w:cs="Arial"/>
          <w:bCs/>
          <w:color w:val="000000"/>
          <w:sz w:val="28"/>
          <w:szCs w:val="28"/>
          <w:lang w:eastAsia="en-US"/>
        </w:rPr>
      </w:pPr>
    </w:p>
    <w:p w14:paraId="4E33FE44" w14:textId="31B061EF" w:rsidR="002860A6" w:rsidRPr="00C67536" w:rsidRDefault="00DA4603"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bCs/>
          <w:color w:val="000000"/>
          <w:sz w:val="28"/>
          <w:szCs w:val="28"/>
          <w:lang w:eastAsia="en-US"/>
        </w:rPr>
        <w:t>De igual forma,</w:t>
      </w:r>
      <w:r w:rsidR="002655EB" w:rsidRPr="00C67536">
        <w:rPr>
          <w:rFonts w:eastAsiaTheme="minorHAnsi" w:cs="Arial"/>
          <w:bCs/>
          <w:color w:val="000000"/>
          <w:sz w:val="28"/>
          <w:szCs w:val="28"/>
          <w:lang w:eastAsia="en-US"/>
        </w:rPr>
        <w:t xml:space="preserve"> en lo que interesa</w:t>
      </w:r>
      <w:r w:rsidR="00013392" w:rsidRPr="00C67536">
        <w:rPr>
          <w:rFonts w:eastAsiaTheme="minorHAnsi" w:cs="Arial"/>
          <w:bCs/>
          <w:color w:val="000000"/>
          <w:sz w:val="28"/>
          <w:szCs w:val="28"/>
          <w:lang w:eastAsia="en-US"/>
        </w:rPr>
        <w:t>,</w:t>
      </w:r>
      <w:r w:rsidRPr="00C67536">
        <w:rPr>
          <w:rFonts w:eastAsiaTheme="minorHAnsi" w:cs="Arial"/>
          <w:bCs/>
          <w:color w:val="000000"/>
          <w:sz w:val="28"/>
          <w:szCs w:val="28"/>
          <w:lang w:eastAsia="en-US"/>
        </w:rPr>
        <w:t xml:space="preserve"> indicó que era </w:t>
      </w:r>
      <w:r w:rsidRPr="00C67536">
        <w:rPr>
          <w:rFonts w:eastAsiaTheme="minorHAnsi" w:cs="Arial"/>
          <w:b/>
          <w:sz w:val="28"/>
          <w:szCs w:val="28"/>
          <w:lang w:eastAsia="en-US"/>
        </w:rPr>
        <w:t>idónea</w:t>
      </w:r>
      <w:r w:rsidRPr="00C67536">
        <w:rPr>
          <w:rFonts w:eastAsiaTheme="minorHAnsi" w:cs="Arial"/>
          <w:bCs/>
          <w:sz w:val="28"/>
          <w:szCs w:val="28"/>
          <w:lang w:eastAsia="en-US"/>
        </w:rPr>
        <w:t xml:space="preserve">, apta y susceptible de alcanzar el fin perseguido, en la medida que es obligación del Estado velar por el bienestar y la salud de la población y, si bien, la medida en análisis implica definitivamente un costo económico al repercutir directa e indirectamente en la industria fabricante, distribuidora y envasadora de los productos; tal medida era adecuada e idónea para lograr que los consumidores cuenten con la información necesaria para poder realizar la elección de sus alimentos y con ello tener una mejor nutrición, y, en ese sentido, se hace consecuente con el fin perseguido de proteger el derecho a la salud de la población, contemplado en artículo 4º </w:t>
      </w:r>
      <w:r w:rsidR="00057A8F" w:rsidRPr="00C67536">
        <w:rPr>
          <w:rFonts w:eastAsiaTheme="minorHAnsi" w:cs="Arial"/>
          <w:bCs/>
          <w:sz w:val="28"/>
          <w:szCs w:val="28"/>
          <w:lang w:eastAsia="en-US"/>
        </w:rPr>
        <w:t>c</w:t>
      </w:r>
      <w:r w:rsidRPr="00C67536">
        <w:rPr>
          <w:rFonts w:eastAsiaTheme="minorHAnsi" w:cs="Arial"/>
          <w:bCs/>
          <w:sz w:val="28"/>
          <w:szCs w:val="28"/>
          <w:lang w:eastAsia="en-US"/>
        </w:rPr>
        <w:t>onstitucional</w:t>
      </w:r>
      <w:r w:rsidRPr="00C67536">
        <w:rPr>
          <w:rFonts w:eastAsiaTheme="minorHAnsi" w:cs="Arial"/>
          <w:bCs/>
          <w:sz w:val="28"/>
          <w:szCs w:val="28"/>
          <w:lang w:val="es-MX" w:eastAsia="en-US"/>
        </w:rPr>
        <w:t>.</w:t>
      </w:r>
    </w:p>
    <w:p w14:paraId="3BAE6599" w14:textId="77777777" w:rsidR="002860A6" w:rsidRPr="00C67536" w:rsidRDefault="002860A6" w:rsidP="002860A6">
      <w:pPr>
        <w:pStyle w:val="ListParagraph"/>
        <w:rPr>
          <w:rFonts w:ascii="Arial" w:eastAsiaTheme="minorHAnsi" w:hAnsi="Arial" w:cs="Arial"/>
          <w:bCs/>
          <w:sz w:val="28"/>
          <w:szCs w:val="28"/>
          <w:lang w:eastAsia="en-US"/>
        </w:rPr>
      </w:pPr>
    </w:p>
    <w:p w14:paraId="49DF1CD0" w14:textId="785EB529" w:rsidR="000B5275" w:rsidRPr="00C67536" w:rsidRDefault="00DA4603"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bCs/>
          <w:sz w:val="28"/>
          <w:szCs w:val="28"/>
          <w:lang w:eastAsia="en-US"/>
        </w:rPr>
        <w:t xml:space="preserve">Por ende concluyó, </w:t>
      </w:r>
      <w:r w:rsidRPr="00C67536">
        <w:rPr>
          <w:rFonts w:eastAsiaTheme="minorHAnsi" w:cs="Arial"/>
          <w:bCs/>
          <w:color w:val="000000"/>
          <w:sz w:val="28"/>
          <w:szCs w:val="28"/>
          <w:lang w:eastAsia="en-US"/>
        </w:rPr>
        <w:t>que la disposición controvertida cumple con el test de proporcionalidad, toda vez que la modificación de la Norma Oficial Mexicana NOM-051-SCFI/SSA1-2010, se expidió con el objeto de procurar las medidas que sean necesarias para garantizar que los productos que se comercialicen en territorio nacional contengan los requisitos necesarios con el fin de garantizar los aspectos de información para log</w:t>
      </w:r>
      <w:r w:rsidR="00AD769F">
        <w:rPr>
          <w:rFonts w:eastAsiaTheme="minorHAnsi" w:cs="Arial"/>
          <w:bCs/>
          <w:color w:val="000000"/>
          <w:sz w:val="28"/>
          <w:szCs w:val="28"/>
          <w:lang w:eastAsia="en-US"/>
        </w:rPr>
        <w:t>r</w:t>
      </w:r>
      <w:r w:rsidRPr="00C67536">
        <w:rPr>
          <w:rFonts w:eastAsiaTheme="minorHAnsi" w:cs="Arial"/>
          <w:bCs/>
          <w:color w:val="000000"/>
          <w:sz w:val="28"/>
          <w:szCs w:val="28"/>
          <w:lang w:eastAsia="en-US"/>
        </w:rPr>
        <w:t>ar una efectiva protección del consumidor, al observar las medidas emitidas en materia de sobrepeso, obesidad y que con el etiquetado de alimentos y bebidas no alcohólicas, se establezca un sistema frontal de advertencia, por lo que su propósito es determinar la información comercial y sanitaria que deben cumplir las etiquetas de los alimentos y bebidas no alcohólicas para dar la información al consumidor, cuestiones que tienen que ver estrictamente con la protección al derecho a la salud.</w:t>
      </w:r>
    </w:p>
    <w:p w14:paraId="0F613FB7" w14:textId="77777777" w:rsidR="000B5275" w:rsidRPr="00C67536" w:rsidRDefault="000B5275" w:rsidP="000B5275">
      <w:pPr>
        <w:pStyle w:val="ListParagraph"/>
        <w:rPr>
          <w:rFonts w:ascii="Arial" w:eastAsiaTheme="minorHAnsi" w:hAnsi="Arial" w:cs="Arial"/>
          <w:bCs/>
          <w:sz w:val="28"/>
          <w:szCs w:val="28"/>
          <w:lang w:eastAsia="en-US"/>
        </w:rPr>
      </w:pPr>
    </w:p>
    <w:p w14:paraId="0A72707E" w14:textId="200A655B" w:rsidR="00DA4603" w:rsidRPr="00C67536" w:rsidRDefault="00DA4603"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bCs/>
          <w:sz w:val="28"/>
          <w:szCs w:val="28"/>
          <w:lang w:eastAsia="en-US"/>
        </w:rPr>
        <w:t xml:space="preserve">De ahí que, el concepto de violación en relación con la violación a </w:t>
      </w:r>
      <w:r w:rsidRPr="00C67536">
        <w:rPr>
          <w:rFonts w:eastAsiaTheme="minorHAnsi" w:cs="Arial"/>
          <w:b/>
          <w:sz w:val="28"/>
          <w:szCs w:val="28"/>
          <w:lang w:eastAsia="en-US"/>
        </w:rPr>
        <w:t xml:space="preserve">la libertad de trabajo </w:t>
      </w:r>
      <w:r w:rsidRPr="00C67536">
        <w:rPr>
          <w:rFonts w:eastAsiaTheme="minorHAnsi" w:cs="Arial"/>
          <w:b/>
          <w:sz w:val="28"/>
          <w:szCs w:val="28"/>
          <w:lang w:val="es-MX" w:eastAsia="en-US"/>
        </w:rPr>
        <w:t>resultaba infundado.</w:t>
      </w:r>
    </w:p>
    <w:p w14:paraId="1A510699" w14:textId="77777777" w:rsidR="000510B7" w:rsidRPr="00C67536" w:rsidRDefault="000510B7" w:rsidP="000510B7">
      <w:pPr>
        <w:pStyle w:val="ListParagraph"/>
        <w:rPr>
          <w:rFonts w:ascii="Arial" w:eastAsiaTheme="minorHAnsi" w:hAnsi="Arial" w:cs="Arial"/>
          <w:bCs/>
          <w:sz w:val="28"/>
          <w:szCs w:val="28"/>
          <w:lang w:eastAsia="en-US"/>
        </w:rPr>
      </w:pPr>
    </w:p>
    <w:p w14:paraId="5DD3806A" w14:textId="3391FA6B" w:rsidR="00431FE7" w:rsidRPr="00C67536" w:rsidRDefault="000510B7"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bCs/>
          <w:sz w:val="28"/>
          <w:szCs w:val="28"/>
          <w:lang w:eastAsia="en-US"/>
        </w:rPr>
        <w:t xml:space="preserve">En tal contexto, con base </w:t>
      </w:r>
      <w:r w:rsidR="00431FE7" w:rsidRPr="00C67536">
        <w:rPr>
          <w:rFonts w:eastAsiaTheme="minorHAnsi" w:cs="Arial"/>
          <w:bCs/>
          <w:sz w:val="28"/>
          <w:szCs w:val="28"/>
          <w:lang w:eastAsia="en-US"/>
        </w:rPr>
        <w:t>en ello se</w:t>
      </w:r>
      <w:r w:rsidR="00013392" w:rsidRPr="00C67536">
        <w:rPr>
          <w:rFonts w:eastAsiaTheme="minorHAnsi" w:cs="Arial"/>
          <w:bCs/>
          <w:sz w:val="28"/>
          <w:szCs w:val="28"/>
          <w:lang w:eastAsia="en-US"/>
        </w:rPr>
        <w:t xml:space="preserve"> advierte que</w:t>
      </w:r>
      <w:r w:rsidR="00A136D9" w:rsidRPr="00C67536">
        <w:rPr>
          <w:rFonts w:eastAsiaTheme="minorHAnsi" w:cs="Arial"/>
          <w:bCs/>
          <w:sz w:val="28"/>
          <w:szCs w:val="28"/>
          <w:lang w:eastAsia="en-US"/>
        </w:rPr>
        <w:t xml:space="preserve"> tal como lo indica </w:t>
      </w:r>
      <w:r w:rsidR="00142A70" w:rsidRPr="00C67536">
        <w:rPr>
          <w:rFonts w:eastAsiaTheme="minorHAnsi" w:cs="Arial"/>
          <w:bCs/>
          <w:sz w:val="28"/>
          <w:szCs w:val="28"/>
          <w:lang w:eastAsia="en-US"/>
        </w:rPr>
        <w:t>e</w:t>
      </w:r>
      <w:r w:rsidR="00A136D9" w:rsidRPr="00C67536">
        <w:rPr>
          <w:rFonts w:eastAsiaTheme="minorHAnsi" w:cs="Arial"/>
          <w:bCs/>
          <w:sz w:val="28"/>
          <w:szCs w:val="28"/>
          <w:lang w:eastAsia="en-US"/>
        </w:rPr>
        <w:t xml:space="preserve">l </w:t>
      </w:r>
      <w:r w:rsidR="00057A8F" w:rsidRPr="00C67536">
        <w:rPr>
          <w:rFonts w:eastAsiaTheme="minorHAnsi" w:cs="Arial"/>
          <w:bCs/>
          <w:sz w:val="28"/>
          <w:szCs w:val="28"/>
          <w:lang w:eastAsia="en-US"/>
        </w:rPr>
        <w:t>J</w:t>
      </w:r>
      <w:r w:rsidR="00A136D9" w:rsidRPr="00C67536">
        <w:rPr>
          <w:rFonts w:eastAsiaTheme="minorHAnsi" w:cs="Arial"/>
          <w:bCs/>
          <w:sz w:val="28"/>
          <w:szCs w:val="28"/>
          <w:lang w:eastAsia="en-US"/>
        </w:rPr>
        <w:t xml:space="preserve">uez </w:t>
      </w:r>
      <w:r w:rsidR="00F46951" w:rsidRPr="00C67536">
        <w:rPr>
          <w:rFonts w:eastAsiaTheme="minorHAnsi" w:cs="Arial"/>
          <w:bCs/>
          <w:sz w:val="28"/>
          <w:szCs w:val="28"/>
          <w:lang w:eastAsia="en-US"/>
        </w:rPr>
        <w:t xml:space="preserve">de </w:t>
      </w:r>
      <w:r w:rsidR="00057A8F" w:rsidRPr="00C67536">
        <w:rPr>
          <w:rFonts w:eastAsiaTheme="minorHAnsi" w:cs="Arial"/>
          <w:bCs/>
          <w:sz w:val="28"/>
          <w:szCs w:val="28"/>
          <w:lang w:eastAsia="en-US"/>
        </w:rPr>
        <w:t>D</w:t>
      </w:r>
      <w:r w:rsidR="00F46951" w:rsidRPr="00C67536">
        <w:rPr>
          <w:rFonts w:eastAsiaTheme="minorHAnsi" w:cs="Arial"/>
          <w:bCs/>
          <w:sz w:val="28"/>
          <w:szCs w:val="28"/>
          <w:lang w:eastAsia="en-US"/>
        </w:rPr>
        <w:t xml:space="preserve">istrito </w:t>
      </w:r>
      <w:r w:rsidR="00142A70" w:rsidRPr="00C67536">
        <w:rPr>
          <w:rFonts w:eastAsiaTheme="minorHAnsi" w:cs="Arial"/>
          <w:bCs/>
          <w:sz w:val="28"/>
          <w:szCs w:val="28"/>
          <w:lang w:eastAsia="en-US"/>
        </w:rPr>
        <w:t>la medida cumple con las gradas de ido</w:t>
      </w:r>
      <w:r w:rsidR="00F1216B" w:rsidRPr="00C67536">
        <w:rPr>
          <w:rFonts w:eastAsiaTheme="minorHAnsi" w:cs="Arial"/>
          <w:bCs/>
          <w:sz w:val="28"/>
          <w:szCs w:val="28"/>
          <w:lang w:eastAsia="en-US"/>
        </w:rPr>
        <w:t>n</w:t>
      </w:r>
      <w:r w:rsidR="00142A70" w:rsidRPr="00C67536">
        <w:rPr>
          <w:rFonts w:eastAsiaTheme="minorHAnsi" w:cs="Arial"/>
          <w:bCs/>
          <w:sz w:val="28"/>
          <w:szCs w:val="28"/>
          <w:lang w:eastAsia="en-US"/>
        </w:rPr>
        <w:t>e</w:t>
      </w:r>
      <w:r w:rsidR="00F1216B" w:rsidRPr="00C67536">
        <w:rPr>
          <w:rFonts w:eastAsiaTheme="minorHAnsi" w:cs="Arial"/>
          <w:bCs/>
          <w:sz w:val="28"/>
          <w:szCs w:val="28"/>
          <w:lang w:eastAsia="en-US"/>
        </w:rPr>
        <w:t>idad, necesidad y proporcionalidad como se desarrollara a continuación</w:t>
      </w:r>
      <w:r w:rsidR="001468CB" w:rsidRPr="00C67536">
        <w:rPr>
          <w:rFonts w:eastAsiaTheme="minorHAnsi" w:cs="Arial"/>
          <w:bCs/>
          <w:sz w:val="28"/>
          <w:szCs w:val="28"/>
          <w:lang w:eastAsia="en-US"/>
        </w:rPr>
        <w:t>.</w:t>
      </w:r>
    </w:p>
    <w:p w14:paraId="7BEB9EDC" w14:textId="77777777" w:rsidR="0098078F" w:rsidRPr="00C67536" w:rsidRDefault="0098078F" w:rsidP="0098078F">
      <w:pPr>
        <w:pStyle w:val="ListParagraph"/>
        <w:rPr>
          <w:rFonts w:ascii="Arial" w:eastAsiaTheme="minorHAnsi" w:hAnsi="Arial" w:cs="Arial"/>
          <w:bCs/>
          <w:sz w:val="28"/>
          <w:szCs w:val="28"/>
          <w:lang w:eastAsia="en-US"/>
        </w:rPr>
      </w:pPr>
    </w:p>
    <w:p w14:paraId="4798A31E" w14:textId="77777777" w:rsidR="004D0974"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Cs/>
          <w:sz w:val="28"/>
          <w:szCs w:val="28"/>
          <w:lang w:val="es-MX"/>
        </w:rPr>
        <w:t>Para</w:t>
      </w:r>
      <w:r w:rsidR="004D0974" w:rsidRPr="00C67536">
        <w:rPr>
          <w:rFonts w:cs="Arial"/>
          <w:bCs/>
          <w:sz w:val="28"/>
          <w:szCs w:val="28"/>
          <w:lang w:val="es-MX"/>
        </w:rPr>
        <w:t xml:space="preserve"> ello, </w:t>
      </w:r>
      <w:r w:rsidRPr="00C67536">
        <w:rPr>
          <w:rFonts w:cs="Arial"/>
          <w:bCs/>
          <w:sz w:val="28"/>
          <w:szCs w:val="28"/>
          <w:lang w:val="es-MX"/>
        </w:rPr>
        <w:t>primero se describirá la normativa internacional sobre el tema elaborada por la Organización Mundial de la Salud con la colaboración de la Organización de las Naciones Unidas para la Alimentación y la Agricultura; después, por la Organización Panamericana de la Salud; luego, la regulación mexicana; y, finalmente se realizará el test de proporcionalidad.</w:t>
      </w:r>
    </w:p>
    <w:p w14:paraId="45B68925" w14:textId="77777777" w:rsidR="004D0974" w:rsidRPr="00C67536" w:rsidRDefault="004D0974" w:rsidP="004D0974">
      <w:pPr>
        <w:pStyle w:val="ListParagraph"/>
        <w:rPr>
          <w:rFonts w:ascii="Arial" w:hAnsi="Arial" w:cs="Arial"/>
          <w:b/>
          <w:bCs/>
          <w:sz w:val="28"/>
          <w:szCs w:val="28"/>
        </w:rPr>
      </w:pPr>
    </w:p>
    <w:p w14:paraId="59833B89"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
          <w:bCs/>
          <w:sz w:val="28"/>
          <w:szCs w:val="28"/>
          <w:lang w:val="es-MX"/>
        </w:rPr>
        <w:t>Sistema internacional sobre etiquetado.</w:t>
      </w:r>
      <w:r w:rsidRPr="00C67536">
        <w:rPr>
          <w:rFonts w:cs="Arial"/>
          <w:sz w:val="28"/>
          <w:szCs w:val="28"/>
          <w:lang w:val="es-MX"/>
        </w:rPr>
        <w:t xml:space="preserve"> E</w:t>
      </w:r>
      <w:r w:rsidRPr="00C67536">
        <w:rPr>
          <w:rFonts w:eastAsiaTheme="minorHAnsi" w:cs="Arial"/>
          <w:sz w:val="28"/>
          <w:szCs w:val="28"/>
        </w:rPr>
        <w:t xml:space="preserve">l etiquetado frontal nutrimental es una herramienta simplificada de información para integrar una correcta alimentación, que preferentemente debe ajustarse al Codex </w:t>
      </w:r>
      <w:proofErr w:type="spellStart"/>
      <w:r w:rsidRPr="00C67536">
        <w:rPr>
          <w:rFonts w:eastAsiaTheme="minorHAnsi" w:cs="Arial"/>
          <w:sz w:val="28"/>
          <w:szCs w:val="28"/>
        </w:rPr>
        <w:t>Alimentarius</w:t>
      </w:r>
      <w:proofErr w:type="spellEnd"/>
      <w:r w:rsidRPr="00C67536">
        <w:rPr>
          <w:rFonts w:eastAsiaTheme="minorHAnsi" w:cs="Arial"/>
          <w:sz w:val="28"/>
          <w:szCs w:val="28"/>
        </w:rPr>
        <w:t xml:space="preserve"> o Código Alimentario creado por la Organización de las Naciones Unidas para la Alimentación y la Agricultura (FAO) y la Organización Mundial de la Salud (OMS).</w:t>
      </w:r>
    </w:p>
    <w:p w14:paraId="1A8FD3AF" w14:textId="77777777" w:rsidR="00FA730F" w:rsidRPr="00C67536" w:rsidRDefault="00FA730F" w:rsidP="00FA730F">
      <w:pPr>
        <w:pStyle w:val="ListParagraph"/>
        <w:rPr>
          <w:rFonts w:cs="Arial"/>
          <w:sz w:val="28"/>
          <w:szCs w:val="28"/>
        </w:rPr>
      </w:pPr>
    </w:p>
    <w:p w14:paraId="2CD03E1F"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De acuerdo con su página oficial</w:t>
      </w:r>
      <w:r w:rsidRPr="00C67536">
        <w:rPr>
          <w:rFonts w:cs="Arial"/>
          <w:i/>
          <w:sz w:val="28"/>
          <w:szCs w:val="28"/>
        </w:rPr>
        <w:t xml:space="preserve"> (</w:t>
      </w:r>
      <w:r w:rsidRPr="00C67536">
        <w:rPr>
          <w:rStyle w:val="HTMLCite"/>
          <w:rFonts w:cs="Arial"/>
          <w:color w:val="auto"/>
          <w:sz w:val="28"/>
          <w:szCs w:val="28"/>
        </w:rPr>
        <w:t>www.fao.org/fao-who-</w:t>
      </w:r>
      <w:proofErr w:type="spellStart"/>
      <w:r w:rsidRPr="00C67536">
        <w:rPr>
          <w:rStyle w:val="Strong"/>
          <w:rFonts w:cs="Arial"/>
          <w:b w:val="0"/>
          <w:bCs w:val="0"/>
          <w:i/>
          <w:sz w:val="28"/>
          <w:szCs w:val="28"/>
          <w:lang w:val="es-ES"/>
        </w:rPr>
        <w:t>codexalimentarius</w:t>
      </w:r>
      <w:proofErr w:type="spellEnd"/>
      <w:r w:rsidRPr="00C67536">
        <w:rPr>
          <w:rStyle w:val="HTMLCite"/>
          <w:rFonts w:cs="Arial"/>
          <w:color w:val="auto"/>
          <w:sz w:val="28"/>
          <w:szCs w:val="28"/>
        </w:rPr>
        <w:t>/es</w:t>
      </w:r>
      <w:r w:rsidRPr="00C67536">
        <w:rPr>
          <w:rStyle w:val="HTMLCite"/>
          <w:rFonts w:cs="Arial"/>
          <w:sz w:val="28"/>
          <w:szCs w:val="28"/>
        </w:rPr>
        <w:t>)</w:t>
      </w:r>
      <w:r w:rsidRPr="00C67536">
        <w:rPr>
          <w:rFonts w:cs="Arial"/>
          <w:sz w:val="28"/>
          <w:szCs w:val="28"/>
        </w:rPr>
        <w:t xml:space="preserve">, el Codex </w:t>
      </w:r>
      <w:proofErr w:type="spellStart"/>
      <w:r w:rsidRPr="00C67536">
        <w:rPr>
          <w:rFonts w:cs="Arial"/>
          <w:sz w:val="28"/>
          <w:szCs w:val="28"/>
        </w:rPr>
        <w:t>Alimentarius</w:t>
      </w:r>
      <w:proofErr w:type="spellEnd"/>
      <w:r w:rsidRPr="00C67536">
        <w:rPr>
          <w:rFonts w:cs="Arial"/>
          <w:sz w:val="28"/>
          <w:szCs w:val="28"/>
        </w:rPr>
        <w:t xml:space="preserve"> es una colección de normas alimentarias y textos afines aceptados internacionalmente y presentados de modo uniforme, cuyo objetivo es proteger la salud del consumidor y asegurar la aplicación de prácticas equitativas en el comercio de alimentos. </w:t>
      </w:r>
    </w:p>
    <w:p w14:paraId="4BEBE75B" w14:textId="77777777" w:rsidR="00FA730F" w:rsidRPr="00C67536" w:rsidRDefault="00FA730F" w:rsidP="00FA730F">
      <w:pPr>
        <w:pStyle w:val="ListParagraph"/>
        <w:rPr>
          <w:rFonts w:cs="Arial"/>
          <w:sz w:val="28"/>
          <w:szCs w:val="28"/>
        </w:rPr>
      </w:pPr>
    </w:p>
    <w:p w14:paraId="46E6FD43"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La finalidad de su publicación es </w:t>
      </w:r>
      <w:r w:rsidR="00FA730F" w:rsidRPr="00C67536">
        <w:rPr>
          <w:rFonts w:cs="Arial"/>
          <w:sz w:val="28"/>
          <w:szCs w:val="28"/>
        </w:rPr>
        <w:t>orientar y fomentar</w:t>
      </w:r>
      <w:r w:rsidRPr="00C67536">
        <w:rPr>
          <w:rFonts w:cs="Arial"/>
          <w:sz w:val="28"/>
          <w:szCs w:val="28"/>
        </w:rPr>
        <w:t xml:space="preserve"> la elaboración y el establecimiento de definiciones y requisitos aplicables a los alimentos para favorecer su armonización y, de esta forma, facilitar el comercio internacional; es decir, su finalidad es garantizar alimentos inocuos y de calidad a todas las personas y en cualquier lugar.</w:t>
      </w:r>
    </w:p>
    <w:p w14:paraId="268EC7F0" w14:textId="77777777" w:rsidR="00FA730F" w:rsidRPr="00C67536" w:rsidRDefault="00FA730F" w:rsidP="00FA730F">
      <w:pPr>
        <w:pStyle w:val="ListParagraph"/>
        <w:rPr>
          <w:rFonts w:cs="Arial"/>
          <w:sz w:val="28"/>
          <w:szCs w:val="28"/>
        </w:rPr>
      </w:pPr>
    </w:p>
    <w:p w14:paraId="1EB43388"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El Codex </w:t>
      </w:r>
      <w:proofErr w:type="spellStart"/>
      <w:r w:rsidRPr="00C67536">
        <w:rPr>
          <w:rFonts w:cs="Arial"/>
          <w:sz w:val="28"/>
          <w:szCs w:val="28"/>
        </w:rPr>
        <w:t>Alimentarius</w:t>
      </w:r>
      <w:proofErr w:type="spellEnd"/>
      <w:r w:rsidRPr="00C67536">
        <w:rPr>
          <w:rFonts w:cs="Arial"/>
          <w:sz w:val="28"/>
          <w:szCs w:val="28"/>
        </w:rPr>
        <w:t xml:space="preserve"> contiene normas sobre todos los alimentos principales, ya sean elaborados, semielaborados o crudos, destinados a su distribución al consumidor y se estipula que deberán incluirse también todas las materias que se utilizan en la elaboración ulterior de los alimentos en la medida necesaria para lograr dichos fines, para lo cual contiene disposiciones sobre higiene de los alimentos, aditivos alimentarios, residuos de plaguicidas y de medicamentos veterinarios, contaminantes, etiquetado y presentación, métodos de análisis y muestreo, e inspección y certificación de importaciones y exportaciones.</w:t>
      </w:r>
    </w:p>
    <w:p w14:paraId="0229BBCE" w14:textId="77777777" w:rsidR="00FA730F" w:rsidRPr="00C67536" w:rsidRDefault="00FA730F" w:rsidP="00FA730F">
      <w:pPr>
        <w:pStyle w:val="ListParagraph"/>
        <w:rPr>
          <w:rFonts w:cs="Arial"/>
          <w:sz w:val="28"/>
          <w:szCs w:val="28"/>
        </w:rPr>
      </w:pPr>
    </w:p>
    <w:p w14:paraId="41714893"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Las normas del Codex se basan en sólidos datos científicos proporcionados por órganos internacionales independientes de evaluación de riesgos o consultas organizadas por la FAO y la OMS; y, pese a que se trata de recomendaciones para la aplicación voluntaria por parte de sus miembros </w:t>
      </w:r>
      <w:r w:rsidRPr="00C67536">
        <w:rPr>
          <w:rFonts w:cs="Arial"/>
          <w:i/>
          <w:sz w:val="28"/>
          <w:szCs w:val="28"/>
        </w:rPr>
        <w:t>(</w:t>
      </w:r>
      <w:r w:rsidRPr="00C67536">
        <w:rPr>
          <w:rFonts w:cs="Arial"/>
          <w:i/>
          <w:sz w:val="28"/>
          <w:szCs w:val="28"/>
          <w:lang w:val="es-ES"/>
        </w:rPr>
        <w:t xml:space="preserve">la Comisión del Codex </w:t>
      </w:r>
      <w:proofErr w:type="spellStart"/>
      <w:r w:rsidRPr="00C67536">
        <w:rPr>
          <w:rFonts w:cs="Arial"/>
          <w:i/>
          <w:sz w:val="28"/>
          <w:szCs w:val="28"/>
          <w:lang w:val="es-ES"/>
        </w:rPr>
        <w:t>Alimentarius</w:t>
      </w:r>
      <w:proofErr w:type="spellEnd"/>
      <w:r w:rsidRPr="00C67536">
        <w:rPr>
          <w:rFonts w:cs="Arial"/>
          <w:i/>
          <w:sz w:val="28"/>
          <w:szCs w:val="28"/>
          <w:lang w:val="es-ES"/>
        </w:rPr>
        <w:t xml:space="preserve"> está integrada por: </w:t>
      </w:r>
      <w:r w:rsidRPr="00C67536">
        <w:rPr>
          <w:rFonts w:cs="Arial"/>
          <w:b/>
          <w:bCs/>
          <w:i/>
          <w:sz w:val="28"/>
          <w:szCs w:val="28"/>
          <w:lang w:val="es-ES"/>
        </w:rPr>
        <w:t>189</w:t>
      </w:r>
      <w:r w:rsidRPr="00C67536">
        <w:rPr>
          <w:rFonts w:cs="Arial"/>
          <w:i/>
          <w:sz w:val="28"/>
          <w:szCs w:val="28"/>
          <w:lang w:val="es-ES"/>
        </w:rPr>
        <w:t xml:space="preserve"> Miembros del Codex, 188 Estados Miembros y 1 Organización Miembro (Unión Europea). México forma parte desde 1969</w:t>
      </w:r>
      <w:r w:rsidRPr="00C67536">
        <w:rPr>
          <w:rFonts w:cs="Arial"/>
          <w:sz w:val="28"/>
          <w:szCs w:val="28"/>
        </w:rPr>
        <w:t>, sus normas sirven en muchas ocasiones como base para las legislaciones nacionales.</w:t>
      </w:r>
    </w:p>
    <w:p w14:paraId="31FA16F4" w14:textId="77777777" w:rsidR="00FA730F" w:rsidRPr="00C67536" w:rsidRDefault="00FA730F" w:rsidP="00FA730F">
      <w:pPr>
        <w:pStyle w:val="ListParagraph"/>
        <w:rPr>
          <w:rFonts w:cs="Arial"/>
          <w:sz w:val="28"/>
          <w:szCs w:val="28"/>
        </w:rPr>
      </w:pPr>
    </w:p>
    <w:p w14:paraId="077B8F78"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Las referencias hechas a las normas alimentarias del Codex en el Acuerdo sobre la Aplicación de Medidas Sanitarias y Fitosanitarias de la Organización Mundial del Comercio (OMC) (Acuerdo MSF) evidencia que tiene implicaciones de gran alcance para la resolución de diferencias comerciales. </w:t>
      </w:r>
    </w:p>
    <w:p w14:paraId="2A3BA43E" w14:textId="77777777" w:rsidR="00FA730F" w:rsidRPr="00C67536" w:rsidRDefault="00FA730F" w:rsidP="00FA730F">
      <w:pPr>
        <w:pStyle w:val="ListParagraph"/>
        <w:rPr>
          <w:rFonts w:cs="Arial"/>
          <w:sz w:val="28"/>
          <w:szCs w:val="28"/>
        </w:rPr>
      </w:pPr>
    </w:p>
    <w:p w14:paraId="551C74AD"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Si los miembros de la OMC desean aplicar medidas más estrictas en lo relativo a la inocuidad de los alimentos, se les puede exigir una justificación científica de esas medidas; además, el sistema proporciona orientación sobre los requisitos de composición de los alimentos desde el punto de vista nutricional y sobre el etiquetado general de los alimentos y las declaraciones de propiedades saludables o nutricionales que los productores incluyen en las etiquetas, con términos como “bajo en grasa”, “rico en grasa”, entre otros, garantizando que los consumidores sepan lo que están comprando y que el producto sea lo que dice ser.</w:t>
      </w:r>
    </w:p>
    <w:p w14:paraId="3FB4E8E4" w14:textId="77777777" w:rsidR="00FA730F" w:rsidRPr="00C67536" w:rsidRDefault="00FA730F" w:rsidP="00FA730F">
      <w:pPr>
        <w:pStyle w:val="ListParagraph"/>
        <w:rPr>
          <w:rFonts w:cs="Arial"/>
          <w:sz w:val="28"/>
          <w:szCs w:val="28"/>
        </w:rPr>
      </w:pPr>
    </w:p>
    <w:p w14:paraId="7177176A"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El Comité del Codex sobre Nutrición y Alimentos para Regímenes Especiales (CCNFSDU) se ocupa de cuestiones técnicas y reglamentarias que pueden ayudar a prevenir deficiencias nutricionales y enfermedades no transmisibles relacionadas con la dieta; por su parte, el Comité del Codex sobre Etiquetado de los Alimentos (CCFL) establece normas y directrices sobre la información nutricional que debe incluirse en los envases de los alimentos, permitiendo de este modo a los consumidores elegir con fundamento los productos alimenticios.</w:t>
      </w:r>
    </w:p>
    <w:p w14:paraId="00CA1EB2" w14:textId="77777777" w:rsidR="00FA730F" w:rsidRPr="00C67536" w:rsidRDefault="00FA730F" w:rsidP="00FA730F">
      <w:pPr>
        <w:pStyle w:val="ListParagraph"/>
        <w:rPr>
          <w:rFonts w:cs="Arial"/>
          <w:color w:val="333333"/>
          <w:sz w:val="28"/>
          <w:szCs w:val="28"/>
          <w:shd w:val="clear" w:color="auto" w:fill="FFFFFF"/>
        </w:rPr>
      </w:pPr>
    </w:p>
    <w:p w14:paraId="102362AB"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color w:val="333333"/>
          <w:sz w:val="28"/>
          <w:szCs w:val="28"/>
          <w:shd w:val="clear" w:color="auto" w:fill="FFFFFF"/>
        </w:rPr>
        <w:t>En las normas y textos afines del Codex se estipulan los requisitos que han de satisfacer los alimentos con objeto de garantizar al consumidor un producto seguro y genuino, no adulterado y que esté debidamente etiquetado y presentado. Toda norma del Codex para un alimento o grupo de alimentos deberá redactarse de conformidad con el Formato de las normas del Codex sobre productos e incorporar, según proceda, las secciones enumeradas en el mismo.</w:t>
      </w:r>
    </w:p>
    <w:p w14:paraId="388D04D3" w14:textId="77777777" w:rsidR="00FA730F" w:rsidRPr="00C67536" w:rsidRDefault="00FA730F" w:rsidP="00FA730F">
      <w:pPr>
        <w:pStyle w:val="ListParagraph"/>
        <w:rPr>
          <w:rFonts w:cs="Arial"/>
          <w:sz w:val="28"/>
          <w:szCs w:val="28"/>
        </w:rPr>
      </w:pPr>
    </w:p>
    <w:p w14:paraId="5DE2CE01" w14:textId="77777777" w:rsidR="00FA730F"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En lo relativo al etiquetado de los alimentos, el CODEX emitió la Norma General para el Etiquetado de los Alimentos Preenvasados CXS 1-1985, que indica</w:t>
      </w:r>
      <w:r w:rsidR="00FA730F" w:rsidRPr="00C67536">
        <w:rPr>
          <w:rFonts w:cs="Arial"/>
          <w:sz w:val="28"/>
          <w:szCs w:val="28"/>
        </w:rPr>
        <w:t>:</w:t>
      </w:r>
    </w:p>
    <w:p w14:paraId="6105D1B4" w14:textId="77777777" w:rsidR="00FA730F" w:rsidRPr="00C67536" w:rsidRDefault="00FA730F" w:rsidP="00FA730F">
      <w:pPr>
        <w:pStyle w:val="ListParagraph"/>
        <w:rPr>
          <w:rFonts w:cs="Arial"/>
          <w:sz w:val="28"/>
          <w:szCs w:val="28"/>
        </w:rPr>
      </w:pPr>
    </w:p>
    <w:p w14:paraId="4C71C4C2" w14:textId="023BD75A" w:rsidR="00FA730F" w:rsidRPr="00C67536" w:rsidRDefault="00FA730F" w:rsidP="00FA730F">
      <w:pPr>
        <w:autoSpaceDE w:val="0"/>
        <w:autoSpaceDN w:val="0"/>
        <w:adjustRightInd w:val="0"/>
        <w:ind w:left="567" w:right="567"/>
        <w:jc w:val="both"/>
        <w:rPr>
          <w:rFonts w:ascii="Arial" w:eastAsiaTheme="minorHAnsi" w:hAnsi="Arial" w:cs="Arial"/>
          <w:b/>
          <w:bCs/>
          <w:i/>
          <w:iCs/>
          <w:color w:val="000000"/>
          <w:sz w:val="26"/>
          <w:szCs w:val="26"/>
          <w:lang w:eastAsia="en-US"/>
        </w:rPr>
      </w:pPr>
      <w:r w:rsidRPr="00C67536">
        <w:rPr>
          <w:rFonts w:ascii="Arial" w:eastAsiaTheme="minorHAnsi" w:hAnsi="Arial" w:cs="Arial"/>
          <w:b/>
          <w:bCs/>
          <w:i/>
          <w:iCs/>
          <w:color w:val="000000"/>
          <w:sz w:val="26"/>
          <w:szCs w:val="26"/>
          <w:lang w:eastAsia="en-US"/>
        </w:rPr>
        <w:t>“1. ÁMBITO DE APLICACIÓN</w:t>
      </w:r>
      <w:r w:rsidR="00497891">
        <w:rPr>
          <w:rFonts w:ascii="Arial" w:eastAsiaTheme="minorHAnsi" w:hAnsi="Arial" w:cs="Arial"/>
          <w:b/>
          <w:bCs/>
          <w:i/>
          <w:iCs/>
          <w:color w:val="000000"/>
          <w:sz w:val="26"/>
          <w:szCs w:val="26"/>
          <w:lang w:eastAsia="en-US"/>
        </w:rPr>
        <w:t>.</w:t>
      </w:r>
    </w:p>
    <w:p w14:paraId="43963585"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La presente norma se aplicará al etiquetado de todos los alimentos preenvasados que se ofrecen como tales al consumidor o para fines de hostelería, y a algunos aspectos relacionados con la presentación de los mismos.</w:t>
      </w:r>
    </w:p>
    <w:p w14:paraId="7490107F" w14:textId="5149407D" w:rsidR="00FA730F" w:rsidRPr="00C67536" w:rsidRDefault="00FA730F" w:rsidP="00FA730F">
      <w:pPr>
        <w:autoSpaceDE w:val="0"/>
        <w:autoSpaceDN w:val="0"/>
        <w:adjustRightInd w:val="0"/>
        <w:ind w:left="567" w:right="567"/>
        <w:jc w:val="both"/>
        <w:rPr>
          <w:rFonts w:ascii="Arial" w:eastAsiaTheme="minorHAnsi" w:hAnsi="Arial" w:cs="Arial"/>
          <w:b/>
          <w:bCs/>
          <w:i/>
          <w:iCs/>
          <w:color w:val="000000"/>
          <w:sz w:val="26"/>
          <w:szCs w:val="26"/>
          <w:lang w:eastAsia="en-US"/>
        </w:rPr>
      </w:pPr>
      <w:r w:rsidRPr="00C67536">
        <w:rPr>
          <w:rFonts w:ascii="Arial" w:eastAsiaTheme="minorHAnsi" w:hAnsi="Arial" w:cs="Arial"/>
          <w:b/>
          <w:bCs/>
          <w:i/>
          <w:iCs/>
          <w:color w:val="000000"/>
          <w:sz w:val="26"/>
          <w:szCs w:val="26"/>
          <w:lang w:eastAsia="en-US"/>
        </w:rPr>
        <w:t>2. DEFINICIÓN DE LOS TÉRMINOS</w:t>
      </w:r>
      <w:r w:rsidR="00497891">
        <w:rPr>
          <w:rFonts w:ascii="Arial" w:eastAsiaTheme="minorHAnsi" w:hAnsi="Arial" w:cs="Arial"/>
          <w:b/>
          <w:bCs/>
          <w:i/>
          <w:iCs/>
          <w:color w:val="000000"/>
          <w:sz w:val="26"/>
          <w:szCs w:val="26"/>
          <w:lang w:eastAsia="en-US"/>
        </w:rPr>
        <w:t>.</w:t>
      </w:r>
    </w:p>
    <w:p w14:paraId="55D5C887"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Para los fines de esta norma se entenderá por:</w:t>
      </w:r>
    </w:p>
    <w:p w14:paraId="057ACE92"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"Declaración de propiedades"</w:t>
      </w:r>
      <w:r w:rsidRPr="00C67536">
        <w:rPr>
          <w:rFonts w:ascii="Arial" w:eastAsiaTheme="minorHAnsi" w:hAnsi="Arial" w:cs="Arial"/>
          <w:color w:val="000000"/>
          <w:sz w:val="26"/>
          <w:szCs w:val="26"/>
          <w:lang w:eastAsia="en-US"/>
        </w:rPr>
        <w:t>, cualquier representación que afirme, sugiera o implique que un alimento tiene cualidades especiales por su origen, propiedades nutritivas, naturaleza, elaboración, composición u otra cualidad cualquiera.</w:t>
      </w:r>
    </w:p>
    <w:p w14:paraId="53535D40"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"Consumidor"</w:t>
      </w:r>
      <w:r w:rsidRPr="00C67536">
        <w:rPr>
          <w:rFonts w:ascii="Arial" w:eastAsiaTheme="minorHAnsi" w:hAnsi="Arial" w:cs="Arial"/>
          <w:color w:val="000000"/>
          <w:sz w:val="26"/>
          <w:szCs w:val="26"/>
          <w:lang w:eastAsia="en-US"/>
        </w:rPr>
        <w:t>, las personas y familias que compran o reciben alimento con el fin de satisfacer sus necesidades personales.</w:t>
      </w:r>
    </w:p>
    <w:p w14:paraId="402D5284"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"Envase"</w:t>
      </w:r>
      <w:r w:rsidRPr="00C67536">
        <w:rPr>
          <w:rFonts w:ascii="Arial" w:eastAsiaTheme="minorHAnsi" w:hAnsi="Arial" w:cs="Arial"/>
          <w:color w:val="000000"/>
          <w:sz w:val="26"/>
          <w:szCs w:val="26"/>
          <w:lang w:eastAsia="en-US"/>
        </w:rPr>
        <w:t>, cualquier recipiente que contiene alimentos para su entrega como un producto único, que los cubre total o parcialmente, y que incluye los embalajes y envolturas. Un envase puede contener varias unidades o tipos de alimentos preenvasados cuando se ofrece al consumidor.</w:t>
      </w:r>
    </w:p>
    <w:p w14:paraId="25C36BDE"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 xml:space="preserve">Para los fines del </w:t>
      </w:r>
      <w:r w:rsidRPr="00C67536">
        <w:rPr>
          <w:rFonts w:ascii="Arial" w:eastAsiaTheme="minorHAnsi" w:hAnsi="Arial" w:cs="Arial"/>
          <w:b/>
          <w:bCs/>
          <w:color w:val="000000"/>
          <w:sz w:val="26"/>
          <w:szCs w:val="26"/>
          <w:lang w:eastAsia="en-US"/>
        </w:rPr>
        <w:t xml:space="preserve">"marcado de la fecha" </w:t>
      </w:r>
      <w:r w:rsidRPr="00C67536">
        <w:rPr>
          <w:rFonts w:ascii="Arial" w:eastAsiaTheme="minorHAnsi" w:hAnsi="Arial" w:cs="Arial"/>
          <w:color w:val="000000"/>
          <w:sz w:val="26"/>
          <w:szCs w:val="26"/>
          <w:lang w:eastAsia="en-US"/>
        </w:rPr>
        <w:t>de los alimentos preenvasados, se entiende por:</w:t>
      </w:r>
    </w:p>
    <w:p w14:paraId="550DFC4A"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"Fecha de fabricación"</w:t>
      </w:r>
      <w:r w:rsidRPr="00C67536">
        <w:rPr>
          <w:rFonts w:ascii="Arial" w:eastAsiaTheme="minorHAnsi" w:hAnsi="Arial" w:cs="Arial"/>
          <w:color w:val="000000"/>
          <w:sz w:val="26"/>
          <w:szCs w:val="26"/>
          <w:lang w:eastAsia="en-US"/>
        </w:rPr>
        <w:t>, la fecha en que el alimento se transforma en el producto descrito.</w:t>
      </w:r>
    </w:p>
    <w:p w14:paraId="14947827"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"Fecha de envasado"</w:t>
      </w:r>
      <w:r w:rsidRPr="00C67536">
        <w:rPr>
          <w:rFonts w:ascii="Arial" w:eastAsiaTheme="minorHAnsi" w:hAnsi="Arial" w:cs="Arial"/>
          <w:color w:val="000000"/>
          <w:sz w:val="26"/>
          <w:szCs w:val="26"/>
          <w:lang w:eastAsia="en-US"/>
        </w:rPr>
        <w:t>, la fecha en que se coloca el alimento en el envase inmediato en que se venderá finalmente.</w:t>
      </w:r>
    </w:p>
    <w:p w14:paraId="1ED23EC5"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"Fecha límite de venta"</w:t>
      </w:r>
      <w:r w:rsidRPr="00C67536">
        <w:rPr>
          <w:rFonts w:ascii="Arial" w:eastAsiaTheme="minorHAnsi" w:hAnsi="Arial" w:cs="Arial"/>
          <w:color w:val="000000"/>
          <w:sz w:val="26"/>
          <w:szCs w:val="26"/>
          <w:lang w:eastAsia="en-US"/>
        </w:rPr>
        <w:t>, la última fecha en que se ofrece el alimento para la venta al consumidor, después de la cual queda un plazo razonable de almacenamiento en el hogar.</w:t>
      </w:r>
    </w:p>
    <w:p w14:paraId="02BED3CD"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 xml:space="preserve">"Fecha de duración mínima" </w:t>
      </w:r>
      <w:r w:rsidRPr="00C67536">
        <w:rPr>
          <w:rFonts w:ascii="Arial" w:eastAsiaTheme="minorHAnsi" w:hAnsi="Arial" w:cs="Arial"/>
          <w:color w:val="000000"/>
          <w:sz w:val="26"/>
          <w:szCs w:val="26"/>
          <w:lang w:eastAsia="en-US"/>
        </w:rPr>
        <w:t>("consumir preferentemente antes de"), la fecha en que, bajo determinadas condiciones de almacenamiento, expira el período durante el cual el producto es totalmente comercializable y mantiene cuantas cualidades específicas se le atribuyen tácita o explícitamente. Sin embargo, después de esta fecha, el alimento puede ser todavía enteramente satisfactorio.</w:t>
      </w:r>
    </w:p>
    <w:p w14:paraId="6DD016D8"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 xml:space="preserve">"Fecha límite de utilización" </w:t>
      </w:r>
      <w:r w:rsidRPr="00C67536">
        <w:rPr>
          <w:rFonts w:ascii="Arial" w:eastAsiaTheme="minorHAnsi" w:hAnsi="Arial" w:cs="Arial"/>
          <w:color w:val="000000"/>
          <w:sz w:val="26"/>
          <w:szCs w:val="26"/>
          <w:lang w:eastAsia="en-US"/>
        </w:rPr>
        <w:t>(fecha límite de consumo recomendada, fecha de caducidad), la fecha en que termina el período después del cual el producto, almacenado en las condiciones indicadas, no tendrá probablemente los atributos de calidad que normalmente esperan los consumidores. Después de esta fecha, no se considerará comercializable el alimento.</w:t>
      </w:r>
    </w:p>
    <w:p w14:paraId="63093F3A"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"Alimento"</w:t>
      </w:r>
      <w:r w:rsidRPr="00C67536">
        <w:rPr>
          <w:rFonts w:ascii="Arial" w:eastAsiaTheme="minorHAnsi" w:hAnsi="Arial" w:cs="Arial"/>
          <w:color w:val="000000"/>
          <w:sz w:val="26"/>
          <w:szCs w:val="26"/>
          <w:lang w:eastAsia="en-US"/>
        </w:rPr>
        <w:t>, toda sustancia elaborada, semielaborada o en bruto, que se destina al consumo humano, incluidas las bebidas, el chicle y cualesquiera otras sustancias que se utilicen en la elaboración, preparación o tratamiento de "alimentos", pero no incluye los cosméticos, el tabaco ni las sustancias que se utilizan únicamente como medicamentos.</w:t>
      </w:r>
    </w:p>
    <w:p w14:paraId="74CB6E0E"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 xml:space="preserve">"Aditivo alimentario" </w:t>
      </w:r>
      <w:r w:rsidRPr="00C67536">
        <w:rPr>
          <w:rFonts w:ascii="Arial" w:eastAsiaTheme="minorHAnsi" w:hAnsi="Arial" w:cs="Arial"/>
          <w:color w:val="000000"/>
          <w:sz w:val="26"/>
          <w:szCs w:val="26"/>
          <w:lang w:eastAsia="en-US"/>
        </w:rPr>
        <w:t>se entiende cualquier sustancia que no se consume normalmente como alimento por sí mismo ni se usa normalmente como ingrediente típico del alimento, tenga o no valor nutritivo, cuya adición intencional al alimento para un fin tecnológico (inclusive organoléptico) en la fabricación, elaboración, tratamiento, envasado, empaquetado, transporte o almacenamiento provoque, o pueda esperarse razonablemente que provoque (directa o indirectamente), el que ella misma o sus subproductos lleguen a ser un complemento del alimento o afecten a sus características.</w:t>
      </w:r>
    </w:p>
    <w:p w14:paraId="3B4A150F"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8"/>
          <w:szCs w:val="28"/>
          <w:lang w:eastAsia="en-US"/>
        </w:rPr>
      </w:pPr>
      <w:r w:rsidRPr="00C67536">
        <w:rPr>
          <w:rFonts w:ascii="Arial" w:eastAsiaTheme="minorHAnsi" w:hAnsi="Arial" w:cs="Arial"/>
          <w:color w:val="000000"/>
          <w:sz w:val="26"/>
          <w:szCs w:val="26"/>
          <w:lang w:eastAsia="en-US"/>
        </w:rPr>
        <w:t>Esta definición no incluye los "contaminantes" ni las sustancias añadidas al alimento para mantener o mejorar las cualidades nutricionales</w:t>
      </w:r>
      <w:r w:rsidRPr="00C67536">
        <w:rPr>
          <w:rFonts w:ascii="Arial" w:eastAsiaTheme="minorHAnsi" w:hAnsi="Arial" w:cs="Arial"/>
          <w:color w:val="000000"/>
          <w:sz w:val="28"/>
          <w:szCs w:val="28"/>
          <w:lang w:eastAsia="en-US"/>
        </w:rPr>
        <w:t>.</w:t>
      </w:r>
    </w:p>
    <w:p w14:paraId="2416B199"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"Ingrediente"</w:t>
      </w:r>
      <w:r w:rsidRPr="00C67536">
        <w:rPr>
          <w:rFonts w:ascii="Arial" w:eastAsiaTheme="minorHAnsi" w:hAnsi="Arial" w:cs="Arial"/>
          <w:color w:val="000000"/>
          <w:sz w:val="26"/>
          <w:szCs w:val="26"/>
          <w:lang w:eastAsia="en-US"/>
        </w:rPr>
        <w:t>, cualquier sustancia, incluidos los aditivos alimentarios, que se emplee en la fabricación o preparación de un alimento y esté presente en el producto final, aunque posiblemente en forma modificada.</w:t>
      </w:r>
    </w:p>
    <w:p w14:paraId="15A8098F"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"Etiqueta"</w:t>
      </w:r>
      <w:r w:rsidRPr="00C67536">
        <w:rPr>
          <w:rFonts w:ascii="Arial" w:eastAsiaTheme="minorHAnsi" w:hAnsi="Arial" w:cs="Arial"/>
          <w:color w:val="000000"/>
          <w:sz w:val="26"/>
          <w:szCs w:val="26"/>
          <w:lang w:eastAsia="en-US"/>
        </w:rPr>
        <w:t>, cualquier marbete, rótulo, marca, imagen u otra materia descriptiva o gráfica, que se haya escrito, impreso, estarcido, marcado, marcado en relieve o en huecograbado o adherido al envase de un alimento.</w:t>
      </w:r>
    </w:p>
    <w:p w14:paraId="6A8377A8"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"Etiquetado"</w:t>
      </w:r>
      <w:r w:rsidRPr="00C67536">
        <w:rPr>
          <w:rFonts w:ascii="Arial" w:eastAsiaTheme="minorHAnsi" w:hAnsi="Arial" w:cs="Arial"/>
          <w:color w:val="000000"/>
          <w:sz w:val="26"/>
          <w:szCs w:val="26"/>
          <w:lang w:eastAsia="en-US"/>
        </w:rPr>
        <w:t>, cualquier material escrito, impreso o gráfico que contiene la etiqueta, acompaña al alimento o se expone cerca del alimento, incluso el que tiene por objeto fomentar su venta o colocación.</w:t>
      </w:r>
    </w:p>
    <w:p w14:paraId="50925786"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"Lote"</w:t>
      </w:r>
      <w:r w:rsidRPr="00C67536">
        <w:rPr>
          <w:rFonts w:ascii="Arial" w:eastAsiaTheme="minorHAnsi" w:hAnsi="Arial" w:cs="Arial"/>
          <w:color w:val="000000"/>
          <w:sz w:val="26"/>
          <w:szCs w:val="26"/>
          <w:lang w:eastAsia="en-US"/>
        </w:rPr>
        <w:t>, una cantidad determinada de un alimento producida en condiciones esencialmente iguales.</w:t>
      </w:r>
    </w:p>
    <w:p w14:paraId="19349450"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"Preenvasado"</w:t>
      </w:r>
      <w:r w:rsidRPr="00C67536">
        <w:rPr>
          <w:rFonts w:ascii="Arial" w:eastAsiaTheme="minorHAnsi" w:hAnsi="Arial" w:cs="Arial"/>
          <w:color w:val="000000"/>
          <w:sz w:val="26"/>
          <w:szCs w:val="26"/>
          <w:lang w:eastAsia="en-US"/>
        </w:rPr>
        <w:t>, todo alimento envuelto, empaquetado o embalado previamente, listo para ofrecerlo al consumidor o para fines de hostelería.</w:t>
      </w:r>
    </w:p>
    <w:p w14:paraId="112A725E"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"Coadyuvante de elaboración"</w:t>
      </w:r>
      <w:r w:rsidRPr="00C67536">
        <w:rPr>
          <w:rFonts w:ascii="Arial" w:eastAsiaTheme="minorHAnsi" w:hAnsi="Arial" w:cs="Arial"/>
          <w:color w:val="000000"/>
          <w:sz w:val="26"/>
          <w:szCs w:val="26"/>
          <w:lang w:eastAsia="en-US"/>
        </w:rPr>
        <w:t>, toda sustancia o materia, excluidos aparatos y utensilios, que no se consume como ingrediente alimenticio por sí mismo, y que se emplea intencionadamente en la elaboración de materias primas, alimentos o sus ingredientes, para lograr alguna finalidad tecnológica durante el tratamiento o la elaboración pudiendo dar lugar a la presencia no intencionada, pero inevitable, de residuos o derivados en el producto final.</w:t>
      </w:r>
    </w:p>
    <w:p w14:paraId="2472478F"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b/>
          <w:bCs/>
          <w:color w:val="000000"/>
          <w:sz w:val="26"/>
          <w:szCs w:val="26"/>
          <w:lang w:eastAsia="en-US"/>
        </w:rPr>
        <w:t>"Alimentos para fines de hostelería"</w:t>
      </w:r>
      <w:r w:rsidRPr="00C67536">
        <w:rPr>
          <w:rFonts w:ascii="Arial" w:eastAsiaTheme="minorHAnsi" w:hAnsi="Arial" w:cs="Arial"/>
          <w:color w:val="000000"/>
          <w:sz w:val="26"/>
          <w:szCs w:val="26"/>
          <w:lang w:eastAsia="en-US"/>
        </w:rPr>
        <w:t>, aquellos alimentos destinados a utilizarse en restaurantes, cantinas, escuelas, hospitales e instituciones similares donde se preparan comidas para consumo inmediato.</w:t>
      </w:r>
    </w:p>
    <w:p w14:paraId="4F2FF065" w14:textId="67C37AC2" w:rsidR="00FA730F" w:rsidRPr="00C67536" w:rsidRDefault="00FA730F" w:rsidP="00FA730F">
      <w:pPr>
        <w:autoSpaceDE w:val="0"/>
        <w:autoSpaceDN w:val="0"/>
        <w:adjustRightInd w:val="0"/>
        <w:ind w:left="567" w:right="567"/>
        <w:jc w:val="both"/>
        <w:rPr>
          <w:rFonts w:ascii="Arial" w:eastAsiaTheme="minorHAnsi" w:hAnsi="Arial" w:cs="Arial"/>
          <w:b/>
          <w:bCs/>
          <w:i/>
          <w:iCs/>
          <w:color w:val="000000"/>
          <w:sz w:val="26"/>
          <w:szCs w:val="26"/>
          <w:lang w:eastAsia="en-US"/>
        </w:rPr>
      </w:pPr>
      <w:r w:rsidRPr="00C67536">
        <w:rPr>
          <w:rFonts w:ascii="Arial" w:eastAsiaTheme="minorHAnsi" w:hAnsi="Arial" w:cs="Arial"/>
          <w:b/>
          <w:bCs/>
          <w:i/>
          <w:iCs/>
          <w:color w:val="000000"/>
          <w:sz w:val="26"/>
          <w:szCs w:val="26"/>
          <w:lang w:eastAsia="en-US"/>
        </w:rPr>
        <w:t>3. PRINCIPIOS GENERALES</w:t>
      </w:r>
      <w:r w:rsidR="00497891">
        <w:rPr>
          <w:rFonts w:ascii="Arial" w:eastAsiaTheme="minorHAnsi" w:hAnsi="Arial" w:cs="Arial"/>
          <w:b/>
          <w:bCs/>
          <w:i/>
          <w:iCs/>
          <w:color w:val="000000"/>
          <w:sz w:val="26"/>
          <w:szCs w:val="26"/>
          <w:lang w:eastAsia="en-US"/>
        </w:rPr>
        <w:t>.</w:t>
      </w:r>
    </w:p>
    <w:p w14:paraId="7D263C69"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3.1 Los alimentos preenvasados no deberán describirse ni presentarse con una etiqueta o etiquetado en una forma que sea falsa, equívoca o engañosa, o susceptible de crear en modo alguno una impresión errónea respecto de su naturaleza en ningún aspecto.</w:t>
      </w:r>
    </w:p>
    <w:p w14:paraId="3EE893A9"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3.2 Los alimentos preenvasados no deberán describirse ni presentarse con una etiqueta o etiquetado en los que se empleen palabras, ilustraciones u otras representaciones gráficas que se refieran a -o sugieran, directa o indirectamente- cualquier otro producto con el que el producto de que se trate pueda confundirse, ni en una forma tal que pueda inducir al comprador o al consumidor a suponer que el alimento se relaciona en forma alguna con aquel otro producto.</w:t>
      </w:r>
    </w:p>
    <w:p w14:paraId="7B759C9F" w14:textId="27D9C0BA" w:rsidR="00FA730F" w:rsidRPr="00C67536" w:rsidRDefault="00FA730F" w:rsidP="00FA730F">
      <w:pPr>
        <w:autoSpaceDE w:val="0"/>
        <w:autoSpaceDN w:val="0"/>
        <w:adjustRightInd w:val="0"/>
        <w:ind w:left="567" w:right="567"/>
        <w:jc w:val="both"/>
        <w:rPr>
          <w:rFonts w:ascii="Arial" w:eastAsiaTheme="minorHAnsi" w:hAnsi="Arial" w:cs="Arial"/>
          <w:b/>
          <w:bCs/>
          <w:i/>
          <w:iCs/>
          <w:color w:val="000000"/>
          <w:sz w:val="26"/>
          <w:szCs w:val="26"/>
          <w:lang w:eastAsia="en-US"/>
        </w:rPr>
      </w:pPr>
      <w:r w:rsidRPr="00C67536">
        <w:rPr>
          <w:rFonts w:ascii="Arial" w:eastAsiaTheme="minorHAnsi" w:hAnsi="Arial" w:cs="Arial"/>
          <w:b/>
          <w:bCs/>
          <w:i/>
          <w:iCs/>
          <w:color w:val="000000"/>
          <w:sz w:val="26"/>
          <w:szCs w:val="26"/>
          <w:lang w:eastAsia="en-US"/>
        </w:rPr>
        <w:t>4. ETIQUETADO OBLIGATORIO DE LOS ALIMENTOS PREENVASADOS</w:t>
      </w:r>
      <w:r w:rsidR="00497891">
        <w:rPr>
          <w:rFonts w:ascii="Arial" w:eastAsiaTheme="minorHAnsi" w:hAnsi="Arial" w:cs="Arial"/>
          <w:b/>
          <w:bCs/>
          <w:i/>
          <w:iCs/>
          <w:color w:val="000000"/>
          <w:sz w:val="26"/>
          <w:szCs w:val="26"/>
          <w:lang w:eastAsia="en-US"/>
        </w:rPr>
        <w:t>.</w:t>
      </w:r>
    </w:p>
    <w:p w14:paraId="6A0684FB"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En la etiqueta de alimentos preenvasados deberá aparecer la siguiente información según sea aplicable al alimento que ha de ser etiquetado, excepto cuando expresamente se indique otra cosa en una norma individual del Codex:</w:t>
      </w:r>
    </w:p>
    <w:p w14:paraId="17288FE4" w14:textId="3D542227" w:rsidR="00FA730F" w:rsidRPr="00C67536" w:rsidRDefault="00FA730F" w:rsidP="00FA730F">
      <w:pPr>
        <w:autoSpaceDE w:val="0"/>
        <w:autoSpaceDN w:val="0"/>
        <w:adjustRightInd w:val="0"/>
        <w:ind w:left="567" w:right="567"/>
        <w:jc w:val="both"/>
        <w:rPr>
          <w:rFonts w:ascii="Arial" w:eastAsiaTheme="minorHAnsi" w:hAnsi="Arial" w:cs="Arial"/>
          <w:b/>
          <w:bCs/>
          <w:color w:val="000000"/>
          <w:sz w:val="26"/>
          <w:szCs w:val="26"/>
          <w:lang w:eastAsia="en-US"/>
        </w:rPr>
      </w:pPr>
      <w:r w:rsidRPr="00C67536">
        <w:rPr>
          <w:rFonts w:ascii="Arial" w:eastAsiaTheme="minorHAnsi" w:hAnsi="Arial" w:cs="Arial"/>
          <w:b/>
          <w:bCs/>
          <w:color w:val="000000"/>
          <w:sz w:val="26"/>
          <w:szCs w:val="26"/>
          <w:lang w:eastAsia="en-US"/>
        </w:rPr>
        <w:t>4.1 Nombre del alimento</w:t>
      </w:r>
      <w:r w:rsidR="001160AB">
        <w:rPr>
          <w:rFonts w:ascii="Arial" w:eastAsiaTheme="minorHAnsi" w:hAnsi="Arial" w:cs="Arial"/>
          <w:b/>
          <w:bCs/>
          <w:color w:val="000000"/>
          <w:sz w:val="26"/>
          <w:szCs w:val="26"/>
          <w:lang w:eastAsia="en-US"/>
        </w:rPr>
        <w:t>.</w:t>
      </w:r>
    </w:p>
    <w:p w14:paraId="0A24D73A"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4.1.1 El nombre deberá indicar la verdadera naturaleza del alimento y, normalmente, deberá ser específico y no genérico:</w:t>
      </w:r>
    </w:p>
    <w:p w14:paraId="426184CB"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4.1.1.1 Cuando se hayan establecido uno o varios nombres para un alimento en una norma del Codex, deberá utilizarse por lo menos uno de estos nombres.</w:t>
      </w:r>
    </w:p>
    <w:p w14:paraId="3230267B"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4.1.1.2 En otros casos, deberá utilizarse el nombre prescrito por la legislación nacional.</w:t>
      </w:r>
    </w:p>
    <w:p w14:paraId="7C410224"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4.1.1.3 Cuando no se disponga de tales nombres, deberá utilizarse un nombre común o usual consagrado por el uso corriente como término descriptivo apropiado, que no induzca a error o engaño al consumidor.</w:t>
      </w:r>
    </w:p>
    <w:p w14:paraId="64FC0787" w14:textId="7CBFAF39"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4.1.1.4 Se podrá emplear un nombre "acuñado", "de fantasía" o "de fábrica", o una "marca registrada", siempre que vaya acompañado de uno de los nombres indicados en las disposiciones 4.1.1.1 a 4.1.1.3</w:t>
      </w:r>
      <w:r w:rsidR="001160AB">
        <w:rPr>
          <w:rFonts w:ascii="Arial" w:eastAsiaTheme="minorHAnsi" w:hAnsi="Arial" w:cs="Arial"/>
          <w:color w:val="000000"/>
          <w:sz w:val="26"/>
          <w:szCs w:val="26"/>
          <w:lang w:eastAsia="en-US"/>
        </w:rPr>
        <w:t>.</w:t>
      </w:r>
    </w:p>
    <w:p w14:paraId="33B9A7FA"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4.1.2 En la etiqueta, junto al nombre del alimento o muy cerca del mismo, aparecerán las palabras o frases adicionales necesarias para evitar que se induzca a error o engaño al consumidor con respecto a la naturaleza y condición física auténticas del alimento que incluyen, pero no se limitan al tipo de medio de cobertura, la forma de presentación o su condición o el tipo de tratamiento al que ha sido sometido, por ejemplo, deshidratación, concentración, reconstitución, ahumado.</w:t>
      </w:r>
    </w:p>
    <w:p w14:paraId="746DE4CE" w14:textId="22FCAB4E" w:rsidR="00FA730F" w:rsidRPr="00C67536" w:rsidRDefault="00FA730F" w:rsidP="00FA730F">
      <w:pPr>
        <w:autoSpaceDE w:val="0"/>
        <w:autoSpaceDN w:val="0"/>
        <w:adjustRightInd w:val="0"/>
        <w:ind w:left="567" w:right="567"/>
        <w:jc w:val="both"/>
        <w:rPr>
          <w:rFonts w:ascii="Arial" w:eastAsiaTheme="minorHAnsi" w:hAnsi="Arial" w:cs="Arial"/>
          <w:b/>
          <w:bCs/>
          <w:color w:val="000000"/>
          <w:sz w:val="26"/>
          <w:szCs w:val="26"/>
          <w:lang w:eastAsia="en-US"/>
        </w:rPr>
      </w:pPr>
      <w:r w:rsidRPr="00C67536">
        <w:rPr>
          <w:rFonts w:ascii="Arial" w:eastAsiaTheme="minorHAnsi" w:hAnsi="Arial" w:cs="Arial"/>
          <w:b/>
          <w:bCs/>
          <w:color w:val="000000"/>
          <w:sz w:val="26"/>
          <w:szCs w:val="26"/>
          <w:lang w:eastAsia="en-US"/>
        </w:rPr>
        <w:t>4.2 Lista de ingredientes</w:t>
      </w:r>
      <w:r w:rsidR="00A15A80">
        <w:rPr>
          <w:rFonts w:ascii="Arial" w:eastAsiaTheme="minorHAnsi" w:hAnsi="Arial" w:cs="Arial"/>
          <w:b/>
          <w:bCs/>
          <w:color w:val="000000"/>
          <w:sz w:val="26"/>
          <w:szCs w:val="26"/>
          <w:lang w:eastAsia="en-US"/>
        </w:rPr>
        <w:t>.</w:t>
      </w:r>
    </w:p>
    <w:p w14:paraId="36EF9B83"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4.2.1 Salvo cuando se trate de alimentos de un único ingrediente, deberá figurar en la etiqueta una lista de ingredientes.</w:t>
      </w:r>
    </w:p>
    <w:p w14:paraId="212DC0FD"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4.2.1.1 La lista de ingredientes deberá ir encabezada o precedida por un título apropiado que consista en el término "ingrediente" o la incluya.</w:t>
      </w:r>
    </w:p>
    <w:p w14:paraId="73517FED"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4.2.1.2 Deberán enumerarse todos los ingredientes por orden decreciente de peso inicial (m/m) en el momento de la fabricación del alimento.</w:t>
      </w:r>
    </w:p>
    <w:p w14:paraId="18A59505"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4.2.1.3 Cuando un ingrediente sea a su vez producto de dos o más ingredientes, dicho ingrediente compuesto podrá declararse como tal en la lista de ingredientes, siempre que vaya acompañado inmediatamente de una lista entre paréntesis de sus ingredientes por orden decreciente de proporciones (m/m). Cuando un ingrediente compuesto, para el que se ha establecido un nombre en una norma del Codex o en la legislación nacional, constituya menos del 5 por ciento del alimento, no será necesario declarar los ingredientes, salvo los aditivos alimentarios que desempeñan una función tecnológica en el producto acabado.</w:t>
      </w:r>
    </w:p>
    <w:p w14:paraId="2352A647"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4.2.1.4 Se ha comprobado que los siguientes alimentos e ingredientes causan hipersensibilidad y deberán declararse siempre como tales:</w:t>
      </w:r>
    </w:p>
    <w:p w14:paraId="34C1B3E1"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w:t>
      </w:r>
    </w:p>
    <w:p w14:paraId="061EA086"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4.2.3 En la lista de ingredientes deberá emplearse un nombre específico de acuerdo con lo previsto en la subsección 4.1 (nombre del alimento).</w:t>
      </w:r>
    </w:p>
    <w:p w14:paraId="6000E9BA"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4.2.3.1 Con la excepción de los ingredientes mencionados en la subsección 4.2.1.4, y a menos que el nombre genérico de una clase resulte más informativo, podrán emplearse los siguientes nombres de clases de ingredientes:</w:t>
      </w:r>
    </w:p>
    <w:p w14:paraId="1E13757D" w14:textId="197E519D" w:rsidR="00FA730F" w:rsidRPr="00C67536" w:rsidRDefault="00FA730F" w:rsidP="00FA730F">
      <w:pPr>
        <w:autoSpaceDE w:val="0"/>
        <w:autoSpaceDN w:val="0"/>
        <w:adjustRightInd w:val="0"/>
        <w:ind w:left="567" w:right="567"/>
        <w:jc w:val="both"/>
        <w:rPr>
          <w:rFonts w:ascii="Arial" w:eastAsiaTheme="minorHAnsi" w:hAnsi="Arial" w:cs="Arial"/>
          <w:b/>
          <w:bCs/>
          <w:color w:val="000000"/>
          <w:sz w:val="26"/>
          <w:szCs w:val="26"/>
          <w:lang w:eastAsia="en-US"/>
        </w:rPr>
      </w:pPr>
      <w:r w:rsidRPr="00C67536">
        <w:rPr>
          <w:rFonts w:ascii="Arial" w:eastAsiaTheme="minorHAnsi" w:hAnsi="Arial" w:cs="Arial"/>
          <w:b/>
          <w:bCs/>
          <w:color w:val="000000"/>
          <w:sz w:val="26"/>
          <w:szCs w:val="26"/>
          <w:lang w:eastAsia="en-US"/>
        </w:rPr>
        <w:t>Clases de ingredientes Nombres genéricos</w:t>
      </w:r>
      <w:r w:rsidR="005D525A">
        <w:rPr>
          <w:rFonts w:ascii="Arial" w:eastAsiaTheme="minorHAnsi" w:hAnsi="Arial" w:cs="Arial"/>
          <w:b/>
          <w:bCs/>
          <w:color w:val="000000"/>
          <w:sz w:val="26"/>
          <w:szCs w:val="26"/>
          <w:lang w:eastAsia="en-US"/>
        </w:rPr>
        <w:t>.</w:t>
      </w:r>
    </w:p>
    <w:p w14:paraId="6B8F0BFB"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w:t>
      </w:r>
    </w:p>
    <w:p w14:paraId="69CB98A3" w14:textId="77777777" w:rsidR="00FA730F" w:rsidRPr="00C67536" w:rsidRDefault="00FA730F" w:rsidP="00FA730F">
      <w:pPr>
        <w:autoSpaceDE w:val="0"/>
        <w:autoSpaceDN w:val="0"/>
        <w:adjustRightInd w:val="0"/>
        <w:ind w:left="567" w:right="567"/>
        <w:jc w:val="both"/>
        <w:rPr>
          <w:rFonts w:ascii="Arial" w:eastAsiaTheme="minorHAnsi" w:hAnsi="Arial" w:cs="Arial"/>
          <w:b/>
          <w:bCs/>
          <w:i/>
          <w:iCs/>
          <w:color w:val="000000"/>
          <w:sz w:val="26"/>
          <w:szCs w:val="26"/>
          <w:lang w:eastAsia="en-US"/>
        </w:rPr>
      </w:pPr>
      <w:r w:rsidRPr="00C67536">
        <w:rPr>
          <w:rFonts w:ascii="Arial" w:eastAsiaTheme="minorHAnsi" w:hAnsi="Arial" w:cs="Arial"/>
          <w:b/>
          <w:bCs/>
          <w:i/>
          <w:iCs/>
          <w:color w:val="000000"/>
          <w:sz w:val="26"/>
          <w:szCs w:val="26"/>
          <w:lang w:eastAsia="en-US"/>
        </w:rPr>
        <w:t>…</w:t>
      </w:r>
    </w:p>
    <w:p w14:paraId="42AB9A2E" w14:textId="1E0DA232" w:rsidR="00FA730F" w:rsidRPr="00C67536" w:rsidRDefault="00FA730F" w:rsidP="00FA730F">
      <w:pPr>
        <w:autoSpaceDE w:val="0"/>
        <w:autoSpaceDN w:val="0"/>
        <w:adjustRightInd w:val="0"/>
        <w:ind w:left="567" w:right="567"/>
        <w:jc w:val="both"/>
        <w:rPr>
          <w:rFonts w:ascii="Arial" w:eastAsiaTheme="minorHAnsi" w:hAnsi="Arial" w:cs="Arial"/>
          <w:b/>
          <w:bCs/>
          <w:i/>
          <w:iCs/>
          <w:color w:val="000000"/>
          <w:sz w:val="26"/>
          <w:szCs w:val="26"/>
          <w:lang w:eastAsia="en-US"/>
        </w:rPr>
      </w:pPr>
      <w:r w:rsidRPr="00C67536">
        <w:rPr>
          <w:rFonts w:ascii="Arial" w:eastAsiaTheme="minorHAnsi" w:hAnsi="Arial" w:cs="Arial"/>
          <w:b/>
          <w:bCs/>
          <w:i/>
          <w:iCs/>
          <w:color w:val="000000"/>
          <w:sz w:val="26"/>
          <w:szCs w:val="26"/>
          <w:lang w:eastAsia="en-US"/>
        </w:rPr>
        <w:t>5. REQUISITOS OBLIGATORIOS ADICIONALES</w:t>
      </w:r>
      <w:r w:rsidR="005D525A">
        <w:rPr>
          <w:rFonts w:ascii="Arial" w:eastAsiaTheme="minorHAnsi" w:hAnsi="Arial" w:cs="Arial"/>
          <w:b/>
          <w:bCs/>
          <w:i/>
          <w:iCs/>
          <w:color w:val="000000"/>
          <w:sz w:val="26"/>
          <w:szCs w:val="26"/>
          <w:lang w:eastAsia="en-US"/>
        </w:rPr>
        <w:t>.</w:t>
      </w:r>
    </w:p>
    <w:p w14:paraId="4C469EF1" w14:textId="0C140773" w:rsidR="00FA730F" w:rsidRPr="00C67536" w:rsidRDefault="00FA730F" w:rsidP="00FA730F">
      <w:pPr>
        <w:autoSpaceDE w:val="0"/>
        <w:autoSpaceDN w:val="0"/>
        <w:adjustRightInd w:val="0"/>
        <w:ind w:left="567" w:right="567"/>
        <w:jc w:val="both"/>
        <w:rPr>
          <w:rFonts w:ascii="Arial" w:eastAsiaTheme="minorHAnsi" w:hAnsi="Arial" w:cs="Arial"/>
          <w:b/>
          <w:bCs/>
          <w:color w:val="000000"/>
          <w:sz w:val="26"/>
          <w:szCs w:val="26"/>
          <w:lang w:eastAsia="en-US"/>
        </w:rPr>
      </w:pPr>
      <w:r w:rsidRPr="00C67536">
        <w:rPr>
          <w:rFonts w:ascii="Arial" w:eastAsiaTheme="minorHAnsi" w:hAnsi="Arial" w:cs="Arial"/>
          <w:b/>
          <w:bCs/>
          <w:color w:val="000000"/>
          <w:sz w:val="26"/>
          <w:szCs w:val="26"/>
          <w:lang w:eastAsia="en-US"/>
        </w:rPr>
        <w:t>5.1 Etiquetado cuantitativo de los ingredientes</w:t>
      </w:r>
      <w:r w:rsidR="005D525A">
        <w:rPr>
          <w:rFonts w:ascii="Arial" w:eastAsiaTheme="minorHAnsi" w:hAnsi="Arial" w:cs="Arial"/>
          <w:b/>
          <w:bCs/>
          <w:color w:val="000000"/>
          <w:sz w:val="26"/>
          <w:szCs w:val="26"/>
          <w:lang w:eastAsia="en-US"/>
        </w:rPr>
        <w:t>.</w:t>
      </w:r>
    </w:p>
    <w:p w14:paraId="4C4C6149"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5.1.1 Cuando el etiquetado de un alimento destaque la presencia de uno o más ingredientes valiosos y/o caracterizantes, o cuando la descripción del alimento produzca el mismo efecto, se deberá declarar el porcentaje inicial del ingrediente (m/m) en el momento de la fabricación.</w:t>
      </w:r>
    </w:p>
    <w:p w14:paraId="293D1047"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5.1.2 Asimismo, cuando en la etiqueta de un alimento se destaque el bajo contenido de uno o más ingredientes, deberá declararse el porcentaje del ingrediente (m/m) en el producto final.</w:t>
      </w:r>
    </w:p>
    <w:p w14:paraId="26A636B5" w14:textId="77777777" w:rsidR="00FA730F" w:rsidRPr="00C67536" w:rsidRDefault="00FA730F"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5.1.3 La referencia en el nombre del alimento, a un determinado ingrediente, no implicará, este hecho por sí solo, que se le conceda un relieve especial. La referencia, en la etiqueta del alimento, a un ingrediente utilizado en pequeña cantidad o solamente como aromatizante, no implicará por sí sola, que se le conceda un relieve especial.</w:t>
      </w:r>
    </w:p>
    <w:p w14:paraId="119033F1" w14:textId="68648703" w:rsidR="00015E62" w:rsidRPr="00C67536" w:rsidRDefault="00015E62" w:rsidP="00FA730F">
      <w:pPr>
        <w:autoSpaceDE w:val="0"/>
        <w:autoSpaceDN w:val="0"/>
        <w:adjustRightInd w:val="0"/>
        <w:ind w:left="567" w:right="567"/>
        <w:jc w:val="both"/>
        <w:rPr>
          <w:rFonts w:ascii="Arial" w:eastAsiaTheme="minorHAnsi" w:hAnsi="Arial" w:cs="Arial"/>
          <w:color w:val="000000"/>
          <w:sz w:val="26"/>
          <w:szCs w:val="26"/>
          <w:lang w:eastAsia="en-US"/>
        </w:rPr>
      </w:pPr>
      <w:r w:rsidRPr="00C67536">
        <w:rPr>
          <w:rFonts w:ascii="Arial" w:eastAsiaTheme="minorHAnsi" w:hAnsi="Arial" w:cs="Arial"/>
          <w:color w:val="000000"/>
          <w:sz w:val="26"/>
          <w:szCs w:val="26"/>
          <w:lang w:eastAsia="en-US"/>
        </w:rPr>
        <w:t>…</w:t>
      </w:r>
    </w:p>
    <w:p w14:paraId="518D7919" w14:textId="776E6B7D" w:rsidR="00FA730F" w:rsidRPr="00C67536" w:rsidRDefault="00FA730F" w:rsidP="00FA730F">
      <w:pPr>
        <w:autoSpaceDE w:val="0"/>
        <w:autoSpaceDN w:val="0"/>
        <w:adjustRightInd w:val="0"/>
        <w:ind w:left="567" w:right="567"/>
        <w:jc w:val="both"/>
        <w:rPr>
          <w:rFonts w:ascii="Arial" w:hAnsi="Arial" w:cs="Arial"/>
          <w:b/>
          <w:bCs/>
          <w:sz w:val="26"/>
          <w:szCs w:val="26"/>
        </w:rPr>
      </w:pPr>
      <w:r w:rsidRPr="00C67536">
        <w:rPr>
          <w:rFonts w:ascii="Arial" w:hAnsi="Arial" w:cs="Arial"/>
          <w:b/>
          <w:bCs/>
          <w:sz w:val="26"/>
          <w:szCs w:val="26"/>
        </w:rPr>
        <w:t>7. ETIQUETADO FACULTATIVO</w:t>
      </w:r>
      <w:r w:rsidR="005D525A">
        <w:rPr>
          <w:rFonts w:ascii="Arial" w:hAnsi="Arial" w:cs="Arial"/>
          <w:b/>
          <w:bCs/>
          <w:sz w:val="26"/>
          <w:szCs w:val="26"/>
        </w:rPr>
        <w:t>.</w:t>
      </w:r>
    </w:p>
    <w:p w14:paraId="3B6B8887" w14:textId="77777777" w:rsidR="00FA730F" w:rsidRPr="00C67536" w:rsidRDefault="00FA730F" w:rsidP="00FA730F">
      <w:pPr>
        <w:autoSpaceDE w:val="0"/>
        <w:autoSpaceDN w:val="0"/>
        <w:adjustRightInd w:val="0"/>
        <w:ind w:left="567" w:right="567"/>
        <w:jc w:val="both"/>
        <w:rPr>
          <w:rFonts w:ascii="Arial" w:hAnsi="Arial" w:cs="Arial"/>
          <w:sz w:val="26"/>
          <w:szCs w:val="26"/>
        </w:rPr>
      </w:pPr>
      <w:r w:rsidRPr="00C67536">
        <w:rPr>
          <w:rFonts w:ascii="Arial" w:hAnsi="Arial" w:cs="Arial"/>
          <w:sz w:val="26"/>
          <w:szCs w:val="26"/>
        </w:rPr>
        <w:t xml:space="preserve">7.1 En el etiquetado podrá presentarse cualquier información o representación gráfica, así como materia escrita, impresa o gráfica, siempre que no esté en contradicción con los requisitos obligatorios de la presente norma, incluidos los referentes a la declaración de propiedades y al engaño, establecidos en la Sección 3-Principios generales. </w:t>
      </w:r>
    </w:p>
    <w:p w14:paraId="276171B8" w14:textId="77777777" w:rsidR="00FA730F" w:rsidRPr="00C67536" w:rsidRDefault="00FA730F" w:rsidP="00FA730F">
      <w:pPr>
        <w:autoSpaceDE w:val="0"/>
        <w:autoSpaceDN w:val="0"/>
        <w:adjustRightInd w:val="0"/>
        <w:ind w:left="567" w:right="567"/>
        <w:jc w:val="both"/>
        <w:rPr>
          <w:rFonts w:ascii="Arial" w:hAnsi="Arial" w:cs="Arial"/>
          <w:sz w:val="26"/>
          <w:szCs w:val="26"/>
        </w:rPr>
      </w:pPr>
      <w:r w:rsidRPr="00C67536">
        <w:rPr>
          <w:rFonts w:ascii="Arial" w:hAnsi="Arial" w:cs="Arial"/>
          <w:sz w:val="26"/>
          <w:szCs w:val="26"/>
        </w:rPr>
        <w:t xml:space="preserve">7.2 Cuando se empleen designaciones de calidad, estas deberán ser fácilmente comprensibles, y no deberán ser equívocas o engañosas en forma alguna. </w:t>
      </w:r>
    </w:p>
    <w:p w14:paraId="60546F0B" w14:textId="621E9AC3" w:rsidR="00FA730F" w:rsidRPr="00C67536" w:rsidRDefault="00FA730F" w:rsidP="00FA730F">
      <w:pPr>
        <w:autoSpaceDE w:val="0"/>
        <w:autoSpaceDN w:val="0"/>
        <w:adjustRightInd w:val="0"/>
        <w:ind w:left="567" w:right="567"/>
        <w:jc w:val="both"/>
        <w:rPr>
          <w:rFonts w:ascii="Arial" w:hAnsi="Arial" w:cs="Arial"/>
          <w:b/>
          <w:bCs/>
          <w:sz w:val="26"/>
          <w:szCs w:val="26"/>
        </w:rPr>
      </w:pPr>
      <w:r w:rsidRPr="00C67536">
        <w:rPr>
          <w:rFonts w:ascii="Arial" w:hAnsi="Arial" w:cs="Arial"/>
          <w:b/>
          <w:bCs/>
          <w:sz w:val="26"/>
          <w:szCs w:val="26"/>
        </w:rPr>
        <w:t>8. PRESENTACIÓN DE LA INFORMACIÓN OBLIGATORIA</w:t>
      </w:r>
      <w:r w:rsidR="005D525A">
        <w:rPr>
          <w:rFonts w:ascii="Arial" w:hAnsi="Arial" w:cs="Arial"/>
          <w:b/>
          <w:bCs/>
          <w:sz w:val="26"/>
          <w:szCs w:val="26"/>
        </w:rPr>
        <w:t>.</w:t>
      </w:r>
    </w:p>
    <w:p w14:paraId="2234D29D" w14:textId="4B240A86" w:rsidR="00FA730F" w:rsidRPr="00C67536" w:rsidRDefault="00FA730F" w:rsidP="00FA730F">
      <w:pPr>
        <w:autoSpaceDE w:val="0"/>
        <w:autoSpaceDN w:val="0"/>
        <w:adjustRightInd w:val="0"/>
        <w:ind w:left="567" w:right="567"/>
        <w:jc w:val="both"/>
        <w:rPr>
          <w:rFonts w:ascii="Arial" w:hAnsi="Arial" w:cs="Arial"/>
          <w:sz w:val="26"/>
          <w:szCs w:val="26"/>
        </w:rPr>
      </w:pPr>
      <w:r w:rsidRPr="00C67536">
        <w:rPr>
          <w:rFonts w:ascii="Arial" w:hAnsi="Arial" w:cs="Arial"/>
          <w:sz w:val="26"/>
          <w:szCs w:val="26"/>
        </w:rPr>
        <w:t>8.1 Generalidades</w:t>
      </w:r>
      <w:r w:rsidR="005D525A">
        <w:rPr>
          <w:rFonts w:ascii="Arial" w:hAnsi="Arial" w:cs="Arial"/>
          <w:sz w:val="26"/>
          <w:szCs w:val="26"/>
        </w:rPr>
        <w:t>.</w:t>
      </w:r>
      <w:r w:rsidRPr="00C67536">
        <w:rPr>
          <w:rFonts w:ascii="Arial" w:hAnsi="Arial" w:cs="Arial"/>
          <w:sz w:val="26"/>
          <w:szCs w:val="26"/>
        </w:rPr>
        <w:t xml:space="preserve"> </w:t>
      </w:r>
    </w:p>
    <w:p w14:paraId="5F808DCD" w14:textId="77777777" w:rsidR="00FA730F" w:rsidRPr="00C67536" w:rsidRDefault="00FA730F" w:rsidP="00FA730F">
      <w:pPr>
        <w:autoSpaceDE w:val="0"/>
        <w:autoSpaceDN w:val="0"/>
        <w:adjustRightInd w:val="0"/>
        <w:ind w:left="567" w:right="567"/>
        <w:jc w:val="both"/>
        <w:rPr>
          <w:rFonts w:ascii="Arial" w:hAnsi="Arial" w:cs="Arial"/>
          <w:sz w:val="26"/>
          <w:szCs w:val="26"/>
        </w:rPr>
      </w:pPr>
      <w:r w:rsidRPr="00C67536">
        <w:rPr>
          <w:rFonts w:ascii="Arial" w:hAnsi="Arial" w:cs="Arial"/>
          <w:sz w:val="26"/>
          <w:szCs w:val="26"/>
        </w:rPr>
        <w:t xml:space="preserve">8.1.1 Las etiquetas que se pongan en los alimentos preenvasados deberán aplicarse de manera que no se separen del envase. </w:t>
      </w:r>
    </w:p>
    <w:p w14:paraId="61CCD739" w14:textId="77777777" w:rsidR="00FA730F" w:rsidRPr="00C67536" w:rsidRDefault="00FA730F" w:rsidP="00FA730F">
      <w:pPr>
        <w:autoSpaceDE w:val="0"/>
        <w:autoSpaceDN w:val="0"/>
        <w:adjustRightInd w:val="0"/>
        <w:ind w:left="567" w:right="567"/>
        <w:jc w:val="both"/>
        <w:rPr>
          <w:rFonts w:ascii="Arial" w:hAnsi="Arial" w:cs="Arial"/>
          <w:b/>
          <w:bCs/>
          <w:sz w:val="26"/>
          <w:szCs w:val="26"/>
        </w:rPr>
      </w:pPr>
      <w:r w:rsidRPr="00C67536">
        <w:rPr>
          <w:rFonts w:ascii="Arial" w:hAnsi="Arial" w:cs="Arial"/>
          <w:b/>
          <w:bCs/>
          <w:sz w:val="26"/>
          <w:szCs w:val="26"/>
        </w:rPr>
        <w:t xml:space="preserve">8.1.2 Los datos que deben aparecer en la etiqueta, en virtud de esta norma o de cualquier otra norma del Codex deberán indicarse con caracteres claros, bien visibles, indelebles y fáciles de leer por el consumidor en circunstancias normales de compra y uso. </w:t>
      </w:r>
    </w:p>
    <w:p w14:paraId="0A69992D" w14:textId="77777777" w:rsidR="00FA730F" w:rsidRPr="00C67536" w:rsidRDefault="00FA730F" w:rsidP="00FA730F">
      <w:pPr>
        <w:autoSpaceDE w:val="0"/>
        <w:autoSpaceDN w:val="0"/>
        <w:adjustRightInd w:val="0"/>
        <w:ind w:left="567" w:right="567"/>
        <w:jc w:val="both"/>
        <w:rPr>
          <w:rFonts w:ascii="Arial" w:hAnsi="Arial" w:cs="Arial"/>
          <w:sz w:val="26"/>
          <w:szCs w:val="26"/>
        </w:rPr>
      </w:pPr>
      <w:r w:rsidRPr="00C67536">
        <w:rPr>
          <w:rFonts w:ascii="Arial" w:hAnsi="Arial" w:cs="Arial"/>
          <w:sz w:val="26"/>
          <w:szCs w:val="26"/>
        </w:rPr>
        <w:t xml:space="preserve">8.1.3 Cuando el envase esté cubierto por una envoltura, en ésta deberá figurar toda la información necesaria, o la etiqueta aplicada al envase deberá poder leerse fácilmente a través de la envoltura exterior o no deberá estar oscurecida por ésta. </w:t>
      </w:r>
    </w:p>
    <w:p w14:paraId="551EBAFF" w14:textId="77777777" w:rsidR="00015E62" w:rsidRPr="00C67536" w:rsidRDefault="00FA730F" w:rsidP="00FA730F">
      <w:pPr>
        <w:ind w:left="567"/>
        <w:rPr>
          <w:rFonts w:ascii="Arial" w:hAnsi="Arial" w:cs="Arial"/>
          <w:sz w:val="26"/>
          <w:szCs w:val="26"/>
        </w:rPr>
      </w:pPr>
      <w:r w:rsidRPr="00C67536">
        <w:rPr>
          <w:rFonts w:ascii="Arial" w:hAnsi="Arial" w:cs="Arial"/>
          <w:sz w:val="26"/>
          <w:szCs w:val="26"/>
        </w:rPr>
        <w:t>8.1.4 El nombre y contenido neto del alimento deberán aparecer en un lugar prominente y en el mismo campo de visión.</w:t>
      </w:r>
    </w:p>
    <w:p w14:paraId="4ED94E43" w14:textId="6B80DDAD" w:rsidR="00FA730F" w:rsidRPr="00C67536" w:rsidRDefault="00015E62" w:rsidP="00FA730F">
      <w:pPr>
        <w:ind w:left="567"/>
        <w:rPr>
          <w:rFonts w:cs="Arial"/>
          <w:sz w:val="28"/>
          <w:szCs w:val="28"/>
        </w:rPr>
      </w:pPr>
      <w:r w:rsidRPr="00C67536">
        <w:rPr>
          <w:rFonts w:ascii="Arial" w:hAnsi="Arial" w:cs="Arial"/>
          <w:sz w:val="26"/>
          <w:szCs w:val="26"/>
        </w:rPr>
        <w:t>…</w:t>
      </w:r>
      <w:r w:rsidR="003779D7" w:rsidRPr="00C67536">
        <w:rPr>
          <w:rFonts w:ascii="Arial" w:hAnsi="Arial" w:cs="Arial"/>
          <w:sz w:val="26"/>
          <w:szCs w:val="26"/>
        </w:rPr>
        <w:t>”</w:t>
      </w:r>
    </w:p>
    <w:p w14:paraId="6214A102" w14:textId="77777777" w:rsidR="00FA730F" w:rsidRPr="00C67536" w:rsidRDefault="00FA730F" w:rsidP="00FA730F">
      <w:pPr>
        <w:pStyle w:val="ListParagraph"/>
        <w:rPr>
          <w:rFonts w:cs="Arial"/>
          <w:sz w:val="28"/>
          <w:szCs w:val="28"/>
        </w:rPr>
      </w:pPr>
    </w:p>
    <w:p w14:paraId="745A18FA" w14:textId="77777777" w:rsidR="00F73D9B"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Como se aprecia, el CODEX en lo relativo al etiquetado que deben tener los alimentos preenvasados solo refiere reglas generales y requisitos como son el nombre del alimento, la lista de ingredientes que la componen y la posibilidad de algunos otros aspectos, pero como se aprecia, es sobre el etiquetado general del producto alimenticio, no es en específico del sistema de etiquetado frontal.</w:t>
      </w:r>
    </w:p>
    <w:p w14:paraId="3FBE53B9" w14:textId="77777777" w:rsidR="00F73D9B" w:rsidRPr="00C67536" w:rsidRDefault="00F73D9B" w:rsidP="00F73D9B">
      <w:pPr>
        <w:pStyle w:val="corte4fondo"/>
        <w:ind w:firstLine="0"/>
        <w:rPr>
          <w:rFonts w:eastAsiaTheme="minorHAnsi" w:cs="Arial"/>
          <w:bCs/>
          <w:sz w:val="28"/>
          <w:szCs w:val="28"/>
          <w:lang w:eastAsia="en-US"/>
        </w:rPr>
      </w:pPr>
    </w:p>
    <w:p w14:paraId="6E5A3CAE" w14:textId="77777777" w:rsidR="00D76675"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Así, con la intención de acotar el contenido del etiquetado nutrimental, la OMS y FAO, a través del Comité Científico del Codex </w:t>
      </w:r>
      <w:proofErr w:type="spellStart"/>
      <w:r w:rsidRPr="00C67536">
        <w:rPr>
          <w:rFonts w:cs="Arial"/>
          <w:sz w:val="28"/>
          <w:szCs w:val="28"/>
        </w:rPr>
        <w:t>Alimentarius</w:t>
      </w:r>
      <w:proofErr w:type="spellEnd"/>
      <w:r w:rsidRPr="00C67536">
        <w:rPr>
          <w:rFonts w:cs="Arial"/>
          <w:sz w:val="28"/>
          <w:szCs w:val="28"/>
        </w:rPr>
        <w:t xml:space="preserve"> en el Informe de la 37ª, reunión del Codex sobre etiquetado de los alimentos celebrada el cuatro de mayo de dos mil nueve, en Calgary, Canadá</w:t>
      </w:r>
      <w:r w:rsidRPr="00C67536">
        <w:rPr>
          <w:rFonts w:cs="Arial"/>
          <w:sz w:val="28"/>
          <w:szCs w:val="28"/>
          <w:lang w:eastAsia="en-US"/>
        </w:rPr>
        <w:t>, destacó lo siguiente:</w:t>
      </w:r>
    </w:p>
    <w:p w14:paraId="781AA48A" w14:textId="77777777" w:rsidR="00D76675" w:rsidRPr="00C67536" w:rsidRDefault="00D76675" w:rsidP="00D76675">
      <w:pPr>
        <w:pStyle w:val="ListParagraph"/>
        <w:rPr>
          <w:rFonts w:eastAsiaTheme="minorHAnsi" w:cs="Arial"/>
          <w:bCs/>
          <w:sz w:val="28"/>
          <w:szCs w:val="28"/>
          <w:lang w:eastAsia="en-US"/>
        </w:rPr>
      </w:pPr>
    </w:p>
    <w:p w14:paraId="31272C62"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“INFORME DE LA 37ª REUNIÓN DEL COMITÉ DEL CODEX SOBRE ETIQUETADO DE LOS ALIMENTOS</w:t>
      </w:r>
    </w:p>
    <w:p w14:paraId="46DE74F5" w14:textId="77777777" w:rsidR="00D76675" w:rsidRPr="00C67536" w:rsidRDefault="00D76675" w:rsidP="00D76675">
      <w:pPr>
        <w:ind w:left="567" w:right="567"/>
        <w:jc w:val="both"/>
        <w:rPr>
          <w:rFonts w:ascii="Arial" w:hAnsi="Arial" w:cs="Arial"/>
          <w:color w:val="000000"/>
          <w:sz w:val="26"/>
          <w:szCs w:val="26"/>
          <w:lang w:eastAsia="en-US"/>
        </w:rPr>
      </w:pPr>
      <w:r w:rsidRPr="00C67536">
        <w:rPr>
          <w:rFonts w:ascii="Arial" w:hAnsi="Arial" w:cs="Arial"/>
          <w:sz w:val="26"/>
          <w:szCs w:val="26"/>
          <w:lang w:eastAsia="en-US"/>
        </w:rPr>
        <w:t>Calgary, Canadá, 4 – 8 de mayo de 2009</w:t>
      </w:r>
    </w:p>
    <w:p w14:paraId="5F39AE2C" w14:textId="77777777" w:rsidR="00D76675" w:rsidRPr="00C67536" w:rsidRDefault="00D76675" w:rsidP="00D76675">
      <w:pPr>
        <w:ind w:left="567" w:right="567"/>
        <w:jc w:val="both"/>
        <w:rPr>
          <w:rFonts w:ascii="Arial" w:hAnsi="Arial" w:cs="Arial"/>
          <w:color w:val="000000"/>
          <w:sz w:val="26"/>
          <w:szCs w:val="26"/>
          <w:lang w:eastAsia="en-US"/>
        </w:rPr>
      </w:pPr>
    </w:p>
    <w:p w14:paraId="42DBBFA7"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APLICACIÓN DE LA ESTRATEGIA MUNDIAL SOBRE RÉGIMEN ALIMENTARIO, ACTIVIDAD FÍSICA Y SALUD.</w:t>
      </w:r>
    </w:p>
    <w:p w14:paraId="03543234"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 xml:space="preserve">ANTEPROYECTO DE REVISIÓN DE LAS DIRECTRICES SOBRE ETIQUETADO NUTRICIONAL (CAC/GL 2-1985) RESPECTO A LA LISTA DE NUTRIENTES QUE SIEMPRE SE HAN DE DECLARAR EN BASE VOLUNTARIA U OBLIGATORIA (Tema 4ª del Programa) </w:t>
      </w:r>
    </w:p>
    <w:p w14:paraId="5016A1C6"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w:t>
      </w:r>
    </w:p>
    <w:p w14:paraId="0F48FB35"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 xml:space="preserve">13) La Delegación de Nueva Zelanda, como co-presidenta del grupo electrónico de trabajo sobre la aplicación de la Estrategia Mundial de la OMS, presentó los principales resultados del grupo físico de trabajo respecto a la revisión de las Directrices de Etiquetado Nutricional respecto a la lista de nutrientes que siempre se han de declarar. El grupo de trabajo había considerado los criterios usados para identificar nutrientes para su inclusión en la lista (párrafo 5 del CRD 25): capacidad de responder a asuntos de salud pública; capacidad de ayudar a informar a los consumidores para que realicen elecciones saludables, y lo práctico que sea el etiquetado y su capacidad de hacerse cumplir. </w:t>
      </w:r>
      <w:r w:rsidRPr="00C67536">
        <w:rPr>
          <w:rFonts w:ascii="Arial" w:hAnsi="Arial" w:cs="Arial"/>
          <w:b/>
          <w:bCs/>
          <w:sz w:val="26"/>
          <w:szCs w:val="26"/>
          <w:lang w:eastAsia="en-US"/>
        </w:rPr>
        <w:t xml:space="preserve">Las principales recomendaciones fueron que el valor energético, la proteína, la grasa y los carbohidratos disponibles sean retenidos, que el colesterol no se añada, que se añadan las grasas saturadas, pero que no hubo consenso sobre los azúcares (sea como azúcares totales o añadidos) ni sobre los ácidos grasos trans </w:t>
      </w:r>
      <w:r w:rsidRPr="00C67536">
        <w:rPr>
          <w:rFonts w:ascii="Arial" w:hAnsi="Arial" w:cs="Arial"/>
          <w:sz w:val="26"/>
          <w:szCs w:val="26"/>
          <w:lang w:eastAsia="en-US"/>
        </w:rPr>
        <w:t xml:space="preserve">y que, aunque hubo un acuerdo general de que el sodio debería ser declarado, la terminología usada para comunicar esto al consumidor necesitaba mayores deliberaciones y que la fibra dietética se debería discutir más. </w:t>
      </w:r>
    </w:p>
    <w:p w14:paraId="7DD9D54D" w14:textId="40B48ECC" w:rsidR="00D76675" w:rsidRPr="00C67536" w:rsidRDefault="00D76675" w:rsidP="00D76675">
      <w:pPr>
        <w:ind w:left="567" w:right="567"/>
        <w:jc w:val="both"/>
        <w:rPr>
          <w:rFonts w:ascii="Arial" w:hAnsi="Arial" w:cs="Arial"/>
          <w:b/>
          <w:sz w:val="26"/>
          <w:szCs w:val="26"/>
          <w:lang w:eastAsia="en-US"/>
        </w:rPr>
      </w:pPr>
      <w:r w:rsidRPr="00C67536">
        <w:rPr>
          <w:rFonts w:ascii="Arial" w:hAnsi="Arial" w:cs="Arial"/>
          <w:b/>
          <w:sz w:val="26"/>
          <w:szCs w:val="26"/>
          <w:lang w:eastAsia="en-US"/>
        </w:rPr>
        <w:t>Comentarios generales</w:t>
      </w:r>
      <w:r w:rsidR="005D525A">
        <w:rPr>
          <w:rFonts w:ascii="Arial" w:hAnsi="Arial" w:cs="Arial"/>
          <w:b/>
          <w:sz w:val="26"/>
          <w:szCs w:val="26"/>
          <w:lang w:eastAsia="en-US"/>
        </w:rPr>
        <w:t>.</w:t>
      </w:r>
    </w:p>
    <w:p w14:paraId="28D8DBE4"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14) La Delegación de Malasia indicó que el CRD 25 no obtuvo la plena aprobación de todos los miembros del grupo físico de trabajo. Ellos hicieron notar que expandir la actual lista de nutrientes podría llevar a confusión para los consumidores y que los datos científicos estaban aún siendo colectados para ciertos nutrientes y por lo tanto no apoyaron la inclusión en la lista de grasas saturadas, azúcares, fibra dietética, ácidos grasos trans y sodio. Varias Delegaciones indicaron que los temas 4a, b y c del programa estaban relacionados entre sí y deberían ser discutidos paralelamente, y que asuntos específicos sobre costos, de la manera en que se realizaron en el Documento de Discusión sobre asuntos relacionados al etiquetado nutricional obligatorio (Tema 4b del Programa) eran pertinentes para esta discusión. Además, otros asuntos prácticos, tales como los métodos de análisis y el entendimiento que tengan los consumidores de la información, y el uso que le den, necesitan ser discutidos. Una lista demasiado extensa podría abrumar a los consumidores y conducir a una saturación informativa; por lo tanto, el número de nutrientes incluidos en la lista debería ser limitado. Propusieron que el Comité considere priorizar los nutrientes para su inclusión en la lista y desarrollar una lista básica de nutrientes que se han siempre de declarar junto con una lista complementaria de nutrientes que pudieran ser declarados bajo ciertas circunstancias, especialmente dado que no todos los nutrientes tienen la misma importancia en todas las regiones. Un Observador expresó la opinión de qué menores informaciones podrían disminuir la comprensión de los consumidores y limitar las posibilidades para la educación de los consumidores.</w:t>
      </w:r>
    </w:p>
    <w:p w14:paraId="2278897B"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15) Se clarificó que el grupo electrónico de trabajo había considerado los asuntos antedichos. Una Delegación fue de la opinión que los costos podrían ser menos problema en este contexto, pues el etiquetado obligatorio solo se aplica cuando se realiza una declaración de propiedades y las compañías pueden evaluar el costo/beneficio de realizar tales declaraciones de propiedades. Indicaron la importancia de que el trabajo esté vinculado al trabajo del CCNFSDU para entender mejor la importancia de los diferentes nutrientes, pero que esto no debería retrasar el trabajo en el CCFL.</w:t>
      </w:r>
    </w:p>
    <w:p w14:paraId="053EEA63"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16) Algunas Delegaciones expresaron la opinión que la base principal para la inclusión de nutrientes en la lista era su importancia desde la perspectiva de salud pública, que el entendimiento de los consumidores necesita mejorarse por medio de programas de educación pública y apoyarse en investigaciones apropiadas respecto a los consumidores, y que la lista era una lista mínima mientras que otros nutrientes podían ser considerados a nivel nacional.</w:t>
      </w:r>
    </w:p>
    <w:p w14:paraId="59B27C01"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w:t>
      </w:r>
    </w:p>
    <w:p w14:paraId="2F4C1A5D" w14:textId="69D6F2F6" w:rsidR="00D76675" w:rsidRPr="00C67536" w:rsidRDefault="00D76675" w:rsidP="00D76675">
      <w:pPr>
        <w:ind w:left="567" w:right="567"/>
        <w:jc w:val="both"/>
        <w:rPr>
          <w:rFonts w:ascii="Arial" w:hAnsi="Arial" w:cs="Arial"/>
          <w:b/>
          <w:sz w:val="26"/>
          <w:szCs w:val="26"/>
          <w:lang w:eastAsia="en-US"/>
        </w:rPr>
      </w:pPr>
      <w:r w:rsidRPr="00C67536">
        <w:rPr>
          <w:rFonts w:ascii="Arial" w:hAnsi="Arial" w:cs="Arial"/>
          <w:b/>
          <w:sz w:val="26"/>
          <w:szCs w:val="26"/>
          <w:lang w:eastAsia="en-US"/>
        </w:rPr>
        <w:t>Proteína, carbohidratos disponibles y grasa</w:t>
      </w:r>
      <w:r w:rsidR="005D525A">
        <w:rPr>
          <w:rFonts w:ascii="Arial" w:hAnsi="Arial" w:cs="Arial"/>
          <w:b/>
          <w:sz w:val="26"/>
          <w:szCs w:val="26"/>
          <w:lang w:eastAsia="en-US"/>
        </w:rPr>
        <w:t>.</w:t>
      </w:r>
    </w:p>
    <w:p w14:paraId="159C401F"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 xml:space="preserve">19) Varias Delegaciones indicaron que, aunque estaban de acuerdo con la declaración de proteína y carbohidratos disponibles, estos nutrientes no eran una prioridad en todos los países, y que esto podría ser abordado desarrollando una lista básica y otra complementaria.  Otras Delegaciones indicaron que la utilidad de la información respecto a los valores energéticos, la proteína y la grasa, y la información sobre carbohidratos disponibles era de particular interés para ciertas poblaciones como los diabéticos.  El </w:t>
      </w:r>
      <w:r w:rsidRPr="00C67536">
        <w:rPr>
          <w:rFonts w:ascii="Arial" w:hAnsi="Arial" w:cs="Arial"/>
          <w:b/>
          <w:sz w:val="26"/>
          <w:szCs w:val="26"/>
          <w:lang w:eastAsia="en-US"/>
        </w:rPr>
        <w:t>Comité acordó por lo tanto retener estos nutrientes en la lista.</w:t>
      </w:r>
    </w:p>
    <w:p w14:paraId="2654B30A" w14:textId="7633B2D0" w:rsidR="00D76675" w:rsidRPr="00C67536" w:rsidRDefault="00D76675" w:rsidP="00D76675">
      <w:pPr>
        <w:ind w:left="567" w:right="567"/>
        <w:jc w:val="both"/>
        <w:rPr>
          <w:rFonts w:ascii="Arial" w:hAnsi="Arial" w:cs="Arial"/>
          <w:b/>
          <w:sz w:val="26"/>
          <w:szCs w:val="26"/>
          <w:lang w:eastAsia="en-US"/>
        </w:rPr>
      </w:pPr>
      <w:r w:rsidRPr="00C67536">
        <w:rPr>
          <w:rFonts w:ascii="Arial" w:hAnsi="Arial" w:cs="Arial"/>
          <w:b/>
          <w:sz w:val="26"/>
          <w:szCs w:val="26"/>
          <w:lang w:eastAsia="en-US"/>
        </w:rPr>
        <w:t>Grasas saturadas</w:t>
      </w:r>
      <w:r w:rsidR="005D525A">
        <w:rPr>
          <w:rFonts w:ascii="Arial" w:hAnsi="Arial" w:cs="Arial"/>
          <w:b/>
          <w:sz w:val="26"/>
          <w:szCs w:val="26"/>
          <w:lang w:eastAsia="en-US"/>
        </w:rPr>
        <w:t>.</w:t>
      </w:r>
    </w:p>
    <w:p w14:paraId="1A654EF1"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20) Una Delegación expresó la opinión que la declaración de grasas saturadas no debería ser obligatoria puesto que podría estar en conflicto con el párrafo 3.4.7 de las Directrices de Etiquetado Nutricional y que podría confundir a los consumidores, pues no todas las grasas saturadas tienen el mismo efecto, y que debería conducirse una evaluación apropiada de riesgos antes de hacer obligatoria la declaración de grasas saturadas.</w:t>
      </w:r>
    </w:p>
    <w:p w14:paraId="3B9231E4"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21) Otras Delegaciones indicaron que las grasas saturadas eran importantes del punto de vista de la salud pública, lo que estaba enfatizado en la Estrategia Mundial sobre Régimen Alimentario, Actividad Física y Salud de la OMS y apoyado científicamente por el Informe Técnico 916 de la OMS sobre Dieta, Nutrición y Prevención de las Enfermedades Crónicas. Se mencionó que cumplía con todos los criterios y que el etiquetado era complementario a otras actividades tales como la educación de los consumidores.</w:t>
      </w:r>
    </w:p>
    <w:p w14:paraId="7290D676"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 xml:space="preserve">22) </w:t>
      </w:r>
      <w:r w:rsidRPr="00C67536">
        <w:rPr>
          <w:rFonts w:ascii="Arial" w:hAnsi="Arial" w:cs="Arial"/>
          <w:b/>
          <w:sz w:val="26"/>
          <w:szCs w:val="26"/>
          <w:lang w:eastAsia="en-US"/>
        </w:rPr>
        <w:t>El Comité acordó añadir las grasas saturadas a la lista.</w:t>
      </w:r>
    </w:p>
    <w:p w14:paraId="39805684" w14:textId="4C9074DE" w:rsidR="00D76675" w:rsidRPr="00C67536" w:rsidRDefault="00D76675" w:rsidP="00D76675">
      <w:pPr>
        <w:ind w:left="567" w:right="567"/>
        <w:jc w:val="both"/>
        <w:rPr>
          <w:rFonts w:ascii="Arial" w:hAnsi="Arial" w:cs="Arial"/>
          <w:b/>
          <w:sz w:val="26"/>
          <w:szCs w:val="26"/>
          <w:lang w:eastAsia="en-US"/>
        </w:rPr>
      </w:pPr>
      <w:r w:rsidRPr="00C67536">
        <w:rPr>
          <w:rFonts w:ascii="Arial" w:hAnsi="Arial" w:cs="Arial"/>
          <w:b/>
          <w:sz w:val="26"/>
          <w:szCs w:val="26"/>
          <w:lang w:eastAsia="en-US"/>
        </w:rPr>
        <w:t>Ácidos grasos trans (AGTs)</w:t>
      </w:r>
      <w:r w:rsidR="005D525A">
        <w:rPr>
          <w:rFonts w:ascii="Arial" w:hAnsi="Arial" w:cs="Arial"/>
          <w:b/>
          <w:sz w:val="26"/>
          <w:szCs w:val="26"/>
          <w:lang w:eastAsia="en-US"/>
        </w:rPr>
        <w:t>.</w:t>
      </w:r>
    </w:p>
    <w:p w14:paraId="0B83E44B"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23) Varias Delegaciones, aunque reconociendo la importancia para la salud pública de los ácidos grasos trans, no estuvieron de acuerdo con su inclusión pues estos no son nutrientes que causen preocupación en sus respectivos países, y que se han tomado medidas para reducir el uso de los ácidos grasos trans por parte de los elaboradores y su insumo por parte de los consumidores.  Estas Delegaciones prefirieron dejar la flexibilidad en manos de los gobiernos nacionales para la inclusión de los ácidos grasos trans en las etiquetas nutricionales.</w:t>
      </w:r>
    </w:p>
    <w:p w14:paraId="5DD9B8A8" w14:textId="63A573F9"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24) Varias otras Delegaciones y observadores fueron de la opinión que los ácidos grasos trans cumplían con todos los criterios para su inclusión y que era importante una declaración de tanto los ácidos grasos trans como de las grasas saturadas para asegurarse que los consumidores no substituyan un nutriente por otro. Varios observadores enfatizaron la importancia de la información sobre los ácidos grasos trans para las mujeres durante el período de gestación y lactancia, porque los ácidos grasos trans podrían reducir el consumo de las madres lactantes de ácidos grasos esenciales y como consecuencia comprometer el crecimiento de las criaturas.</w:t>
      </w:r>
    </w:p>
    <w:p w14:paraId="048DF3B4"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25) El Comité tomó nota de la información proveída por la OMS de que los documentos de antecedentes científicos y los resultados de la actualización científica de la OMS respecto a las consecuencias para la salud de los AGTs estará disponible el 11 de mayo de 2009 en el European Journal of Clinical Nutrition (Volumen 63, suplemento 2) y que la propuesta de la OMS de que el Comité considere una nota a píe de página al párrafo 3.2.1.4 para indicar que en los países en cuyas dietas más del 1% de la energía total proviene de los AGTs deberían considerar la declaración de dichos AGTs en el etiquetado nutricional.</w:t>
      </w:r>
    </w:p>
    <w:p w14:paraId="54CAFEBB" w14:textId="4D1605B8"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 xml:space="preserve">26) Tomando en cuenta la información proveída por la OMS, </w:t>
      </w:r>
      <w:r w:rsidRPr="00C67536">
        <w:rPr>
          <w:rFonts w:ascii="Arial" w:hAnsi="Arial" w:cs="Arial"/>
          <w:b/>
          <w:sz w:val="26"/>
          <w:szCs w:val="26"/>
          <w:lang w:eastAsia="en-US"/>
        </w:rPr>
        <w:t>el Comité acordó mantener los AGTs entre corchetes</w:t>
      </w:r>
      <w:r w:rsidRPr="00C67536">
        <w:rPr>
          <w:rFonts w:ascii="Arial" w:hAnsi="Arial" w:cs="Arial"/>
          <w:bCs/>
          <w:sz w:val="26"/>
          <w:szCs w:val="26"/>
          <w:lang w:eastAsia="en-US"/>
        </w:rPr>
        <w:t>. Mayores comentarios respecto a la inclusión de los AGTs serán solicitados por medio de una carta circular que también incluirá información respecto a la actualización científica de la OMS. 5 CRD 21 ALINORM 09/32/22</w:t>
      </w:r>
      <w:r w:rsidR="00564C00">
        <w:rPr>
          <w:rFonts w:ascii="Arial" w:hAnsi="Arial" w:cs="Arial"/>
          <w:bCs/>
          <w:sz w:val="26"/>
          <w:szCs w:val="26"/>
          <w:lang w:eastAsia="en-US"/>
        </w:rPr>
        <w:t>.</w:t>
      </w:r>
    </w:p>
    <w:p w14:paraId="0A9B2A92" w14:textId="5AE63898"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
          <w:sz w:val="26"/>
          <w:szCs w:val="26"/>
          <w:lang w:eastAsia="en-US"/>
        </w:rPr>
        <w:t>Sodio (sal)</w:t>
      </w:r>
      <w:r w:rsidR="00564C00">
        <w:rPr>
          <w:rFonts w:ascii="Arial" w:hAnsi="Arial" w:cs="Arial"/>
          <w:b/>
          <w:sz w:val="26"/>
          <w:szCs w:val="26"/>
          <w:lang w:eastAsia="en-US"/>
        </w:rPr>
        <w:t>.</w:t>
      </w:r>
    </w:p>
    <w:p w14:paraId="7DBCE652"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27) Muchas Delegaciones y un observador, aunque reconociendo la importancia del sodio para la salud pública, declararon que este término no se entendía bien por los consumidores y propusieron usar el término “sal” para la declaración en la etiqueta.  Reiteraron la importancia del etiquetado nutricional para ayudar a los consumidores a realizar elecciones informadas y la necesidad de usar terminología que sea fácilmente comprensible.</w:t>
      </w:r>
    </w:p>
    <w:p w14:paraId="52DCDC56"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28) Muchas otras Delegaciones y observadores expresaron la opinión de que el sodio debería ser incluido en la lista, puesto que el objetivo de salud pública de la Estrategia Global era reducir el insumo de sodio, el término era el correcto desde un punto científico y analítico, se utilizaba en la legislación nacional, y que la educación de los consumidores era clave en ayudar a los consumidores a realizar elecciones informadas.  Estas Delegaciones indicaron además la necesidad de diferenciar entre el etiquetado de nutrientes y el etiquetado de ingredientes, y que la sal sería listada más apropiadamente como un ingrediente.</w:t>
      </w:r>
    </w:p>
    <w:p w14:paraId="7DFDB584"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 xml:space="preserve">29) Varias Delegaciones, aunque apoyando el uso del término sal, al ser este mejor entendido por los consumidores, propusieron retener ambos términos entre corchetes para mayores consideraciones, Se indicó además que debería darse consideración a proveer un factor de conversión para convertir el sodio a sal y el uso de una equivalencia de sal. </w:t>
      </w:r>
    </w:p>
    <w:p w14:paraId="092986D6" w14:textId="77777777" w:rsidR="00D76675" w:rsidRPr="00C67536" w:rsidRDefault="00D76675" w:rsidP="00D76675">
      <w:pPr>
        <w:ind w:left="567" w:right="567"/>
        <w:jc w:val="both"/>
        <w:rPr>
          <w:rFonts w:ascii="Arial" w:hAnsi="Arial" w:cs="Arial"/>
          <w:bCs/>
          <w:sz w:val="26"/>
          <w:szCs w:val="26"/>
          <w:lang w:eastAsia="en-US"/>
        </w:rPr>
      </w:pPr>
      <w:r w:rsidRPr="00C67536">
        <w:rPr>
          <w:rFonts w:ascii="Arial" w:hAnsi="Arial" w:cs="Arial"/>
          <w:bCs/>
          <w:sz w:val="26"/>
          <w:szCs w:val="26"/>
          <w:lang w:eastAsia="en-US"/>
        </w:rPr>
        <w:t xml:space="preserve">30) </w:t>
      </w:r>
      <w:r w:rsidRPr="00C67536">
        <w:rPr>
          <w:rFonts w:ascii="Arial" w:hAnsi="Arial" w:cs="Arial"/>
          <w:b/>
          <w:sz w:val="26"/>
          <w:szCs w:val="26"/>
          <w:lang w:eastAsia="en-US"/>
        </w:rPr>
        <w:t>El Comité indicó que había consenso sobre la importancia del nutriente sodio/sal y que debería incluirse en la lista</w:t>
      </w:r>
      <w:r w:rsidRPr="00C67536">
        <w:rPr>
          <w:rFonts w:ascii="Arial" w:hAnsi="Arial" w:cs="Arial"/>
          <w:bCs/>
          <w:sz w:val="26"/>
          <w:szCs w:val="26"/>
          <w:lang w:eastAsia="en-US"/>
        </w:rPr>
        <w:t>, pero debido a la diversidad de opiniones sobre cuál término usar, el Comité acordó retener sodio/sal entre corchetes y establecer un grupo electrónico de trabajo, liderado por la Delegación de Nueva Zelanda, trabajando solo en inglés, y abierto a todos los miembros y observadores con los siguientes términos de referencia:</w:t>
      </w:r>
    </w:p>
    <w:p w14:paraId="19267937" w14:textId="77777777" w:rsidR="00D76675" w:rsidRPr="00C67536" w:rsidRDefault="00D76675" w:rsidP="00D76675">
      <w:pPr>
        <w:ind w:left="567" w:right="567"/>
        <w:jc w:val="both"/>
        <w:rPr>
          <w:rFonts w:ascii="Arial" w:hAnsi="Arial" w:cs="Arial"/>
          <w:b/>
          <w:sz w:val="26"/>
          <w:szCs w:val="26"/>
          <w:lang w:eastAsia="en-US"/>
        </w:rPr>
      </w:pPr>
      <w:r w:rsidRPr="00C67536">
        <w:rPr>
          <w:rFonts w:ascii="Arial" w:hAnsi="Arial" w:cs="Arial"/>
          <w:bCs/>
          <w:sz w:val="26"/>
          <w:szCs w:val="26"/>
          <w:lang w:eastAsia="en-US"/>
        </w:rPr>
        <w:t>…</w:t>
      </w:r>
    </w:p>
    <w:p w14:paraId="7404F2AB" w14:textId="1271207B" w:rsidR="00D76675" w:rsidRPr="00C67536" w:rsidRDefault="00D76675" w:rsidP="00D76675">
      <w:pPr>
        <w:ind w:left="567" w:right="567"/>
        <w:jc w:val="both"/>
        <w:rPr>
          <w:rFonts w:ascii="Arial" w:hAnsi="Arial" w:cs="Arial"/>
          <w:b/>
          <w:sz w:val="26"/>
          <w:szCs w:val="26"/>
          <w:lang w:eastAsia="en-US"/>
        </w:rPr>
      </w:pPr>
      <w:r w:rsidRPr="00C67536">
        <w:rPr>
          <w:rFonts w:ascii="Arial" w:hAnsi="Arial" w:cs="Arial"/>
          <w:b/>
          <w:sz w:val="26"/>
          <w:szCs w:val="26"/>
          <w:lang w:eastAsia="en-US"/>
        </w:rPr>
        <w:t>Azúcares totales / azúcares añadidos</w:t>
      </w:r>
      <w:r w:rsidR="00C41093">
        <w:rPr>
          <w:rFonts w:ascii="Arial" w:hAnsi="Arial" w:cs="Arial"/>
          <w:b/>
          <w:sz w:val="26"/>
          <w:szCs w:val="26"/>
          <w:lang w:eastAsia="en-US"/>
        </w:rPr>
        <w:t>.</w:t>
      </w:r>
    </w:p>
    <w:p w14:paraId="7CDE7318"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31) Varias Delegaciones y observadores expresaron su preferencia por la inclusión de azúcares totales en vez de azúcares añadidos, indicando que el organismo no diferencia fisiológicamente entre ambas; es difícil diferenciar analíticamente entre azúcares intrínsecos y extrínsecos, lo que pudiera crear dificultades para hacerlas cumplir; que su declaración era importante para ciertas poblaciones, tales como los diabéticos y que los azúcares añadidos podían ser abordados por otros medios, tales como su inclusión en las listas de ingredientes.</w:t>
      </w:r>
    </w:p>
    <w:p w14:paraId="7CF24BFD"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32) Varias otras Delegaciones y una organización observadora indicaron que la Estrategia Global de la OMS recomendaba limitar el insumo de azúcares libres. Ellas propusieron retener ambos entre corchetes para mayores deliberaciones, mientras que otros propusieron incluir los azúcares totales en la lista, aunque reteniendo los azúcares añadidos entre corchetes para su mayor consideración en base a su interpretación de la declaración de la OMS, tal como está incluida en el CRD 21. Un miembro y varios observadores indicaron que la declaración ayudaría a los consumidores a realizar elecciones alimentarias que resultarían en la reducción del insumo de alimentos altos en azúcares extrínsecos o añadidos.</w:t>
      </w:r>
    </w:p>
    <w:p w14:paraId="765A14E1"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33) Una delegación indicó la necesidad de poseer una definición en común para el azúcar añadido que cubra todo tipo de ingredientes añadidos para propósitos edulcorantes.</w:t>
      </w:r>
    </w:p>
    <w:p w14:paraId="78DFF232"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34) Se indicó que otras formas de verificación del cumplimiento, otras que los métodos analíticos, podrían ser usadas, tales como los sistemas internos del control por parte de los productores en combinación con inspecciones.</w:t>
      </w:r>
    </w:p>
    <w:p w14:paraId="425B6F1C"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 xml:space="preserve">35) El Comité notó la siguiente información que fue proveída por la OMS en un correo electrónico: </w:t>
      </w:r>
      <w:r w:rsidRPr="00C67536">
        <w:rPr>
          <w:rFonts w:ascii="Arial" w:hAnsi="Arial" w:cs="Arial"/>
          <w:b/>
          <w:bCs/>
          <w:sz w:val="26"/>
          <w:szCs w:val="26"/>
          <w:lang w:eastAsia="en-US"/>
        </w:rPr>
        <w:t>La OMS reconoce que los azúcares totales son la única manera práctica de etiquetar el contendido de azúcares en los alimentos pues los azúcares añadidos no pueden ser distinguidos analíticamente de los azúcares intrínsecos.</w:t>
      </w:r>
      <w:r w:rsidRPr="00C67536">
        <w:rPr>
          <w:rFonts w:ascii="Arial" w:hAnsi="Arial" w:cs="Arial"/>
          <w:sz w:val="26"/>
          <w:szCs w:val="26"/>
          <w:lang w:eastAsia="en-US"/>
        </w:rPr>
        <w:t xml:space="preserve"> Si el Comité desea incluir tanto los azúcares totales como los azúcares añadidos, eso sería aceptable, aunque no estamos seguros sobre los beneficios. Pero si están debatiendo elegir entre los azúcares totales y los azúcares añadidos, entonces deberían elegirse los azúcares totales.</w:t>
      </w:r>
    </w:p>
    <w:p w14:paraId="48C26441"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36) En vista de la falta de consenso y de la gama de opiniones, el Comité acordó retener tanto los azúcares totales, como los azúcares añadidos entre corchetes para mayores consideraciones.</w:t>
      </w:r>
    </w:p>
    <w:p w14:paraId="648CFEB5" w14:textId="18F7D7E4" w:rsidR="00D76675" w:rsidRPr="00C67536" w:rsidRDefault="00D76675" w:rsidP="00D76675">
      <w:pPr>
        <w:ind w:left="567" w:right="567"/>
        <w:jc w:val="both"/>
        <w:rPr>
          <w:rFonts w:ascii="Arial" w:hAnsi="Arial" w:cs="Arial"/>
          <w:b/>
          <w:bCs/>
          <w:sz w:val="26"/>
          <w:szCs w:val="26"/>
          <w:lang w:eastAsia="en-US"/>
        </w:rPr>
      </w:pPr>
      <w:r w:rsidRPr="00C67536">
        <w:rPr>
          <w:rFonts w:ascii="Arial" w:hAnsi="Arial" w:cs="Arial"/>
          <w:b/>
          <w:bCs/>
          <w:sz w:val="26"/>
          <w:szCs w:val="26"/>
          <w:lang w:eastAsia="en-US"/>
        </w:rPr>
        <w:t>Fibra dietética</w:t>
      </w:r>
      <w:r w:rsidR="00C41093">
        <w:rPr>
          <w:rFonts w:ascii="Arial" w:hAnsi="Arial" w:cs="Arial"/>
          <w:b/>
          <w:bCs/>
          <w:sz w:val="26"/>
          <w:szCs w:val="26"/>
          <w:lang w:eastAsia="en-US"/>
        </w:rPr>
        <w:t>.</w:t>
      </w:r>
    </w:p>
    <w:p w14:paraId="10145194"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37) Varias Delegaciones se opusieron a la inclusión de la fibra dietética puesto que no era un nutriente identificado en la Estrategia Global y los métodos de análisis estaban aún siendo considerados en el CCNFSDU siendo de la opinión que sería más apropiado dejar esto a la legislación nacional.</w:t>
      </w:r>
    </w:p>
    <w:p w14:paraId="768A5CD9"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38) Otras Delegaciones propusieron retener la fibra dietética entre corchetes notando su importancia para la salud y la necesidad de los consumidores de realizar mejores elecciones alimentarias.</w:t>
      </w:r>
    </w:p>
    <w:p w14:paraId="3518F8FA"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39) Varias Delegaciones notaron que este asunto podría ser abordado por su propuesta previa de tener una lista básica y una suplementaria de nutrientes y propusieron retener la fibra dietética entre corchetes hasta que se tomara decisión sobre este punto.</w:t>
      </w:r>
    </w:p>
    <w:p w14:paraId="1A146A4F"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 xml:space="preserve">40) Tomando nota de la discusión, el Comité acordó </w:t>
      </w:r>
      <w:r w:rsidRPr="00C67536">
        <w:rPr>
          <w:rFonts w:ascii="Arial" w:hAnsi="Arial" w:cs="Arial"/>
          <w:b/>
          <w:bCs/>
          <w:sz w:val="26"/>
          <w:szCs w:val="26"/>
          <w:lang w:eastAsia="en-US"/>
        </w:rPr>
        <w:t>retener la fibra dietética entre corchetes</w:t>
      </w:r>
      <w:r w:rsidRPr="00C67536">
        <w:rPr>
          <w:rFonts w:ascii="Arial" w:hAnsi="Arial" w:cs="Arial"/>
          <w:sz w:val="26"/>
          <w:szCs w:val="26"/>
          <w:lang w:eastAsia="en-US"/>
        </w:rPr>
        <w:t xml:space="preserve"> y solicitar comentarios sobre la justificación para la retención o eliminación de la fibra dietética para mayores consideraciones durante la siguiente sesión.</w:t>
      </w:r>
    </w:p>
    <w:p w14:paraId="1C3F2A39" w14:textId="700F385B" w:rsidR="00D76675" w:rsidRPr="00C67536" w:rsidRDefault="00D76675" w:rsidP="00D76675">
      <w:pPr>
        <w:ind w:left="567" w:right="567"/>
        <w:jc w:val="both"/>
        <w:rPr>
          <w:rFonts w:ascii="Arial" w:hAnsi="Arial" w:cs="Arial"/>
          <w:sz w:val="26"/>
          <w:szCs w:val="26"/>
          <w:lang w:eastAsia="en-US"/>
        </w:rPr>
      </w:pPr>
      <w:r w:rsidRPr="00C67536">
        <w:rPr>
          <w:rFonts w:ascii="Arial" w:hAnsi="Arial" w:cs="Arial"/>
          <w:b/>
          <w:bCs/>
          <w:sz w:val="26"/>
          <w:szCs w:val="26"/>
          <w:lang w:eastAsia="en-US"/>
        </w:rPr>
        <w:t>Colesterol</w:t>
      </w:r>
      <w:r w:rsidR="00C41093">
        <w:rPr>
          <w:rFonts w:ascii="Arial" w:hAnsi="Arial" w:cs="Arial"/>
          <w:sz w:val="26"/>
          <w:szCs w:val="26"/>
          <w:lang w:eastAsia="en-US"/>
        </w:rPr>
        <w:t>.</w:t>
      </w:r>
    </w:p>
    <w:p w14:paraId="3E439829"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41) El Comité estuvo de acuerdo con las conclusiones del grupo de trabajo que el colesterol no debería ser añadido a la lista.</w:t>
      </w:r>
    </w:p>
    <w:p w14:paraId="4231335D" w14:textId="12F1E948" w:rsidR="00D76675" w:rsidRPr="00C67536" w:rsidRDefault="00D76675" w:rsidP="00D76675">
      <w:pPr>
        <w:ind w:left="567" w:right="567"/>
        <w:jc w:val="both"/>
        <w:rPr>
          <w:rFonts w:ascii="Arial" w:hAnsi="Arial" w:cs="Arial"/>
          <w:b/>
          <w:sz w:val="26"/>
          <w:szCs w:val="26"/>
          <w:lang w:eastAsia="en-US"/>
        </w:rPr>
      </w:pPr>
      <w:r w:rsidRPr="00C67536">
        <w:rPr>
          <w:rFonts w:ascii="Arial" w:hAnsi="Arial" w:cs="Arial"/>
          <w:b/>
          <w:sz w:val="26"/>
          <w:szCs w:val="26"/>
          <w:lang w:eastAsia="en-US"/>
        </w:rPr>
        <w:t>Asuntos referidos al CCNFSDU</w:t>
      </w:r>
      <w:r w:rsidR="00C41093">
        <w:rPr>
          <w:rFonts w:ascii="Arial" w:hAnsi="Arial" w:cs="Arial"/>
          <w:b/>
          <w:sz w:val="26"/>
          <w:szCs w:val="26"/>
          <w:lang w:eastAsia="en-US"/>
        </w:rPr>
        <w:t>.</w:t>
      </w:r>
    </w:p>
    <w:p w14:paraId="748C41C9"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42) El Comité acordó referir al CCNFSDU las siguientes solicitudes para su consideración:</w:t>
      </w:r>
    </w:p>
    <w:p w14:paraId="43C4B567"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 Inclusión de grasa saturada y sodio en relación con los valores de referencia nutriente para los nutrientes asociados con el riesgo de las enfermedades no transmisibles;</w:t>
      </w:r>
    </w:p>
    <w:p w14:paraId="6C701425" w14:textId="77777777" w:rsidR="00D76675" w:rsidRPr="00C67536" w:rsidRDefault="00D76675" w:rsidP="00D76675">
      <w:pPr>
        <w:ind w:left="567" w:right="567"/>
        <w:jc w:val="both"/>
        <w:rPr>
          <w:rFonts w:ascii="Arial" w:hAnsi="Arial" w:cs="Arial"/>
          <w:sz w:val="26"/>
          <w:szCs w:val="26"/>
          <w:lang w:eastAsia="en-US"/>
        </w:rPr>
      </w:pPr>
      <w:r w:rsidRPr="00C67536">
        <w:rPr>
          <w:rFonts w:ascii="Arial" w:hAnsi="Arial" w:cs="Arial"/>
          <w:sz w:val="26"/>
          <w:szCs w:val="26"/>
          <w:lang w:eastAsia="en-US"/>
        </w:rPr>
        <w:t>• Establecimiento de declaraciones de propiedades para ser usadas en el etiquetado referente a la sal, los ácidos grasos trans y los azúcares añadidos;</w:t>
      </w:r>
    </w:p>
    <w:p w14:paraId="343F3680" w14:textId="22C1C694" w:rsidR="00D76675" w:rsidRPr="00C67536" w:rsidRDefault="00D76675" w:rsidP="00F84BE5">
      <w:pPr>
        <w:pStyle w:val="corte4fondo"/>
        <w:spacing w:line="240" w:lineRule="auto"/>
        <w:ind w:left="567" w:firstLine="0"/>
        <w:rPr>
          <w:rFonts w:eastAsiaTheme="minorHAnsi" w:cs="Arial"/>
          <w:bCs/>
          <w:sz w:val="28"/>
          <w:szCs w:val="28"/>
          <w:lang w:eastAsia="en-US"/>
        </w:rPr>
      </w:pPr>
      <w:r w:rsidRPr="00C67536">
        <w:rPr>
          <w:rFonts w:cs="Arial"/>
          <w:sz w:val="26"/>
          <w:szCs w:val="26"/>
          <w:lang w:eastAsia="en-US"/>
        </w:rPr>
        <w:t>• Desarrollo de principios para que los países evalúen el criterio número 1 “la capacidad del etiquetado nutricional de responder a asuntos de salud pública” cuando estén abordando el tema de balancear asuntos nacionales y mundiales de salud.”</w:t>
      </w:r>
    </w:p>
    <w:p w14:paraId="16D6DE84" w14:textId="77777777" w:rsidR="00D76675" w:rsidRPr="00C67536" w:rsidRDefault="00D76675" w:rsidP="00D76675">
      <w:pPr>
        <w:pStyle w:val="ListParagraph"/>
        <w:rPr>
          <w:rFonts w:cs="Arial"/>
          <w:sz w:val="28"/>
          <w:szCs w:val="28"/>
        </w:rPr>
      </w:pPr>
    </w:p>
    <w:p w14:paraId="25A70961" w14:textId="77777777" w:rsidR="00F84BE5"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Así, en la reunión en comento se agregaron y decidió que permanecieran varios ingredientes que se debían ilustrarse en la lista e en los sistemas de etiquetado. </w:t>
      </w:r>
    </w:p>
    <w:p w14:paraId="1A18E020" w14:textId="77777777" w:rsidR="00F84BE5" w:rsidRPr="00C67536" w:rsidRDefault="00F84BE5" w:rsidP="00F84BE5">
      <w:pPr>
        <w:pStyle w:val="corte4fondo"/>
        <w:ind w:firstLine="0"/>
        <w:rPr>
          <w:rFonts w:eastAsiaTheme="minorHAnsi" w:cs="Arial"/>
          <w:bCs/>
          <w:sz w:val="28"/>
          <w:szCs w:val="28"/>
          <w:lang w:eastAsia="en-US"/>
        </w:rPr>
      </w:pPr>
    </w:p>
    <w:p w14:paraId="15911CD9" w14:textId="77777777" w:rsidR="00FD46FE"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lang w:val="es-ES"/>
        </w:rPr>
        <w:t xml:space="preserve">Recapitulando, la Organización de las Naciones Unidas para la Alimentación y la Agricultura (FAO) en conjunto con la </w:t>
      </w:r>
      <w:r w:rsidRPr="00C67536">
        <w:rPr>
          <w:rFonts w:cs="Arial"/>
          <w:sz w:val="28"/>
          <w:szCs w:val="28"/>
        </w:rPr>
        <w:t xml:space="preserve">Organización Mundial de la Salud (OMS), establecieron, a través de la Comisión del Codex </w:t>
      </w:r>
      <w:proofErr w:type="spellStart"/>
      <w:r w:rsidRPr="00C67536">
        <w:rPr>
          <w:rFonts w:cs="Arial"/>
          <w:sz w:val="28"/>
          <w:szCs w:val="28"/>
        </w:rPr>
        <w:t>Alimentarius</w:t>
      </w:r>
      <w:proofErr w:type="spellEnd"/>
      <w:r w:rsidRPr="00C67536">
        <w:rPr>
          <w:rFonts w:cs="Arial"/>
          <w:sz w:val="28"/>
          <w:szCs w:val="28"/>
        </w:rPr>
        <w:t>, un Código Alimentario cuya finalidad es justamente proteger la salud de los consumidores y promover prácticas leales en el comercio alimentario.</w:t>
      </w:r>
    </w:p>
    <w:p w14:paraId="7B0C704B" w14:textId="77777777" w:rsidR="00FD46FE" w:rsidRPr="00C67536" w:rsidRDefault="00FD46FE" w:rsidP="00FD46FE">
      <w:pPr>
        <w:pStyle w:val="ListParagraph"/>
        <w:rPr>
          <w:rFonts w:cs="Arial"/>
          <w:sz w:val="28"/>
          <w:szCs w:val="28"/>
        </w:rPr>
      </w:pPr>
    </w:p>
    <w:p w14:paraId="70446696" w14:textId="77777777" w:rsidR="00D26CF1"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Sobre estas premisas, al constituir recomendaciones para la aplicación voluntaria por parte de sus miembros, sus normas son aptas para ser consideradas como base de las legislaciones nacionales; de tal manera que conviene que los etiquetados nutrimentales referidos en dicho Codex destaquen la información necesaria que </w:t>
      </w:r>
      <w:r w:rsidRPr="00C67536">
        <w:rPr>
          <w:rFonts w:eastAsiaTheme="minorHAnsi" w:cs="Arial"/>
          <w:color w:val="000000"/>
          <w:sz w:val="28"/>
          <w:szCs w:val="28"/>
          <w:lang w:val="es-MX" w:eastAsia="en-US"/>
        </w:rPr>
        <w:t>no deberá describirse ni presentarse en una forma que sea falsa, equívoca o engañosa, o susceptible de crear en modo alguno una impresión errónea respecto de su naturaleza en ningún aspecto.</w:t>
      </w:r>
    </w:p>
    <w:p w14:paraId="0B208194" w14:textId="77777777" w:rsidR="00D26CF1" w:rsidRPr="00C67536" w:rsidRDefault="00D26CF1" w:rsidP="00D26CF1">
      <w:pPr>
        <w:pStyle w:val="ListParagraph"/>
        <w:rPr>
          <w:rFonts w:eastAsiaTheme="minorHAnsi" w:cs="Arial"/>
          <w:color w:val="000000"/>
          <w:sz w:val="28"/>
          <w:szCs w:val="28"/>
          <w:lang w:eastAsia="en-US"/>
        </w:rPr>
      </w:pPr>
    </w:p>
    <w:p w14:paraId="122BF246" w14:textId="77777777" w:rsidR="003E2E19"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color w:val="000000"/>
          <w:sz w:val="28"/>
          <w:szCs w:val="28"/>
          <w:lang w:val="es-MX" w:eastAsia="en-US"/>
        </w:rPr>
        <w:t>Así, el etiquetado nutrimental además de que es recomendable que se apegue al Codex Alimentarius, debe proporcionar una información veraz del contenido de un producto, declarando por porción, ya que se trata de una medida de consumo y referencia para el consumidor.</w:t>
      </w:r>
    </w:p>
    <w:p w14:paraId="3AFA2F70" w14:textId="77777777" w:rsidR="003E2E19" w:rsidRPr="00C67536" w:rsidRDefault="003E2E19" w:rsidP="003E2E19">
      <w:pPr>
        <w:pStyle w:val="ListParagraph"/>
        <w:rPr>
          <w:rFonts w:eastAsiaTheme="minorHAnsi" w:cs="Arial"/>
          <w:color w:val="000000"/>
          <w:sz w:val="28"/>
          <w:szCs w:val="28"/>
          <w:lang w:eastAsia="en-US"/>
        </w:rPr>
      </w:pPr>
    </w:p>
    <w:p w14:paraId="4B0D022D" w14:textId="77777777" w:rsidR="003E2E19"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color w:val="000000"/>
          <w:sz w:val="28"/>
          <w:szCs w:val="28"/>
          <w:lang w:val="es-MX" w:eastAsia="en-US"/>
        </w:rPr>
        <w:t>Además, l</w:t>
      </w:r>
      <w:r w:rsidRPr="00C67536">
        <w:rPr>
          <w:rFonts w:cs="Arial"/>
          <w:sz w:val="28"/>
          <w:szCs w:val="28"/>
        </w:rPr>
        <w:t>os datos que deben aparecer en la etiqueta deberán indicarse con caracteres claros, visibles, indelebles y fáciles de leer por el consumidor en circunstancias normales de compra y uso.</w:t>
      </w:r>
    </w:p>
    <w:p w14:paraId="4D196332" w14:textId="77777777" w:rsidR="003E2E19" w:rsidRPr="00C67536" w:rsidRDefault="003E2E19" w:rsidP="003E2E19">
      <w:pPr>
        <w:pStyle w:val="ListParagraph"/>
        <w:rPr>
          <w:rFonts w:cs="Arial"/>
          <w:sz w:val="28"/>
          <w:szCs w:val="28"/>
        </w:rPr>
      </w:pPr>
    </w:p>
    <w:p w14:paraId="0A0E5F83" w14:textId="77777777" w:rsidR="00C467A5"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lang w:val="es-MX"/>
        </w:rPr>
        <w:t>Entre los nutrientes que deben contener las etiquetas visibles para el consumidor se encuentran: proteínas, carbohidratos, grasas, grasas saturadas, sodio, entre otros.</w:t>
      </w:r>
    </w:p>
    <w:p w14:paraId="6472DB6F" w14:textId="77777777" w:rsidR="00C467A5" w:rsidRPr="00C67536" w:rsidRDefault="00C467A5" w:rsidP="00C467A5">
      <w:pPr>
        <w:pStyle w:val="ListParagraph"/>
        <w:rPr>
          <w:rFonts w:cs="Arial"/>
          <w:sz w:val="28"/>
          <w:szCs w:val="28"/>
        </w:rPr>
      </w:pPr>
    </w:p>
    <w:p w14:paraId="471CA910" w14:textId="77777777" w:rsidR="00C467A5"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Pero, dichas reglas son relativos al sistema general de etiquetado de los alimentos preenvasados, no así en especificó sobre el etiquetado frontal.</w:t>
      </w:r>
    </w:p>
    <w:p w14:paraId="318EABEC" w14:textId="77777777" w:rsidR="00C467A5" w:rsidRPr="00C67536" w:rsidRDefault="00C467A5" w:rsidP="00C467A5">
      <w:pPr>
        <w:pStyle w:val="ListParagraph"/>
        <w:rPr>
          <w:rFonts w:cs="Arial"/>
          <w:b/>
          <w:bCs/>
          <w:sz w:val="28"/>
          <w:szCs w:val="28"/>
        </w:rPr>
      </w:pPr>
    </w:p>
    <w:p w14:paraId="6CE1CF75" w14:textId="77777777" w:rsidR="001765F6"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
          <w:bCs/>
          <w:sz w:val="28"/>
          <w:szCs w:val="28"/>
          <w:lang w:val="es-MX"/>
        </w:rPr>
        <w:t xml:space="preserve">Sistema interamericano. </w:t>
      </w:r>
      <w:r w:rsidRPr="00C67536">
        <w:rPr>
          <w:rFonts w:cs="Arial"/>
          <w:sz w:val="28"/>
          <w:szCs w:val="28"/>
          <w:lang w:val="es-MX"/>
        </w:rPr>
        <w:t>Por su parte, la Organización Panamericana de la Salud</w:t>
      </w:r>
      <w:r w:rsidRPr="00C67536">
        <w:rPr>
          <w:rStyle w:val="FootnoteReference"/>
          <w:rFonts w:cs="Arial"/>
          <w:sz w:val="28"/>
          <w:szCs w:val="28"/>
          <w:lang w:val="es-MX"/>
        </w:rPr>
        <w:footnoteReference w:id="6"/>
      </w:r>
      <w:r w:rsidRPr="00C67536">
        <w:rPr>
          <w:rFonts w:cs="Arial"/>
          <w:sz w:val="28"/>
          <w:szCs w:val="28"/>
          <w:lang w:val="es-MX"/>
        </w:rPr>
        <w:t>,</w:t>
      </w:r>
      <w:r w:rsidRPr="00C67536">
        <w:rPr>
          <w:rFonts w:cs="Arial"/>
          <w:b/>
          <w:bCs/>
          <w:sz w:val="28"/>
          <w:szCs w:val="28"/>
          <w:lang w:val="es-MX"/>
        </w:rPr>
        <w:t xml:space="preserve"> </w:t>
      </w:r>
      <w:r w:rsidRPr="00C67536">
        <w:rPr>
          <w:rFonts w:cs="Arial"/>
          <w:sz w:val="28"/>
          <w:szCs w:val="28"/>
          <w:lang w:val="es-MX"/>
        </w:rPr>
        <w:t>que es</w:t>
      </w:r>
      <w:r w:rsidRPr="00C67536">
        <w:rPr>
          <w:rFonts w:cs="Arial"/>
          <w:color w:val="333333"/>
          <w:sz w:val="28"/>
          <w:szCs w:val="28"/>
        </w:rPr>
        <w:t xml:space="preserve"> la </w:t>
      </w:r>
      <w:r w:rsidRPr="00C67536">
        <w:rPr>
          <w:rFonts w:cs="Arial"/>
          <w:sz w:val="28"/>
          <w:szCs w:val="28"/>
        </w:rPr>
        <w:t xml:space="preserve">organización internacional especializada en salud pública de las Américas, </w:t>
      </w:r>
      <w:r w:rsidRPr="00C67536">
        <w:rPr>
          <w:rFonts w:cs="Arial"/>
          <w:sz w:val="28"/>
          <w:szCs w:val="28"/>
          <w:lang w:val="es-MX"/>
        </w:rPr>
        <w:t>ha indicado que e</w:t>
      </w:r>
      <w:r w:rsidRPr="00C67536">
        <w:rPr>
          <w:rFonts w:cs="Arial"/>
          <w:sz w:val="28"/>
          <w:szCs w:val="28"/>
        </w:rPr>
        <w:t>l consumo excesivo de azúcares, grasas y sodio es un problema de salud pública que se asocia a las enfermedades no transmisibles que más afectan a la población: sobrepeso u obesidad, diabetes, hipertensión arterial, enfermedades vasculares, cardíacas, cerebrales y renales.</w:t>
      </w:r>
    </w:p>
    <w:p w14:paraId="2DE0ACDF" w14:textId="77777777" w:rsidR="001765F6" w:rsidRPr="00C41093" w:rsidRDefault="001765F6" w:rsidP="00C41093">
      <w:pPr>
        <w:rPr>
          <w:rFonts w:cs="Arial"/>
          <w:sz w:val="28"/>
          <w:szCs w:val="28"/>
        </w:rPr>
      </w:pPr>
    </w:p>
    <w:p w14:paraId="41E2CC13" w14:textId="77777777" w:rsidR="001765F6" w:rsidRPr="008102AC" w:rsidRDefault="0098078F" w:rsidP="00B144AE">
      <w:pPr>
        <w:pStyle w:val="corte4fondo"/>
        <w:numPr>
          <w:ilvl w:val="0"/>
          <w:numId w:val="15"/>
        </w:numPr>
        <w:ind w:left="0" w:hanging="567"/>
        <w:rPr>
          <w:rFonts w:eastAsiaTheme="minorHAnsi" w:cs="Arial"/>
          <w:bCs/>
          <w:sz w:val="28"/>
          <w:szCs w:val="28"/>
          <w:lang w:eastAsia="en-US"/>
        </w:rPr>
      </w:pPr>
      <w:r w:rsidRPr="008102AC">
        <w:rPr>
          <w:rFonts w:cs="Arial"/>
          <w:sz w:val="28"/>
          <w:szCs w:val="28"/>
          <w:lang w:val="es-MX"/>
        </w:rPr>
        <w:t xml:space="preserve">Por ello, la Organización Panamericana de la Salud, emitió el Modelo de Perfil de Nutrientes en el año dos mil dieciséis, que permite identificar </w:t>
      </w:r>
      <w:r w:rsidRPr="008102AC">
        <w:rPr>
          <w:rFonts w:cs="Arial"/>
          <w:sz w:val="28"/>
          <w:szCs w:val="28"/>
        </w:rPr>
        <w:t xml:space="preserve">productos que </w:t>
      </w:r>
      <w:r w:rsidRPr="008102AC">
        <w:rPr>
          <w:rFonts w:cs="Arial"/>
          <w:b/>
          <w:bCs/>
          <w:sz w:val="28"/>
          <w:szCs w:val="28"/>
        </w:rPr>
        <w:t xml:space="preserve">deben contener advertencias en el frente de los envases </w:t>
      </w:r>
      <w:r w:rsidRPr="008102AC">
        <w:rPr>
          <w:rFonts w:cs="Arial"/>
          <w:sz w:val="28"/>
          <w:szCs w:val="28"/>
        </w:rPr>
        <w:t>por su contenido excesivo de nutrientes críticos que pueden afectar la salud, del que se advierten, en lo que interesa, los siguientes puntos:</w:t>
      </w:r>
    </w:p>
    <w:p w14:paraId="34BBC11B" w14:textId="77777777" w:rsidR="001765F6" w:rsidRPr="00C67536" w:rsidRDefault="001765F6" w:rsidP="001765F6">
      <w:pPr>
        <w:pStyle w:val="ListParagraph"/>
        <w:rPr>
          <w:rFonts w:cs="Arial"/>
          <w:sz w:val="28"/>
          <w:szCs w:val="28"/>
        </w:rPr>
      </w:pPr>
    </w:p>
    <w:p w14:paraId="0E3D6CD0"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i/>
          <w:iCs/>
          <w:color w:val="211D1E"/>
          <w:sz w:val="26"/>
          <w:szCs w:val="26"/>
        </w:rPr>
      </w:pPr>
      <w:r w:rsidRPr="00C67536">
        <w:rPr>
          <w:rFonts w:ascii="Arial" w:hAnsi="Arial" w:cs="Arial"/>
          <w:color w:val="211D1E"/>
          <w:sz w:val="26"/>
          <w:szCs w:val="26"/>
        </w:rPr>
        <w:t>En octubre del 2014, los Estados Miembros reunidos en el 53º Con</w:t>
      </w:r>
      <w:r w:rsidRPr="00C67536">
        <w:rPr>
          <w:rFonts w:ascii="Arial" w:hAnsi="Arial" w:cs="Arial"/>
          <w:color w:val="211D1E"/>
          <w:sz w:val="26"/>
          <w:szCs w:val="26"/>
        </w:rPr>
        <w:softHyphen/>
        <w:t xml:space="preserve">sejo Directivo de la Organización Panamericana de la Salud (OPS) aprobaron por unanimidad el </w:t>
      </w:r>
      <w:r w:rsidRPr="00C67536">
        <w:rPr>
          <w:rFonts w:ascii="Arial" w:hAnsi="Arial" w:cs="Arial"/>
          <w:i/>
          <w:iCs/>
          <w:color w:val="211D1E"/>
          <w:sz w:val="26"/>
          <w:szCs w:val="26"/>
        </w:rPr>
        <w:t xml:space="preserve">Plan de acción para la prevención de la obesidad en la niñez y la adolescencia. </w:t>
      </w:r>
    </w:p>
    <w:p w14:paraId="658411AC"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i/>
          <w:iCs/>
          <w:color w:val="211D1E"/>
          <w:sz w:val="26"/>
          <w:szCs w:val="26"/>
        </w:rPr>
      </w:pPr>
      <w:r w:rsidRPr="00C67536">
        <w:rPr>
          <w:rFonts w:ascii="Arial" w:hAnsi="Arial" w:cs="Arial"/>
          <w:color w:val="211D1E"/>
          <w:sz w:val="26"/>
          <w:szCs w:val="26"/>
        </w:rPr>
        <w:t>En el plan de acción se da instrucciones a la OPS para que propor</w:t>
      </w:r>
      <w:r w:rsidRPr="00C67536">
        <w:rPr>
          <w:rFonts w:ascii="Arial" w:hAnsi="Arial" w:cs="Arial"/>
          <w:color w:val="211D1E"/>
          <w:sz w:val="26"/>
          <w:szCs w:val="26"/>
        </w:rPr>
        <w:softHyphen/>
        <w:t>cione información basada en la evidencia científica orientada a la formulación de políticas y reglamentaciones (tanto fiscales como de otros tipos) a fin de prevenir el consumo de alimentos poco saludables, como las relativas al etiquetado del frente del envase y guías nutricionales regionales para los alimentos en el entorno esco</w:t>
      </w:r>
      <w:r w:rsidRPr="00C67536">
        <w:rPr>
          <w:rFonts w:ascii="Arial" w:hAnsi="Arial" w:cs="Arial"/>
          <w:color w:val="211D1E"/>
          <w:sz w:val="26"/>
          <w:szCs w:val="26"/>
        </w:rPr>
        <w:softHyphen/>
        <w:t>lar.</w:t>
      </w:r>
    </w:p>
    <w:p w14:paraId="16A6D079"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El modelo de perfil de nutrientes de la OPS se basa en pruebas científicas sólidas y es el resultado del trabajo rigu</w:t>
      </w:r>
      <w:r w:rsidRPr="00C67536">
        <w:rPr>
          <w:rFonts w:ascii="Arial" w:hAnsi="Arial" w:cs="Arial"/>
          <w:color w:val="211D1E"/>
          <w:sz w:val="26"/>
          <w:szCs w:val="26"/>
        </w:rPr>
        <w:softHyphen/>
        <w:t>roso de una consulta de expertos integrado por autoridades recono</w:t>
      </w:r>
      <w:r w:rsidRPr="00C67536">
        <w:rPr>
          <w:rFonts w:ascii="Arial" w:hAnsi="Arial" w:cs="Arial"/>
          <w:color w:val="211D1E"/>
          <w:sz w:val="26"/>
          <w:szCs w:val="26"/>
        </w:rPr>
        <w:softHyphen/>
        <w:t xml:space="preserve">cidas en el campo de la nutrición. </w:t>
      </w:r>
    </w:p>
    <w:p w14:paraId="18987565"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La finalidad de tener un perfil de nutrientes</w:t>
      </w:r>
      <w:r w:rsidRPr="00C67536">
        <w:rPr>
          <w:rStyle w:val="A73"/>
          <w:rFonts w:ascii="Arial" w:hAnsi="Arial" w:cs="Arial"/>
          <w:sz w:val="26"/>
          <w:szCs w:val="26"/>
        </w:rPr>
        <w:t xml:space="preserve"> </w:t>
      </w:r>
      <w:r w:rsidRPr="00C67536">
        <w:rPr>
          <w:rFonts w:ascii="Arial" w:hAnsi="Arial" w:cs="Arial"/>
          <w:color w:val="211D1E"/>
          <w:sz w:val="26"/>
          <w:szCs w:val="26"/>
        </w:rPr>
        <w:t xml:space="preserve">es proporcionar una herramienta para clasificar los alimentos y bebidas que contienen una cantidad excesiva de azúcares libres, sal, total de grasas, grasas saturadas y ácidos grasos trans. </w:t>
      </w:r>
    </w:p>
    <w:p w14:paraId="2BDC6974"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Se encargó a la consulta de expertos, la ela</w:t>
      </w:r>
      <w:r w:rsidRPr="00C67536">
        <w:rPr>
          <w:rFonts w:ascii="Arial" w:hAnsi="Arial" w:cs="Arial"/>
          <w:color w:val="211D1E"/>
          <w:sz w:val="26"/>
          <w:szCs w:val="26"/>
        </w:rPr>
        <w:softHyphen/>
        <w:t>boración de un modelo de perfil de nutrientes para la Organización Panamericana de la Salud (OPS) que pudiera usarse como herra</w:t>
      </w:r>
      <w:r w:rsidRPr="00C67536">
        <w:rPr>
          <w:rFonts w:ascii="Arial" w:hAnsi="Arial" w:cs="Arial"/>
          <w:color w:val="211D1E"/>
          <w:sz w:val="26"/>
          <w:szCs w:val="26"/>
        </w:rPr>
        <w:softHyphen/>
        <w:t>mienta para la formulación y aplicación de diversas estrategias regla</w:t>
      </w:r>
      <w:r w:rsidRPr="00C67536">
        <w:rPr>
          <w:rFonts w:ascii="Arial" w:hAnsi="Arial" w:cs="Arial"/>
          <w:color w:val="211D1E"/>
          <w:sz w:val="26"/>
          <w:szCs w:val="26"/>
        </w:rPr>
        <w:softHyphen/>
        <w:t>mentarias relacionadas con la prevención y el control de la obesidad y el sobrepeso, entre ellas, el uso de etiquetas de advertencia en el frente del envase.</w:t>
      </w:r>
    </w:p>
    <w:p w14:paraId="41C63EBD"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Durante los últimos decenios, la obesidad, el sobrepeso y las enfermedades crónicas no transmisibles han aumen</w:t>
      </w:r>
      <w:r w:rsidRPr="00C67536">
        <w:rPr>
          <w:rFonts w:ascii="Arial" w:hAnsi="Arial" w:cs="Arial"/>
          <w:color w:val="211D1E"/>
          <w:sz w:val="26"/>
          <w:szCs w:val="26"/>
        </w:rPr>
        <w:softHyphen/>
        <w:t>tado progresivamente en todos los grupos etarios y se han conver</w:t>
      </w:r>
      <w:r w:rsidRPr="00C67536">
        <w:rPr>
          <w:rFonts w:ascii="Arial" w:hAnsi="Arial" w:cs="Arial"/>
          <w:color w:val="211D1E"/>
          <w:sz w:val="26"/>
          <w:szCs w:val="26"/>
        </w:rPr>
        <w:softHyphen/>
        <w:t>tido en la causa principal de muerte y discapacidad en la Región de las Américas (55% de todas las causas en el 2012, según las estima</w:t>
      </w:r>
      <w:r w:rsidRPr="00C67536">
        <w:rPr>
          <w:rFonts w:ascii="Arial" w:hAnsi="Arial" w:cs="Arial"/>
          <w:color w:val="211D1E"/>
          <w:sz w:val="26"/>
          <w:szCs w:val="26"/>
        </w:rPr>
        <w:softHyphen/>
        <w:t>ciones sanitarias mundiales de la OMS).</w:t>
      </w:r>
    </w:p>
    <w:p w14:paraId="6D61A9F4"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La prevalencia de la obesidad y el sobrepeso en las Américas (62% en adultos mayores de 20 años) es la más alta de todas las regiones de la OMS. La obesidad y el sobrepeso afectan a alrededor de 7 de cada 10 adultos en México, Chile y Estados Unidos. Asimismo, en los niños y los adolescentes, las tasas de prevalencia han aumentado de forma sostenida y los datos muestran que entre 20% y 25% tienen sobrepeso o son obesos.</w:t>
      </w:r>
    </w:p>
    <w:p w14:paraId="56C1F8EA"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El modelo de perfil de nutrientes de la OPS clasifica un pro</w:t>
      </w:r>
      <w:r w:rsidRPr="00C67536">
        <w:rPr>
          <w:rFonts w:ascii="Arial" w:hAnsi="Arial" w:cs="Arial"/>
          <w:color w:val="211D1E"/>
          <w:sz w:val="26"/>
          <w:szCs w:val="26"/>
        </w:rPr>
        <w:softHyphen/>
        <w:t>ducto alimenticio entre los que contienen una cantidad “</w:t>
      </w:r>
      <w:r w:rsidRPr="00C67536">
        <w:rPr>
          <w:rFonts w:ascii="Arial" w:hAnsi="Arial" w:cs="Arial"/>
          <w:b/>
          <w:bCs/>
          <w:color w:val="211D1E"/>
          <w:sz w:val="26"/>
          <w:szCs w:val="26"/>
        </w:rPr>
        <w:t>exce</w:t>
      </w:r>
      <w:r w:rsidRPr="00C67536">
        <w:rPr>
          <w:rFonts w:ascii="Arial" w:hAnsi="Arial" w:cs="Arial"/>
          <w:b/>
          <w:bCs/>
          <w:color w:val="211D1E"/>
          <w:sz w:val="26"/>
          <w:szCs w:val="26"/>
        </w:rPr>
        <w:softHyphen/>
        <w:t>siva</w:t>
      </w:r>
      <w:r w:rsidRPr="00C67536">
        <w:rPr>
          <w:rFonts w:ascii="Arial" w:hAnsi="Arial" w:cs="Arial"/>
          <w:color w:val="211D1E"/>
          <w:sz w:val="26"/>
          <w:szCs w:val="26"/>
        </w:rPr>
        <w:t xml:space="preserve">” de uno o más nutrientes </w:t>
      </w:r>
      <w:r w:rsidRPr="00C67536">
        <w:rPr>
          <w:rFonts w:ascii="Arial" w:hAnsi="Arial" w:cs="Arial"/>
          <w:b/>
          <w:bCs/>
          <w:color w:val="211D1E"/>
          <w:sz w:val="26"/>
          <w:szCs w:val="26"/>
        </w:rPr>
        <w:t>críticos si su contenido relativo de dicho nutriente o nutrientes es mayor que el nivel máximo correspondiente recomendado en las metas de ingesta de nutrientes de la población establecidas por la OMS.</w:t>
      </w:r>
    </w:p>
    <w:p w14:paraId="6A770BD6"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 xml:space="preserve">Los alimentos y bebidas que deben evaluarse con el modelo de perfil de nutrientes de la OPS </w:t>
      </w:r>
      <w:r w:rsidRPr="00C67536">
        <w:rPr>
          <w:rFonts w:ascii="Arial" w:hAnsi="Arial" w:cs="Arial"/>
          <w:b/>
          <w:bCs/>
          <w:color w:val="211D1E"/>
          <w:sz w:val="26"/>
          <w:szCs w:val="26"/>
        </w:rPr>
        <w:t>se limitan a productos procesa</w:t>
      </w:r>
      <w:r w:rsidRPr="00C67536">
        <w:rPr>
          <w:rFonts w:ascii="Arial" w:hAnsi="Arial" w:cs="Arial"/>
          <w:b/>
          <w:bCs/>
          <w:color w:val="211D1E"/>
          <w:sz w:val="26"/>
          <w:szCs w:val="26"/>
        </w:rPr>
        <w:softHyphen/>
        <w:t>dos y ultra procesados</w:t>
      </w:r>
      <w:r w:rsidRPr="00C67536">
        <w:rPr>
          <w:rFonts w:ascii="Arial" w:hAnsi="Arial" w:cs="Arial"/>
          <w:color w:val="211D1E"/>
          <w:sz w:val="26"/>
          <w:szCs w:val="26"/>
        </w:rPr>
        <w:t>, que normalmente contienen cantidades elevadas de sodio, azúcares libres, grasas saturadas, total de grasas y ácidos grasos trans añadidos por el fabricante.</w:t>
      </w:r>
    </w:p>
    <w:p w14:paraId="740E00FB" w14:textId="77777777" w:rsidR="001765F6" w:rsidRPr="00C67536" w:rsidRDefault="001765F6" w:rsidP="00B144AE">
      <w:pPr>
        <w:pStyle w:val="Pa53"/>
        <w:numPr>
          <w:ilvl w:val="0"/>
          <w:numId w:val="8"/>
        </w:numPr>
        <w:tabs>
          <w:tab w:val="left" w:pos="993"/>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 xml:space="preserve">Así, en el modelo de perfil de nutrientes de la OPS los productos procesados y ultra procesados se clasifican de la siguiente manera (Panel C): </w:t>
      </w:r>
    </w:p>
    <w:p w14:paraId="5848A122" w14:textId="77777777" w:rsidR="001765F6" w:rsidRPr="00C67536" w:rsidRDefault="001765F6" w:rsidP="00086BDA">
      <w:pPr>
        <w:pStyle w:val="Pa83"/>
        <w:numPr>
          <w:ilvl w:val="1"/>
          <w:numId w:val="8"/>
        </w:numPr>
        <w:spacing w:after="140" w:line="240" w:lineRule="auto"/>
        <w:ind w:left="1134" w:right="618" w:firstLine="0"/>
        <w:jc w:val="both"/>
        <w:rPr>
          <w:rFonts w:ascii="Arial" w:hAnsi="Arial" w:cs="Arial"/>
          <w:color w:val="211D1E"/>
          <w:sz w:val="26"/>
          <w:szCs w:val="26"/>
        </w:rPr>
      </w:pPr>
      <w:r w:rsidRPr="00C67536">
        <w:rPr>
          <w:rFonts w:ascii="Arial" w:hAnsi="Arial" w:cs="Arial"/>
          <w:b/>
          <w:bCs/>
          <w:color w:val="211D1E"/>
          <w:sz w:val="26"/>
          <w:szCs w:val="26"/>
        </w:rPr>
        <w:t>Con una cantidad excesiva de sodio</w:t>
      </w:r>
      <w:r w:rsidRPr="00C67536">
        <w:rPr>
          <w:rFonts w:ascii="Arial" w:hAnsi="Arial" w:cs="Arial"/>
          <w:color w:val="211D1E"/>
          <w:sz w:val="26"/>
          <w:szCs w:val="26"/>
        </w:rPr>
        <w:t>, si la razón entre la can</w:t>
      </w:r>
      <w:r w:rsidRPr="00C67536">
        <w:rPr>
          <w:rFonts w:ascii="Arial" w:hAnsi="Arial" w:cs="Arial"/>
          <w:color w:val="211D1E"/>
          <w:sz w:val="26"/>
          <w:szCs w:val="26"/>
        </w:rPr>
        <w:softHyphen/>
        <w:t>tidad de sodio (mg) en cualquier cantidad dada del producto y la energía (kcal) es igual o mayor a 1:1.</w:t>
      </w:r>
      <w:r w:rsidRPr="00C67536">
        <w:rPr>
          <w:rStyle w:val="A73"/>
          <w:rFonts w:ascii="Arial" w:hAnsi="Arial" w:cs="Arial"/>
          <w:sz w:val="26"/>
          <w:szCs w:val="26"/>
        </w:rPr>
        <w:t xml:space="preserve">14 </w:t>
      </w:r>
    </w:p>
    <w:p w14:paraId="755A6A3E" w14:textId="77777777" w:rsidR="001765F6" w:rsidRPr="00C67536" w:rsidRDefault="001765F6" w:rsidP="00B144AE">
      <w:pPr>
        <w:pStyle w:val="Pa83"/>
        <w:numPr>
          <w:ilvl w:val="1"/>
          <w:numId w:val="8"/>
        </w:numPr>
        <w:spacing w:after="140" w:line="240" w:lineRule="auto"/>
        <w:ind w:left="1134" w:right="567" w:firstLine="0"/>
        <w:jc w:val="both"/>
        <w:rPr>
          <w:rFonts w:ascii="Arial" w:hAnsi="Arial" w:cs="Arial"/>
          <w:color w:val="211D1E"/>
          <w:sz w:val="26"/>
          <w:szCs w:val="26"/>
        </w:rPr>
      </w:pPr>
      <w:r w:rsidRPr="00C67536">
        <w:rPr>
          <w:rFonts w:ascii="Arial" w:hAnsi="Arial" w:cs="Arial"/>
          <w:b/>
          <w:bCs/>
          <w:color w:val="211D1E"/>
          <w:sz w:val="26"/>
          <w:szCs w:val="26"/>
        </w:rPr>
        <w:t>Con una cantidad excesiva de azúcares libres</w:t>
      </w:r>
      <w:r w:rsidRPr="00C67536">
        <w:rPr>
          <w:rFonts w:ascii="Arial" w:hAnsi="Arial" w:cs="Arial"/>
          <w:color w:val="211D1E"/>
          <w:sz w:val="26"/>
          <w:szCs w:val="26"/>
        </w:rPr>
        <w:t xml:space="preserve">, si en cualquier cantidad dada del producto la cantidad de energía (kcal) proveniente de los azúcares libres (gramos de azúcares libres x 4 kcal) es igual o mayor a 10% del total de energía (kcal). </w:t>
      </w:r>
    </w:p>
    <w:p w14:paraId="28AAC503" w14:textId="77777777" w:rsidR="001765F6" w:rsidRPr="00C67536" w:rsidRDefault="001765F6" w:rsidP="00B144AE">
      <w:pPr>
        <w:pStyle w:val="Pa83"/>
        <w:numPr>
          <w:ilvl w:val="1"/>
          <w:numId w:val="8"/>
        </w:numPr>
        <w:spacing w:after="140" w:line="240" w:lineRule="auto"/>
        <w:ind w:left="1134" w:right="567" w:firstLine="0"/>
        <w:jc w:val="both"/>
        <w:rPr>
          <w:rFonts w:ascii="Arial" w:hAnsi="Arial" w:cs="Arial"/>
          <w:color w:val="211D1E"/>
          <w:sz w:val="26"/>
          <w:szCs w:val="26"/>
        </w:rPr>
      </w:pPr>
      <w:r w:rsidRPr="00C67536">
        <w:rPr>
          <w:rFonts w:ascii="Arial" w:hAnsi="Arial" w:cs="Arial"/>
          <w:b/>
          <w:bCs/>
          <w:color w:val="211D1E"/>
          <w:sz w:val="26"/>
          <w:szCs w:val="26"/>
        </w:rPr>
        <w:t>Contiene otros edulcorantes</w:t>
      </w:r>
      <w:r w:rsidRPr="00C67536">
        <w:rPr>
          <w:rFonts w:ascii="Arial" w:hAnsi="Arial" w:cs="Arial"/>
          <w:color w:val="211D1E"/>
          <w:sz w:val="26"/>
          <w:szCs w:val="26"/>
        </w:rPr>
        <w:t xml:space="preserve">, si la lista de ingredientes incluye edulcorantes artificiales o naturales no calóricos o edulcorantes calóricos (polialcoholes).  </w:t>
      </w:r>
    </w:p>
    <w:p w14:paraId="3A54BA90" w14:textId="77777777" w:rsidR="001765F6" w:rsidRPr="00C67536" w:rsidRDefault="001765F6" w:rsidP="00B144AE">
      <w:pPr>
        <w:pStyle w:val="Pa83"/>
        <w:numPr>
          <w:ilvl w:val="1"/>
          <w:numId w:val="8"/>
        </w:numPr>
        <w:spacing w:after="140" w:line="240" w:lineRule="auto"/>
        <w:ind w:left="1134" w:right="567" w:firstLine="0"/>
        <w:jc w:val="both"/>
        <w:rPr>
          <w:rFonts w:ascii="Arial" w:hAnsi="Arial" w:cs="Arial"/>
          <w:color w:val="211D1E"/>
          <w:sz w:val="26"/>
          <w:szCs w:val="26"/>
        </w:rPr>
      </w:pPr>
      <w:r w:rsidRPr="00C67536">
        <w:rPr>
          <w:rFonts w:ascii="Arial" w:hAnsi="Arial" w:cs="Arial"/>
          <w:b/>
          <w:bCs/>
          <w:color w:val="211D1E"/>
          <w:sz w:val="26"/>
          <w:szCs w:val="26"/>
        </w:rPr>
        <w:t>Con una cantidad excesiva de grasas totales</w:t>
      </w:r>
      <w:r w:rsidRPr="00C67536">
        <w:rPr>
          <w:rFonts w:ascii="Arial" w:hAnsi="Arial" w:cs="Arial"/>
          <w:color w:val="211D1E"/>
          <w:sz w:val="26"/>
          <w:szCs w:val="26"/>
        </w:rPr>
        <w:t xml:space="preserve">, si en cualquier cantidad dada del producto la cantidad de energía (kcal) proveniente del total de grasas (gramos de grasas totales x 9 kcal) es igual o mayor a 30% del total de energía (kcal). </w:t>
      </w:r>
    </w:p>
    <w:p w14:paraId="5F86022C" w14:textId="77777777" w:rsidR="001765F6" w:rsidRPr="00C67536" w:rsidRDefault="001765F6" w:rsidP="00B144AE">
      <w:pPr>
        <w:pStyle w:val="Pa83"/>
        <w:numPr>
          <w:ilvl w:val="1"/>
          <w:numId w:val="8"/>
        </w:numPr>
        <w:spacing w:after="140" w:line="240" w:lineRule="auto"/>
        <w:ind w:left="1134" w:right="567" w:firstLine="0"/>
        <w:jc w:val="both"/>
        <w:rPr>
          <w:rFonts w:ascii="Arial" w:hAnsi="Arial" w:cs="Arial"/>
          <w:color w:val="211D1E"/>
          <w:sz w:val="26"/>
          <w:szCs w:val="26"/>
        </w:rPr>
      </w:pPr>
      <w:r w:rsidRPr="00C67536">
        <w:rPr>
          <w:rFonts w:ascii="Arial" w:hAnsi="Arial" w:cs="Arial"/>
          <w:b/>
          <w:bCs/>
          <w:color w:val="211D1E"/>
          <w:sz w:val="26"/>
          <w:szCs w:val="26"/>
        </w:rPr>
        <w:t>Con una cantidad excesiva de grasas saturadas</w:t>
      </w:r>
      <w:r w:rsidRPr="00C67536">
        <w:rPr>
          <w:rFonts w:ascii="Arial" w:hAnsi="Arial" w:cs="Arial"/>
          <w:color w:val="211D1E"/>
          <w:sz w:val="26"/>
          <w:szCs w:val="26"/>
        </w:rPr>
        <w:t xml:space="preserve">, si en cualquier cantidad dada del producto la cantidad de energía (kcal) proveniente de grasas saturadas (gramos de grasas saturadas x 9 kcal) es igual o mayor a 10% del total de energía (kcal). </w:t>
      </w:r>
    </w:p>
    <w:p w14:paraId="330E4659" w14:textId="77777777" w:rsidR="001765F6" w:rsidRPr="00C67536" w:rsidRDefault="001765F6" w:rsidP="00B144AE">
      <w:pPr>
        <w:pStyle w:val="ListParagraph"/>
        <w:numPr>
          <w:ilvl w:val="1"/>
          <w:numId w:val="8"/>
        </w:numPr>
        <w:ind w:left="1134" w:right="567" w:firstLine="0"/>
        <w:jc w:val="both"/>
        <w:rPr>
          <w:rFonts w:ascii="Arial" w:hAnsi="Arial" w:cs="Arial"/>
          <w:color w:val="211D1E"/>
          <w:sz w:val="26"/>
          <w:szCs w:val="26"/>
        </w:rPr>
      </w:pPr>
      <w:r w:rsidRPr="00C67536">
        <w:rPr>
          <w:rFonts w:ascii="Arial" w:hAnsi="Arial" w:cs="Arial"/>
          <w:b/>
          <w:bCs/>
          <w:color w:val="211D1E"/>
          <w:sz w:val="26"/>
          <w:szCs w:val="26"/>
        </w:rPr>
        <w:t>Con una cantidad excesiva de grasas trans</w:t>
      </w:r>
      <w:r w:rsidRPr="00C67536">
        <w:rPr>
          <w:rFonts w:ascii="Arial" w:hAnsi="Arial" w:cs="Arial"/>
          <w:color w:val="211D1E"/>
          <w:sz w:val="26"/>
          <w:szCs w:val="26"/>
        </w:rPr>
        <w:t>, si en cualquier cantidad dada del producto la cantidad de energía (kcal) proveniente de grasas trans (gramos de grasas trans x 9 kcal) es igual o mayor a 1% del total de energía (kcal).</w:t>
      </w:r>
    </w:p>
    <w:p w14:paraId="45ADA18B" w14:textId="77777777" w:rsidR="001765F6" w:rsidRPr="00C67536" w:rsidRDefault="001765F6" w:rsidP="001765F6">
      <w:pPr>
        <w:pStyle w:val="ListParagraph"/>
        <w:ind w:left="1134"/>
        <w:jc w:val="both"/>
        <w:rPr>
          <w:rFonts w:ascii="Arial" w:hAnsi="Arial" w:cs="Arial"/>
          <w:color w:val="211D1E"/>
          <w:sz w:val="26"/>
          <w:szCs w:val="26"/>
        </w:rPr>
      </w:pPr>
    </w:p>
    <w:p w14:paraId="311B29D6" w14:textId="2A09E0B5" w:rsidR="001765F6" w:rsidRPr="00C67536" w:rsidRDefault="001765F6" w:rsidP="00B144AE">
      <w:pPr>
        <w:pStyle w:val="Pa83"/>
        <w:numPr>
          <w:ilvl w:val="0"/>
          <w:numId w:val="8"/>
        </w:numPr>
        <w:tabs>
          <w:tab w:val="left" w:pos="851"/>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 xml:space="preserve">El uso del modelo de perfil de nutrientes de la OPS requiere el etiquetado obligatorio de los alimentos envasados, con la siguiente información: </w:t>
      </w:r>
      <w:r w:rsidRPr="00C67536">
        <w:rPr>
          <w:rFonts w:ascii="Arial" w:hAnsi="Arial" w:cs="Arial"/>
          <w:b/>
          <w:bCs/>
          <w:color w:val="211D1E"/>
          <w:sz w:val="26"/>
          <w:szCs w:val="26"/>
        </w:rPr>
        <w:t>a</w:t>
      </w:r>
      <w:r w:rsidRPr="00C67536">
        <w:rPr>
          <w:rFonts w:ascii="Arial" w:hAnsi="Arial" w:cs="Arial"/>
          <w:color w:val="211D1E"/>
          <w:sz w:val="26"/>
          <w:szCs w:val="26"/>
        </w:rPr>
        <w:t>) declaración del contenido de los siguientes nutrientes: ener</w:t>
      </w:r>
      <w:r w:rsidRPr="00C67536">
        <w:rPr>
          <w:rFonts w:ascii="Arial" w:hAnsi="Arial" w:cs="Arial"/>
          <w:color w:val="211D1E"/>
          <w:sz w:val="26"/>
          <w:szCs w:val="26"/>
        </w:rPr>
        <w:softHyphen/>
        <w:t>gía, sodio, azúcares totales, grasas totales, grasas saturadas y grasas trans; y</w:t>
      </w:r>
      <w:r w:rsidR="002D329B">
        <w:rPr>
          <w:rFonts w:ascii="Arial" w:hAnsi="Arial" w:cs="Arial"/>
          <w:color w:val="211D1E"/>
          <w:sz w:val="26"/>
          <w:szCs w:val="26"/>
        </w:rPr>
        <w:t>,</w:t>
      </w:r>
      <w:r w:rsidRPr="00C67536">
        <w:rPr>
          <w:rFonts w:ascii="Arial" w:hAnsi="Arial" w:cs="Arial"/>
          <w:color w:val="211D1E"/>
          <w:sz w:val="26"/>
          <w:szCs w:val="26"/>
        </w:rPr>
        <w:t xml:space="preserve"> </w:t>
      </w:r>
      <w:r w:rsidRPr="00C67536">
        <w:rPr>
          <w:rFonts w:ascii="Arial" w:hAnsi="Arial" w:cs="Arial"/>
          <w:b/>
          <w:bCs/>
          <w:color w:val="211D1E"/>
          <w:sz w:val="26"/>
          <w:szCs w:val="26"/>
        </w:rPr>
        <w:t>b</w:t>
      </w:r>
      <w:r w:rsidRPr="00C67536">
        <w:rPr>
          <w:rFonts w:ascii="Arial" w:hAnsi="Arial" w:cs="Arial"/>
          <w:color w:val="211D1E"/>
          <w:sz w:val="26"/>
          <w:szCs w:val="26"/>
        </w:rPr>
        <w:t xml:space="preserve">) una lista de todos los ingredientes del producto, incluidos los edulcorantes sin azúcar. </w:t>
      </w:r>
    </w:p>
    <w:p w14:paraId="412413AA" w14:textId="77777777" w:rsidR="001765F6" w:rsidRPr="00C67536" w:rsidRDefault="001765F6" w:rsidP="00B144AE">
      <w:pPr>
        <w:pStyle w:val="Pa83"/>
        <w:numPr>
          <w:ilvl w:val="0"/>
          <w:numId w:val="8"/>
        </w:numPr>
        <w:tabs>
          <w:tab w:val="left" w:pos="851"/>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Aunque el contenido de nutrientes puede expresarse en térmi</w:t>
      </w:r>
      <w:r w:rsidRPr="00C67536">
        <w:rPr>
          <w:rFonts w:ascii="Arial" w:hAnsi="Arial" w:cs="Arial"/>
          <w:color w:val="211D1E"/>
          <w:sz w:val="26"/>
          <w:szCs w:val="26"/>
        </w:rPr>
        <w:softHyphen/>
        <w:t xml:space="preserve">nos absolutos (“por ración”), la </w:t>
      </w:r>
      <w:r w:rsidRPr="00C67536">
        <w:rPr>
          <w:rFonts w:ascii="Arial" w:hAnsi="Arial" w:cs="Arial"/>
          <w:b/>
          <w:bCs/>
          <w:color w:val="211D1E"/>
          <w:sz w:val="26"/>
          <w:szCs w:val="26"/>
        </w:rPr>
        <w:t xml:space="preserve">OPS recomienda que se exprese en relación con el peso o volumen (“por 100 g” o “por 100 ml” de producto alimenticio). </w:t>
      </w:r>
    </w:p>
    <w:p w14:paraId="749EDDF3" w14:textId="2A0FF483" w:rsidR="001765F6" w:rsidRPr="00C67536" w:rsidRDefault="001765F6" w:rsidP="00B144AE">
      <w:pPr>
        <w:pStyle w:val="Pa83"/>
        <w:numPr>
          <w:ilvl w:val="0"/>
          <w:numId w:val="8"/>
        </w:numPr>
        <w:tabs>
          <w:tab w:val="left" w:pos="851"/>
        </w:tabs>
        <w:spacing w:after="140" w:line="240" w:lineRule="auto"/>
        <w:ind w:left="567" w:right="567" w:firstLine="0"/>
        <w:jc w:val="both"/>
        <w:rPr>
          <w:rFonts w:ascii="Arial" w:hAnsi="Arial" w:cs="Arial"/>
          <w:color w:val="211D1E"/>
          <w:sz w:val="26"/>
          <w:szCs w:val="26"/>
        </w:rPr>
      </w:pPr>
      <w:r w:rsidRPr="00C67536">
        <w:rPr>
          <w:rFonts w:ascii="Arial" w:hAnsi="Arial" w:cs="Arial"/>
          <w:color w:val="211D1E"/>
          <w:sz w:val="26"/>
          <w:szCs w:val="26"/>
        </w:rPr>
        <w:t>Dentro de las políticas que requieren el uso del modelo de perfil de nutrientes de la OPS, se encuentra etiquetas de advertencia en el frente del envase.</w:t>
      </w:r>
    </w:p>
    <w:p w14:paraId="0DB5B069" w14:textId="77777777" w:rsidR="001765F6" w:rsidRPr="00C67536" w:rsidRDefault="001765F6" w:rsidP="001765F6">
      <w:pPr>
        <w:pStyle w:val="ListParagraph"/>
        <w:rPr>
          <w:rFonts w:cs="Arial"/>
          <w:sz w:val="28"/>
          <w:szCs w:val="28"/>
        </w:rPr>
      </w:pPr>
    </w:p>
    <w:p w14:paraId="6E7E8733" w14:textId="77777777" w:rsidR="00E257C9"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lang w:val="es-MX"/>
        </w:rPr>
        <w:t>De la misma forma, la Organización Panamericana de la Salud, emitió las</w:t>
      </w:r>
      <w:r w:rsidRPr="00C67536">
        <w:rPr>
          <w:rFonts w:cs="Arial"/>
          <w:sz w:val="28"/>
          <w:szCs w:val="28"/>
        </w:rPr>
        <w:t xml:space="preserve"> Recomendaciones sobre el etiquetado para alimentos y bebidas no alcohólicas pre envasados en México y otros instrumentos normativos relacionados, con base en la misión a México del Asesor Regional para las Américas en Nutrición de la Organización Panamericana de Salud/ Organización Mundial de la Salud (OMS), del quince al diecisiete de noviembre de dos mil dieciséis, en conjunto con la Comisión Federal para la Protección contra Riesgos Sanitarios, del que se advierte lo siguiente:</w:t>
      </w:r>
    </w:p>
    <w:p w14:paraId="652BD44E" w14:textId="77777777" w:rsidR="00E257C9" w:rsidRPr="00C67536" w:rsidRDefault="00E257C9" w:rsidP="00E257C9">
      <w:pPr>
        <w:pStyle w:val="corte4fondo"/>
        <w:ind w:firstLine="0"/>
        <w:rPr>
          <w:rFonts w:eastAsiaTheme="minorHAnsi" w:cs="Arial"/>
          <w:bCs/>
          <w:sz w:val="28"/>
          <w:szCs w:val="28"/>
          <w:lang w:eastAsia="en-US"/>
        </w:rPr>
      </w:pPr>
    </w:p>
    <w:p w14:paraId="3CCBD5EC" w14:textId="77777777" w:rsidR="00E257C9" w:rsidRPr="00C67536" w:rsidRDefault="00E257C9" w:rsidP="00B144AE">
      <w:pPr>
        <w:pStyle w:val="corte4fondo"/>
        <w:numPr>
          <w:ilvl w:val="0"/>
          <w:numId w:val="14"/>
        </w:numPr>
        <w:tabs>
          <w:tab w:val="left" w:pos="851"/>
        </w:tabs>
        <w:spacing w:line="240" w:lineRule="auto"/>
        <w:ind w:left="567" w:right="567" w:firstLine="0"/>
        <w:rPr>
          <w:rFonts w:cs="Arial"/>
          <w:sz w:val="26"/>
          <w:szCs w:val="26"/>
          <w:lang w:val="es-MX"/>
        </w:rPr>
      </w:pPr>
      <w:r w:rsidRPr="00C67536">
        <w:rPr>
          <w:rFonts w:cs="Arial"/>
          <w:sz w:val="26"/>
          <w:szCs w:val="26"/>
        </w:rPr>
        <w:t>Actualmente la Norma Oficial Mexicana NOM-051-SCFI/SSA1-2010 dicta que los nutrimentos de declaración obligatoria deben expresarse “por 100 g, o por 100 ml, o por porción en envases que contengan varias porciones, o por envase cuando éste contiene sólo una porción”.</w:t>
      </w:r>
    </w:p>
    <w:p w14:paraId="72DAA383" w14:textId="77777777" w:rsidR="00E257C9" w:rsidRPr="00C67536" w:rsidRDefault="00E257C9" w:rsidP="00E257C9">
      <w:pPr>
        <w:pStyle w:val="Default"/>
        <w:tabs>
          <w:tab w:val="left" w:pos="851"/>
        </w:tabs>
        <w:ind w:left="567" w:right="567"/>
        <w:rPr>
          <w:rFonts w:ascii="Arial" w:hAnsi="Arial" w:cs="Arial"/>
          <w:sz w:val="26"/>
          <w:szCs w:val="26"/>
        </w:rPr>
      </w:pPr>
    </w:p>
    <w:p w14:paraId="48BFBE31" w14:textId="77777777" w:rsidR="00E257C9" w:rsidRPr="00C67536" w:rsidRDefault="00E257C9" w:rsidP="00B144AE">
      <w:pPr>
        <w:pStyle w:val="corte4fondo"/>
        <w:numPr>
          <w:ilvl w:val="0"/>
          <w:numId w:val="14"/>
        </w:numPr>
        <w:tabs>
          <w:tab w:val="left" w:pos="851"/>
        </w:tabs>
        <w:spacing w:line="240" w:lineRule="auto"/>
        <w:ind w:left="567" w:right="567" w:firstLine="0"/>
        <w:rPr>
          <w:rFonts w:cs="Arial"/>
          <w:sz w:val="26"/>
          <w:szCs w:val="26"/>
        </w:rPr>
      </w:pPr>
      <w:r w:rsidRPr="00C67536">
        <w:rPr>
          <w:rFonts w:cs="Arial"/>
          <w:sz w:val="26"/>
          <w:szCs w:val="26"/>
        </w:rPr>
        <w:t>Cuando la información nutrimental es presentada solamente por porción no es posible comparar de forma directa productos con porciones distintas, porque, no se puede comparar de forma directa los nutrimentos de los tres productos, pues el consumidor tendría que hacer una regla de tres compleja para cada nutrimento de su interés. Considerando que el consumidor compra y compara más de tres productos en el momento que hace sus compras, la información por porción torna esta comparación inviable.</w:t>
      </w:r>
    </w:p>
    <w:p w14:paraId="7EF04353" w14:textId="77777777" w:rsidR="00E257C9" w:rsidRPr="00C67536" w:rsidRDefault="00E257C9" w:rsidP="00E257C9">
      <w:pPr>
        <w:pStyle w:val="corte4fondo"/>
        <w:tabs>
          <w:tab w:val="left" w:pos="851"/>
        </w:tabs>
        <w:spacing w:line="240" w:lineRule="auto"/>
        <w:ind w:left="567" w:right="567" w:firstLine="0"/>
        <w:rPr>
          <w:rFonts w:cs="Arial"/>
          <w:sz w:val="26"/>
          <w:szCs w:val="26"/>
        </w:rPr>
      </w:pPr>
    </w:p>
    <w:p w14:paraId="6253CC13" w14:textId="77777777" w:rsidR="00E257C9" w:rsidRPr="00C67536" w:rsidRDefault="00E257C9" w:rsidP="00B144AE">
      <w:pPr>
        <w:pStyle w:val="corte4fondo"/>
        <w:numPr>
          <w:ilvl w:val="0"/>
          <w:numId w:val="14"/>
        </w:numPr>
        <w:tabs>
          <w:tab w:val="left" w:pos="851"/>
        </w:tabs>
        <w:spacing w:line="240" w:lineRule="auto"/>
        <w:ind w:left="567" w:right="567" w:firstLine="0"/>
        <w:rPr>
          <w:rFonts w:cs="Arial"/>
          <w:sz w:val="26"/>
          <w:szCs w:val="26"/>
        </w:rPr>
      </w:pPr>
      <w:r w:rsidRPr="00C67536">
        <w:rPr>
          <w:rFonts w:cs="Arial"/>
          <w:sz w:val="26"/>
          <w:szCs w:val="26"/>
        </w:rPr>
        <w:t>En la tercera recomendación, relativa al etiquetado frontal con leyendas de advertencia, indicó que debido a que los consumidores tienen muy poco tiempo para tomar una decisión al momento de la compra, los sistemas de advertencias frontales que interpretan la información nutrimental agregan facilidad y rapidez al acceso a la información, mejorando la capacidad del consumidor de tomar una decisión crítica y mejor informada.</w:t>
      </w:r>
    </w:p>
    <w:p w14:paraId="43C8D7BC" w14:textId="77777777" w:rsidR="00E257C9" w:rsidRPr="00C67536" w:rsidRDefault="00E257C9" w:rsidP="00E257C9">
      <w:pPr>
        <w:pStyle w:val="corte4fondo"/>
        <w:tabs>
          <w:tab w:val="left" w:pos="851"/>
        </w:tabs>
        <w:spacing w:line="240" w:lineRule="auto"/>
        <w:ind w:left="567" w:right="567" w:firstLine="0"/>
        <w:rPr>
          <w:rFonts w:cs="Arial"/>
          <w:sz w:val="26"/>
          <w:szCs w:val="26"/>
        </w:rPr>
      </w:pPr>
    </w:p>
    <w:p w14:paraId="0B09112E" w14:textId="77777777" w:rsidR="00E257C9" w:rsidRPr="00C67536" w:rsidRDefault="00E257C9" w:rsidP="00B144AE">
      <w:pPr>
        <w:pStyle w:val="corte4fondo"/>
        <w:numPr>
          <w:ilvl w:val="0"/>
          <w:numId w:val="14"/>
        </w:numPr>
        <w:tabs>
          <w:tab w:val="left" w:pos="851"/>
        </w:tabs>
        <w:spacing w:line="240" w:lineRule="auto"/>
        <w:ind w:left="567" w:right="567" w:firstLine="0"/>
        <w:rPr>
          <w:rFonts w:cs="Arial"/>
          <w:sz w:val="26"/>
          <w:szCs w:val="26"/>
        </w:rPr>
      </w:pPr>
      <w:r w:rsidRPr="00C67536">
        <w:rPr>
          <w:rFonts w:cs="Arial"/>
          <w:sz w:val="26"/>
          <w:szCs w:val="26"/>
        </w:rPr>
        <w:t xml:space="preserve">Por ello, recomendó aplicar un sistema de etiquetado frontal que informe al consumidor de forma directa y rápida cuando el producto es alto en azúcar, sal, grasas totales y/o grasas saturadas. </w:t>
      </w:r>
    </w:p>
    <w:p w14:paraId="75E4C8EE" w14:textId="77777777" w:rsidR="00E257C9" w:rsidRPr="00C67536" w:rsidRDefault="00E257C9" w:rsidP="00E257C9">
      <w:pPr>
        <w:pStyle w:val="Default"/>
        <w:tabs>
          <w:tab w:val="left" w:pos="851"/>
        </w:tabs>
        <w:ind w:left="567" w:right="567"/>
        <w:jc w:val="both"/>
        <w:rPr>
          <w:rFonts w:ascii="Arial" w:hAnsi="Arial" w:cs="Arial"/>
          <w:sz w:val="26"/>
          <w:szCs w:val="26"/>
        </w:rPr>
      </w:pPr>
    </w:p>
    <w:p w14:paraId="64FD4DA4" w14:textId="77777777" w:rsidR="00E257C9" w:rsidRPr="00C67536" w:rsidRDefault="00E257C9" w:rsidP="00B144AE">
      <w:pPr>
        <w:pStyle w:val="Default"/>
        <w:numPr>
          <w:ilvl w:val="0"/>
          <w:numId w:val="14"/>
        </w:numPr>
        <w:tabs>
          <w:tab w:val="left" w:pos="851"/>
        </w:tabs>
        <w:ind w:left="567" w:right="567" w:firstLine="0"/>
        <w:jc w:val="both"/>
        <w:rPr>
          <w:rFonts w:ascii="Arial" w:hAnsi="Arial" w:cs="Arial"/>
          <w:sz w:val="26"/>
          <w:szCs w:val="26"/>
        </w:rPr>
      </w:pPr>
      <w:r w:rsidRPr="00C67536">
        <w:rPr>
          <w:rFonts w:ascii="Arial" w:hAnsi="Arial" w:cs="Arial"/>
          <w:sz w:val="26"/>
          <w:szCs w:val="26"/>
        </w:rPr>
        <w:t>Asimismo, que sugería un diseño para el sistema frontal, basado en la experiencia implementada en Chile, con otras combinaciones de fondo y contraste de color pueden ser probados con la población mexicana.</w:t>
      </w:r>
    </w:p>
    <w:p w14:paraId="64987E18" w14:textId="77777777" w:rsidR="00E257C9" w:rsidRPr="00C67536" w:rsidRDefault="00E257C9" w:rsidP="00E257C9">
      <w:pPr>
        <w:pStyle w:val="Default"/>
        <w:tabs>
          <w:tab w:val="left" w:pos="851"/>
        </w:tabs>
        <w:ind w:left="567" w:right="567"/>
        <w:jc w:val="both"/>
        <w:rPr>
          <w:rFonts w:ascii="Arial" w:hAnsi="Arial" w:cs="Arial"/>
          <w:sz w:val="26"/>
          <w:szCs w:val="26"/>
        </w:rPr>
      </w:pPr>
    </w:p>
    <w:p w14:paraId="492A3FAD" w14:textId="77777777" w:rsidR="00E257C9" w:rsidRPr="00C67536" w:rsidRDefault="00E257C9" w:rsidP="00B144AE">
      <w:pPr>
        <w:pStyle w:val="Default"/>
        <w:numPr>
          <w:ilvl w:val="0"/>
          <w:numId w:val="14"/>
        </w:numPr>
        <w:tabs>
          <w:tab w:val="left" w:pos="851"/>
        </w:tabs>
        <w:ind w:left="567" w:right="567" w:firstLine="0"/>
        <w:jc w:val="both"/>
        <w:rPr>
          <w:rFonts w:ascii="Arial" w:hAnsi="Arial" w:cs="Arial"/>
          <w:sz w:val="26"/>
          <w:szCs w:val="26"/>
        </w:rPr>
      </w:pPr>
      <w:r w:rsidRPr="00C67536">
        <w:rPr>
          <w:rFonts w:ascii="Arial" w:hAnsi="Arial" w:cs="Arial"/>
          <w:sz w:val="26"/>
          <w:szCs w:val="26"/>
        </w:rPr>
        <w:t xml:space="preserve">Ello, porque estudios de psicofísica indican que contrastes de máxima luminiscencia permiten una lectura más rápida. De modo que las combinaciones que contrastan blanco y negro son más recomendables. El fondo amarillo con letras negras capta muy bien la atención y también se lee de forma rápida. </w:t>
      </w:r>
    </w:p>
    <w:p w14:paraId="74D9AB55" w14:textId="77777777" w:rsidR="00E257C9" w:rsidRPr="00C67536" w:rsidRDefault="00E257C9" w:rsidP="00E257C9">
      <w:pPr>
        <w:pStyle w:val="Default"/>
        <w:tabs>
          <w:tab w:val="left" w:pos="851"/>
        </w:tabs>
        <w:ind w:left="567" w:right="567"/>
        <w:jc w:val="both"/>
        <w:rPr>
          <w:rFonts w:ascii="Arial" w:hAnsi="Arial" w:cs="Arial"/>
          <w:color w:val="auto"/>
          <w:sz w:val="26"/>
          <w:szCs w:val="26"/>
        </w:rPr>
      </w:pPr>
    </w:p>
    <w:p w14:paraId="59DD1DD7" w14:textId="77777777" w:rsidR="00E257C9" w:rsidRPr="00C67536" w:rsidRDefault="00E257C9" w:rsidP="00B144AE">
      <w:pPr>
        <w:pStyle w:val="Default"/>
        <w:numPr>
          <w:ilvl w:val="0"/>
          <w:numId w:val="14"/>
        </w:numPr>
        <w:tabs>
          <w:tab w:val="left" w:pos="851"/>
        </w:tabs>
        <w:ind w:left="567" w:right="567" w:firstLine="0"/>
        <w:jc w:val="both"/>
        <w:rPr>
          <w:rFonts w:ascii="Arial" w:hAnsi="Arial" w:cs="Arial"/>
          <w:color w:val="auto"/>
          <w:sz w:val="26"/>
          <w:szCs w:val="26"/>
        </w:rPr>
      </w:pPr>
      <w:r w:rsidRPr="00C67536">
        <w:rPr>
          <w:rFonts w:ascii="Arial" w:hAnsi="Arial" w:cs="Arial"/>
          <w:sz w:val="26"/>
          <w:szCs w:val="26"/>
        </w:rPr>
        <w:t xml:space="preserve">También, recomendó que la norma obligue la ubicación de la advertencia en la cara principal del envase/etiqueta. En caso de que, el producto sea comercializado en la forma de multi-paquetes, las advertencias deben ser aplicadas en la cara principal del paquete externo y de todos los paquetes dentro el multi-paquete. </w:t>
      </w:r>
      <w:r w:rsidRPr="00C67536">
        <w:rPr>
          <w:rFonts w:ascii="Arial" w:hAnsi="Arial" w:cs="Arial"/>
          <w:color w:val="auto"/>
          <w:sz w:val="26"/>
          <w:szCs w:val="26"/>
        </w:rPr>
        <w:t xml:space="preserve">Además, las advertencias deben estar obligatoriamente ubicadas en la esquina superior derecha de la cara principal del envase/paquete/etiqueta del producto y multi-paquetes. </w:t>
      </w:r>
    </w:p>
    <w:p w14:paraId="12CEACEE" w14:textId="77777777" w:rsidR="00E257C9" w:rsidRPr="00C67536" w:rsidRDefault="00E257C9" w:rsidP="00E257C9">
      <w:pPr>
        <w:pStyle w:val="ListParagraph"/>
        <w:rPr>
          <w:rFonts w:ascii="Arial" w:hAnsi="Arial" w:cs="Arial"/>
          <w:sz w:val="26"/>
          <w:szCs w:val="26"/>
        </w:rPr>
      </w:pPr>
    </w:p>
    <w:p w14:paraId="0EA9430C" w14:textId="790898DC" w:rsidR="00E257C9" w:rsidRPr="00C67536" w:rsidRDefault="00E257C9" w:rsidP="00B144AE">
      <w:pPr>
        <w:pStyle w:val="Default"/>
        <w:numPr>
          <w:ilvl w:val="0"/>
          <w:numId w:val="14"/>
        </w:numPr>
        <w:tabs>
          <w:tab w:val="left" w:pos="851"/>
        </w:tabs>
        <w:ind w:left="567" w:right="567" w:firstLine="0"/>
        <w:jc w:val="both"/>
        <w:rPr>
          <w:rFonts w:ascii="Arial" w:hAnsi="Arial" w:cs="Arial"/>
          <w:color w:val="auto"/>
          <w:sz w:val="26"/>
          <w:szCs w:val="26"/>
        </w:rPr>
      </w:pPr>
      <w:r w:rsidRPr="00C67536">
        <w:rPr>
          <w:rFonts w:ascii="Arial" w:hAnsi="Arial" w:cs="Arial"/>
          <w:sz w:val="26"/>
          <w:szCs w:val="26"/>
        </w:rPr>
        <w:t>Para definir si un producto debe recibir una advertencia “ALTO EN…”. Se recomienda utilizar los criterios del Modelo de Perfil de Nutrientes de la OPS/OMS. El criterio se aplica a productos procesados y ultra procesados, y no a alimentos frescos ni mínimamente procesados.</w:t>
      </w:r>
    </w:p>
    <w:p w14:paraId="0FA15F25" w14:textId="77777777" w:rsidR="00E257C9" w:rsidRPr="00C67536" w:rsidRDefault="00E257C9" w:rsidP="00E257C9">
      <w:pPr>
        <w:pStyle w:val="corte4fondo"/>
        <w:ind w:firstLine="0"/>
        <w:rPr>
          <w:rFonts w:eastAsiaTheme="minorHAnsi" w:cs="Arial"/>
          <w:bCs/>
          <w:sz w:val="28"/>
          <w:szCs w:val="28"/>
          <w:lang w:eastAsia="en-US"/>
        </w:rPr>
      </w:pPr>
    </w:p>
    <w:p w14:paraId="77FCF372" w14:textId="77777777" w:rsidR="002D2673"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lang w:val="es-MX"/>
        </w:rPr>
        <w:t>Así, la Organización Panamericana de la Salud, ha determinado que la hipertensión, la hiperglucemia en ayunas y el sobrepeso o la obesidad son los tres factores de riesgo más asociados con la mortalidad en la Región de las Américas. La mala alimentación guarda una estrecha relación con estos tres factores principales de riesgo en la Región, debido en gran parte a la ingesta excesiva de azúcares, grasas totales, grasas saturadas, grasas trans y sodio, los denominados “nutrientes críticos” de preocupación para la salud pública.</w:t>
      </w:r>
    </w:p>
    <w:p w14:paraId="2DD30F7D" w14:textId="77777777" w:rsidR="002D2673" w:rsidRPr="00C67536" w:rsidRDefault="002D2673" w:rsidP="002D2673">
      <w:pPr>
        <w:pStyle w:val="corte4fondo"/>
        <w:ind w:firstLine="0"/>
        <w:rPr>
          <w:rFonts w:eastAsiaTheme="minorHAnsi" w:cs="Arial"/>
          <w:bCs/>
          <w:sz w:val="28"/>
          <w:szCs w:val="28"/>
          <w:lang w:eastAsia="en-US"/>
        </w:rPr>
      </w:pPr>
    </w:p>
    <w:p w14:paraId="1DD7DA46" w14:textId="77777777" w:rsidR="00372461"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De igual forma, la ingesta excesiva de estos nutrientes es resultado, en gran medida, de la amplia disponibilidad, asequibilidad y promoción de productos alimentarios procesados y ultra procesados, que contienen cantidades excesivas de </w:t>
      </w:r>
      <w:r w:rsidRPr="00C67536">
        <w:rPr>
          <w:rFonts w:eastAsiaTheme="minorHAnsi" w:cs="Arial"/>
          <w:sz w:val="28"/>
          <w:szCs w:val="28"/>
          <w:lang w:eastAsia="en-US"/>
        </w:rPr>
        <w:t>azúcares, grasas totales, grasas saturadas, grasas trans y sodio.</w:t>
      </w:r>
    </w:p>
    <w:p w14:paraId="7CDD7509" w14:textId="77777777" w:rsidR="00372461" w:rsidRPr="00C67536" w:rsidRDefault="00372461" w:rsidP="00372461">
      <w:pPr>
        <w:pStyle w:val="ListParagraph"/>
        <w:rPr>
          <w:rFonts w:cs="Arial"/>
          <w:sz w:val="28"/>
          <w:szCs w:val="28"/>
        </w:rPr>
      </w:pPr>
    </w:p>
    <w:p w14:paraId="4971C57B" w14:textId="77777777" w:rsidR="00372461"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Así, considera que gran parte de la solución consiste en la aplicación de leyes y regulaciones que reduzcan la demanda y la oferta de productos que contienen cantidades excesivas de nutrientes críticos. Uno de los instrumentos clave de política para regular esos productos con el objeto de prevenir el desequilibrio en la alimentación </w:t>
      </w:r>
      <w:r w:rsidRPr="00C67536">
        <w:rPr>
          <w:rFonts w:cs="Arial"/>
          <w:b/>
          <w:bCs/>
          <w:sz w:val="28"/>
          <w:szCs w:val="28"/>
        </w:rPr>
        <w:t>es la utilización de etiquetas en el frente del envase que indiquen a los consumidores que el producto contiene cantidades excesivas de azúcares, grasas totales, grasas saturadas, grasas trans y sodio (sistema de etiquetado frontal de advertencia).</w:t>
      </w:r>
    </w:p>
    <w:p w14:paraId="2CB1D0AF" w14:textId="77777777" w:rsidR="00372461" w:rsidRPr="00C67536" w:rsidRDefault="00372461" w:rsidP="00372461">
      <w:pPr>
        <w:pStyle w:val="ListParagraph"/>
        <w:rPr>
          <w:rFonts w:eastAsiaTheme="minorHAnsi" w:cs="Arial"/>
          <w:sz w:val="28"/>
          <w:szCs w:val="28"/>
          <w:lang w:eastAsia="en-US"/>
        </w:rPr>
      </w:pPr>
    </w:p>
    <w:p w14:paraId="6AB0CBA7" w14:textId="77777777" w:rsidR="00372461"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sz w:val="28"/>
          <w:szCs w:val="28"/>
          <w:lang w:eastAsia="en-US"/>
        </w:rPr>
        <w:t>El objetivo regulatorio del etiquetado frontal debe ser que los consumidores puedan identificar correcta, rápida y fácilmente los productos que contienen cantidades excesivas de dichas materias.</w:t>
      </w:r>
    </w:p>
    <w:p w14:paraId="1B81BB28" w14:textId="77777777" w:rsidR="00372461" w:rsidRPr="00C67536" w:rsidRDefault="00372461" w:rsidP="00372461">
      <w:pPr>
        <w:pStyle w:val="ListParagraph"/>
        <w:rPr>
          <w:rFonts w:eastAsiaTheme="minorHAnsi" w:cs="Arial"/>
          <w:sz w:val="28"/>
          <w:szCs w:val="28"/>
          <w:lang w:eastAsia="en-US"/>
        </w:rPr>
      </w:pPr>
    </w:p>
    <w:p w14:paraId="2D4E42A0" w14:textId="77777777" w:rsidR="00372461"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sz w:val="28"/>
          <w:szCs w:val="28"/>
          <w:lang w:eastAsia="en-US"/>
        </w:rPr>
        <w:t>Existen varios sistemas de etiquetado frontal que se han diseñado y propuesto se encuentran: sellos de aprobación; sistemas de resumen; cantidades diarias orientativas monocromáticas (CDO, también conocido como GDA por siglas en inglés); sistema de ingesta de referencia codificado por colores; sistemas con texto y codificación cromática para nutrientes específicos (sistemas semáforos); y, advertencias nutricionales “ALTO EN/EXCESO”.</w:t>
      </w:r>
    </w:p>
    <w:p w14:paraId="2E5EBE15" w14:textId="77777777" w:rsidR="00372461" w:rsidRPr="00C67536" w:rsidRDefault="00372461" w:rsidP="00372461">
      <w:pPr>
        <w:pStyle w:val="ListParagraph"/>
        <w:rPr>
          <w:rFonts w:cs="Arial"/>
          <w:sz w:val="28"/>
          <w:szCs w:val="28"/>
        </w:rPr>
      </w:pPr>
    </w:p>
    <w:p w14:paraId="70030A04" w14:textId="77777777" w:rsidR="00965054"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Luego, la citada organización internacional recomendó que el sistema de etiquetado frontal mexicano debía cambiar a uno que informara al consumidor de forma directa y rápida cuando el producto es alto en azúcar, sal, grasas totales y/o grasas saturadas, por lo que sugería un diseño, basado en la experiencia implementada en Chile, con otras combinaciones de fondo y contraste de color pueden ser probados con la población mexicana.</w:t>
      </w:r>
    </w:p>
    <w:p w14:paraId="3FA42660" w14:textId="77777777" w:rsidR="00965054" w:rsidRPr="00C67536" w:rsidRDefault="00965054" w:rsidP="00965054">
      <w:pPr>
        <w:pStyle w:val="ListParagraph"/>
        <w:rPr>
          <w:rFonts w:eastAsiaTheme="minorHAnsi" w:cs="Arial"/>
          <w:sz w:val="28"/>
          <w:szCs w:val="28"/>
          <w:lang w:eastAsia="en-US"/>
        </w:rPr>
      </w:pPr>
    </w:p>
    <w:p w14:paraId="240A648D" w14:textId="77777777" w:rsidR="00965054"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sz w:val="28"/>
          <w:szCs w:val="28"/>
          <w:lang w:eastAsia="en-US"/>
        </w:rPr>
        <w:t>El sistema chileno de etiqueta frontal es de la imagen siguiente:</w:t>
      </w:r>
    </w:p>
    <w:p w14:paraId="3DC02866" w14:textId="77777777" w:rsidR="00965054" w:rsidRPr="00C67536" w:rsidRDefault="00965054" w:rsidP="00965054">
      <w:pPr>
        <w:pStyle w:val="ListParagraph"/>
        <w:rPr>
          <w:rFonts w:eastAsiaTheme="minorHAnsi" w:cs="Arial"/>
          <w:b/>
          <w:bCs/>
          <w:color w:val="000000"/>
          <w:sz w:val="28"/>
          <w:szCs w:val="28"/>
          <w:lang w:eastAsia="en-US"/>
        </w:rPr>
      </w:pPr>
    </w:p>
    <w:p w14:paraId="533400DA" w14:textId="31547142" w:rsidR="00965054" w:rsidRPr="00C67536" w:rsidRDefault="00965054" w:rsidP="00965054">
      <w:pPr>
        <w:pStyle w:val="corte4fondo"/>
        <w:ind w:firstLine="0"/>
        <w:rPr>
          <w:rFonts w:eastAsiaTheme="minorHAnsi" w:cs="Arial"/>
          <w:bCs/>
          <w:sz w:val="28"/>
          <w:szCs w:val="28"/>
          <w:lang w:eastAsia="en-US"/>
        </w:rPr>
      </w:pPr>
      <w:r w:rsidRPr="00C67536">
        <w:rPr>
          <w:rFonts w:cs="Arial"/>
          <w:noProof/>
          <w:sz w:val="28"/>
          <w:szCs w:val="28"/>
          <w:lang w:val="es-MX"/>
        </w:rPr>
        <w:drawing>
          <wp:inline distT="0" distB="0" distL="0" distR="0" wp14:anchorId="0F89CD24" wp14:editId="68870EC3">
            <wp:extent cx="5613400" cy="2172335"/>
            <wp:effectExtent l="0" t="0" r="6350" b="0"/>
            <wp:docPr id="9" name="Imagen 9"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con confianza ba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2172335"/>
                    </a:xfrm>
                    <a:prstGeom prst="rect">
                      <a:avLst/>
                    </a:prstGeom>
                    <a:noFill/>
                    <a:ln>
                      <a:noFill/>
                    </a:ln>
                  </pic:spPr>
                </pic:pic>
              </a:graphicData>
            </a:graphic>
          </wp:inline>
        </w:drawing>
      </w:r>
    </w:p>
    <w:p w14:paraId="0D119E4A" w14:textId="77777777" w:rsidR="00965054" w:rsidRPr="00C67536" w:rsidRDefault="00965054" w:rsidP="00965054">
      <w:pPr>
        <w:pStyle w:val="ListParagraph"/>
        <w:rPr>
          <w:rFonts w:eastAsiaTheme="minorHAnsi" w:cs="Arial"/>
          <w:b/>
          <w:bCs/>
          <w:color w:val="000000"/>
          <w:sz w:val="28"/>
          <w:szCs w:val="28"/>
          <w:lang w:eastAsia="en-US"/>
        </w:rPr>
      </w:pPr>
    </w:p>
    <w:p w14:paraId="5081871B" w14:textId="2AE22CC6" w:rsidR="00965054"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b/>
          <w:bCs/>
          <w:color w:val="000000"/>
          <w:sz w:val="28"/>
          <w:szCs w:val="28"/>
          <w:lang w:eastAsia="en-US"/>
        </w:rPr>
        <w:t>Legislación Nacional.</w:t>
      </w:r>
      <w:r w:rsidRPr="00C67536">
        <w:rPr>
          <w:rFonts w:eastAsiaTheme="minorHAnsi" w:cs="Arial"/>
          <w:color w:val="000000"/>
          <w:sz w:val="28"/>
          <w:szCs w:val="28"/>
          <w:lang w:eastAsia="en-US"/>
        </w:rPr>
        <w:t xml:space="preserve"> </w:t>
      </w:r>
      <w:r w:rsidRPr="00C67536">
        <w:rPr>
          <w:rFonts w:cs="Arial"/>
          <w:sz w:val="28"/>
          <w:szCs w:val="28"/>
        </w:rPr>
        <w:t>El cuatro de febrero de dos mil diez, el Comité Consultivo Nacional de Normalización de Seguridad al Usuario, Información Comercial y Prácticas de Comercio (CCNNSUICPC) y el Comité Consultivo Nacional de Normalización de Regulación y Fomento Sanitario (CCNNRFS) aprobaron por unanimidad la N</w:t>
      </w:r>
      <w:r w:rsidRPr="00C67536">
        <w:rPr>
          <w:rFonts w:cs="Arial"/>
          <w:color w:val="000000"/>
          <w:sz w:val="28"/>
          <w:szCs w:val="28"/>
        </w:rPr>
        <w:t>orma Oficial Mexicana NOM</w:t>
      </w:r>
      <w:r w:rsidRPr="00C67536">
        <w:rPr>
          <w:rFonts w:cs="Arial"/>
          <w:sz w:val="28"/>
          <w:szCs w:val="28"/>
        </w:rPr>
        <w:t xml:space="preserve">-051-SCFI/SSA1-2010, Especificaciones </w:t>
      </w:r>
      <w:r w:rsidR="00DD5929" w:rsidRPr="00C67536">
        <w:rPr>
          <w:rFonts w:cs="Arial"/>
          <w:sz w:val="28"/>
          <w:szCs w:val="28"/>
        </w:rPr>
        <w:t>Generales de Etiquetado para Alimentos y Bebidas no Alcohólicas</w:t>
      </w:r>
      <w:r w:rsidRPr="00C67536">
        <w:rPr>
          <w:rFonts w:cs="Arial"/>
          <w:sz w:val="28"/>
          <w:szCs w:val="28"/>
        </w:rPr>
        <w:t xml:space="preserve"> preenvasados-información comercial y sanitaria, cuyo objeto fue establecer la información comercial y sanitaria que debía contener el etiquetado de los alimentos y bebidas no alcohólicas preenvasados de fabricación nacional o extranjera, así como determinar las características de dicha información, señalando como campo de aplicación a todos los alimentos y bebidas no alcohólicas preenvasados de fabricación nacional y extranjera destinados al consumidor en territorio nacional.  </w:t>
      </w:r>
    </w:p>
    <w:p w14:paraId="00CD4BAE" w14:textId="77777777" w:rsidR="00965054" w:rsidRPr="00C67536" w:rsidRDefault="00965054" w:rsidP="00965054">
      <w:pPr>
        <w:pStyle w:val="corte4fondo"/>
        <w:ind w:firstLine="0"/>
        <w:rPr>
          <w:rFonts w:eastAsiaTheme="minorHAnsi" w:cs="Arial"/>
          <w:bCs/>
          <w:sz w:val="28"/>
          <w:szCs w:val="28"/>
          <w:lang w:eastAsia="en-US"/>
        </w:rPr>
      </w:pPr>
    </w:p>
    <w:p w14:paraId="754E92C7" w14:textId="77777777" w:rsidR="00D807AE"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Dicha Norma fue publicada en el Diario Oficial de la Federación del cinco de abril de dos mil diez aclarando que a través de ella se cancelaba la Norma Oficial Mexicana NOM-051-SCFI-1994 y la totalidad de los criterios, reglas, instructivos, manuales, circulares, lineamientos, procedimientos u otras disposiciones de carácter obligatorio derivados de esta última.</w:t>
      </w:r>
    </w:p>
    <w:p w14:paraId="6261D407" w14:textId="77777777" w:rsidR="00D807AE" w:rsidRPr="00C67536" w:rsidRDefault="00D807AE" w:rsidP="00D807AE">
      <w:pPr>
        <w:pStyle w:val="ListParagraph"/>
        <w:rPr>
          <w:rFonts w:cs="Arial"/>
          <w:b/>
          <w:bCs/>
          <w:sz w:val="28"/>
          <w:szCs w:val="28"/>
        </w:rPr>
      </w:pPr>
    </w:p>
    <w:p w14:paraId="21600CAA" w14:textId="16E8D2D3" w:rsidR="00D807AE"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
          <w:bCs/>
          <w:sz w:val="28"/>
          <w:szCs w:val="28"/>
        </w:rPr>
        <w:t>Sistema de etiquetado anterior.</w:t>
      </w:r>
      <w:r w:rsidRPr="00C67536">
        <w:rPr>
          <w:rFonts w:cs="Arial"/>
          <w:sz w:val="28"/>
          <w:szCs w:val="28"/>
        </w:rPr>
        <w:t xml:space="preserve"> El catorce de febrero de dos mil catorce, se publicó en el Diario Oficial de la Federación el Decreto por el que se reforman y adicionan diversas disposiciones del Reglamento de Control Sanitario de Productos y Servicios que, entre otras disposiciones, adicionó una porción normativa de los artículos 25 y 25 Bis para agregar que el sistema de etiquetado de alimentos y bebidas no alcohólicas preenvasados, debía señalar en el área frontal de exhibición del producto el contenido energético total que el producto aporta expresado en kilocalorías o calorías, así como el contenido de grasas saturadas, otras grasas, azucares totales y sodio que estén presentes en el producto en miligramos. Además, que podían incluir el distintivo nutrimental, cuando la COFEPRIS determinara que el producto cumple con los criterios nutrimentales para ello.</w:t>
      </w:r>
    </w:p>
    <w:p w14:paraId="7CD2A780" w14:textId="77777777" w:rsidR="00D807AE" w:rsidRPr="00C67536" w:rsidRDefault="00D807AE" w:rsidP="00D807AE">
      <w:pPr>
        <w:pStyle w:val="ListParagraph"/>
        <w:rPr>
          <w:rFonts w:cs="Arial"/>
          <w:sz w:val="28"/>
          <w:szCs w:val="28"/>
        </w:rPr>
      </w:pPr>
    </w:p>
    <w:p w14:paraId="121F30FE" w14:textId="77777777" w:rsidR="00D807AE"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Con motivo de ello, el quince de abril de dos mil catorce, se publicó el “Acuerdo por el que se emiten los Lineamientos a que se refiere el artículo 25 del Reglamento de Control Sanitario de Productos y Servicios que deberán observar los productores de alimentos y bebidas no alcohólicas pre envasadas para efectos de la información que deberán ostentar en el área frontal de exhibición, así como los criterios y las características para la obtención y uso del distintivo nutrimental a que se refiere el artículo 25 Bis del Reglamento de Control Sanitario de productos y Servicios”, emitido por el Comisionado Federal para la Protección Contra Riesgos Sanitarios, en el que se determinó que el sistema de etiquetado frontal de dichos productos, de debía quedar gráficamente como a continuación se especifica: </w:t>
      </w:r>
    </w:p>
    <w:p w14:paraId="51A72FC7" w14:textId="77777777" w:rsidR="00D807AE" w:rsidRPr="00C67536" w:rsidRDefault="00D807AE" w:rsidP="00D807AE">
      <w:pPr>
        <w:pStyle w:val="ListParagraph"/>
        <w:rPr>
          <w:rFonts w:cs="Arial"/>
          <w:sz w:val="28"/>
          <w:szCs w:val="28"/>
        </w:rPr>
      </w:pPr>
    </w:p>
    <w:p w14:paraId="6AFD026B" w14:textId="085B37F8" w:rsidR="00D807AE" w:rsidRPr="00C67536" w:rsidRDefault="00D807AE" w:rsidP="00D807AE">
      <w:pPr>
        <w:pStyle w:val="corte4fondo"/>
        <w:ind w:firstLine="0"/>
        <w:rPr>
          <w:rFonts w:eastAsiaTheme="minorHAnsi" w:cs="Arial"/>
          <w:bCs/>
          <w:sz w:val="28"/>
          <w:szCs w:val="28"/>
          <w:lang w:eastAsia="en-US"/>
        </w:rPr>
      </w:pPr>
      <w:r w:rsidRPr="00C67536">
        <w:rPr>
          <w:rFonts w:cs="Arial"/>
          <w:i/>
          <w:iCs/>
          <w:noProof/>
          <w:color w:val="2F2F2F"/>
          <w:sz w:val="28"/>
          <w:szCs w:val="28"/>
          <w:lang w:val="es-MX"/>
        </w:rPr>
        <w:drawing>
          <wp:inline distT="0" distB="0" distL="0" distR="0" wp14:anchorId="2E7EE396" wp14:editId="54EDB7B3">
            <wp:extent cx="5106035" cy="1331595"/>
            <wp:effectExtent l="0" t="0" r="0" b="1905"/>
            <wp:docPr id="1302082207" name="Imagen 1302082207" descr="http://www.dof.gob.mx/imagenes_diarios/2014/04/15/MAT/salud11_Cimg_72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4/04/15/MAT/salud11_Cimg_7238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6035" cy="1331595"/>
                    </a:xfrm>
                    <a:prstGeom prst="rect">
                      <a:avLst/>
                    </a:prstGeom>
                    <a:noFill/>
                    <a:ln>
                      <a:noFill/>
                    </a:ln>
                  </pic:spPr>
                </pic:pic>
              </a:graphicData>
            </a:graphic>
          </wp:inline>
        </w:drawing>
      </w:r>
    </w:p>
    <w:p w14:paraId="0752A39B" w14:textId="77777777" w:rsidR="00D807AE" w:rsidRPr="00C67536" w:rsidRDefault="00D807AE" w:rsidP="00D807AE">
      <w:pPr>
        <w:pStyle w:val="ListParagraph"/>
        <w:rPr>
          <w:rFonts w:cs="Arial"/>
          <w:sz w:val="28"/>
          <w:szCs w:val="28"/>
        </w:rPr>
      </w:pPr>
    </w:p>
    <w:p w14:paraId="1FC306B4" w14:textId="77777777" w:rsidR="00514717"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Como se aprecia, el sistema de etiquetado frontal anterior que imperaba en territorio nacional, era de los conocidos como GDA “Guías Diarias de Alimentación”, que están basadas en las</w:t>
      </w:r>
      <w:r w:rsidRPr="00C67536">
        <w:rPr>
          <w:rFonts w:cs="Arial"/>
          <w:spacing w:val="-14"/>
          <w:sz w:val="28"/>
          <w:szCs w:val="28"/>
        </w:rPr>
        <w:t xml:space="preserve"> </w:t>
      </w:r>
      <w:r w:rsidRPr="00C67536">
        <w:rPr>
          <w:rFonts w:cs="Arial"/>
          <w:sz w:val="28"/>
          <w:szCs w:val="28"/>
        </w:rPr>
        <w:t>guías</w:t>
      </w:r>
      <w:r w:rsidRPr="00C67536">
        <w:rPr>
          <w:rFonts w:cs="Arial"/>
          <w:spacing w:val="-14"/>
          <w:sz w:val="28"/>
          <w:szCs w:val="28"/>
        </w:rPr>
        <w:t xml:space="preserve"> </w:t>
      </w:r>
      <w:r w:rsidRPr="00C67536">
        <w:rPr>
          <w:rFonts w:cs="Arial"/>
          <w:sz w:val="28"/>
          <w:szCs w:val="28"/>
        </w:rPr>
        <w:t>que</w:t>
      </w:r>
      <w:r w:rsidRPr="00C67536">
        <w:rPr>
          <w:rFonts w:cs="Arial"/>
          <w:spacing w:val="-14"/>
          <w:sz w:val="28"/>
          <w:szCs w:val="28"/>
        </w:rPr>
        <w:t xml:space="preserve"> </w:t>
      </w:r>
      <w:r w:rsidRPr="00C67536">
        <w:rPr>
          <w:rFonts w:cs="Arial"/>
          <w:sz w:val="28"/>
          <w:szCs w:val="28"/>
        </w:rPr>
        <w:t>indican</w:t>
      </w:r>
      <w:r w:rsidRPr="00C67536">
        <w:rPr>
          <w:rFonts w:cs="Arial"/>
          <w:spacing w:val="-13"/>
          <w:sz w:val="28"/>
          <w:szCs w:val="28"/>
        </w:rPr>
        <w:t xml:space="preserve"> </w:t>
      </w:r>
      <w:r w:rsidRPr="00C67536">
        <w:rPr>
          <w:rFonts w:cs="Arial"/>
          <w:sz w:val="28"/>
          <w:szCs w:val="28"/>
        </w:rPr>
        <w:t>la</w:t>
      </w:r>
      <w:r w:rsidRPr="00C67536">
        <w:rPr>
          <w:rFonts w:cs="Arial"/>
          <w:spacing w:val="-13"/>
          <w:sz w:val="28"/>
          <w:szCs w:val="28"/>
        </w:rPr>
        <w:t xml:space="preserve"> </w:t>
      </w:r>
      <w:r w:rsidRPr="00C67536">
        <w:rPr>
          <w:rFonts w:cs="Arial"/>
          <w:sz w:val="28"/>
          <w:szCs w:val="28"/>
        </w:rPr>
        <w:t>cantidad</w:t>
      </w:r>
      <w:r w:rsidRPr="00C67536">
        <w:rPr>
          <w:rFonts w:cs="Arial"/>
          <w:spacing w:val="-13"/>
          <w:sz w:val="28"/>
          <w:szCs w:val="28"/>
        </w:rPr>
        <w:t xml:space="preserve"> </w:t>
      </w:r>
      <w:r w:rsidRPr="00C67536">
        <w:rPr>
          <w:rFonts w:cs="Arial"/>
          <w:sz w:val="28"/>
          <w:szCs w:val="28"/>
        </w:rPr>
        <w:t>y</w:t>
      </w:r>
      <w:r w:rsidRPr="00C67536">
        <w:rPr>
          <w:rFonts w:cs="Arial"/>
          <w:spacing w:val="-16"/>
          <w:sz w:val="28"/>
          <w:szCs w:val="28"/>
        </w:rPr>
        <w:t xml:space="preserve"> </w:t>
      </w:r>
      <w:r w:rsidRPr="00C67536">
        <w:rPr>
          <w:rFonts w:cs="Arial"/>
          <w:sz w:val="28"/>
          <w:szCs w:val="28"/>
        </w:rPr>
        <w:t>el</w:t>
      </w:r>
      <w:r w:rsidRPr="00C67536">
        <w:rPr>
          <w:rFonts w:cs="Arial"/>
          <w:spacing w:val="-14"/>
          <w:sz w:val="28"/>
          <w:szCs w:val="28"/>
        </w:rPr>
        <w:t xml:space="preserve"> </w:t>
      </w:r>
      <w:r w:rsidRPr="00C67536">
        <w:rPr>
          <w:rFonts w:cs="Arial"/>
          <w:sz w:val="28"/>
          <w:szCs w:val="28"/>
        </w:rPr>
        <w:t>porcentaje</w:t>
      </w:r>
      <w:r w:rsidRPr="00C67536">
        <w:rPr>
          <w:rFonts w:cs="Arial"/>
          <w:spacing w:val="-14"/>
          <w:sz w:val="28"/>
          <w:szCs w:val="28"/>
        </w:rPr>
        <w:t xml:space="preserve"> </w:t>
      </w:r>
      <w:r w:rsidRPr="00C67536">
        <w:rPr>
          <w:rFonts w:cs="Arial"/>
          <w:sz w:val="28"/>
          <w:szCs w:val="28"/>
        </w:rPr>
        <w:t>de</w:t>
      </w:r>
      <w:r w:rsidRPr="00C67536">
        <w:rPr>
          <w:rFonts w:cs="Arial"/>
          <w:spacing w:val="-16"/>
          <w:sz w:val="28"/>
          <w:szCs w:val="28"/>
        </w:rPr>
        <w:t xml:space="preserve"> </w:t>
      </w:r>
      <w:r w:rsidRPr="00C67536">
        <w:rPr>
          <w:rFonts w:cs="Arial"/>
          <w:sz w:val="28"/>
          <w:szCs w:val="28"/>
        </w:rPr>
        <w:t>grasa</w:t>
      </w:r>
      <w:r w:rsidRPr="00C67536">
        <w:rPr>
          <w:rFonts w:cs="Arial"/>
          <w:spacing w:val="-13"/>
          <w:sz w:val="28"/>
          <w:szCs w:val="28"/>
        </w:rPr>
        <w:t xml:space="preserve"> </w:t>
      </w:r>
      <w:r w:rsidRPr="00C67536">
        <w:rPr>
          <w:rFonts w:cs="Arial"/>
          <w:sz w:val="28"/>
          <w:szCs w:val="28"/>
        </w:rPr>
        <w:t>saturada, otras</w:t>
      </w:r>
      <w:r w:rsidRPr="00C67536">
        <w:rPr>
          <w:rFonts w:cs="Arial"/>
          <w:spacing w:val="11"/>
          <w:sz w:val="28"/>
          <w:szCs w:val="28"/>
        </w:rPr>
        <w:t xml:space="preserve"> </w:t>
      </w:r>
      <w:r w:rsidRPr="00C67536">
        <w:rPr>
          <w:rFonts w:cs="Arial"/>
          <w:sz w:val="28"/>
          <w:szCs w:val="28"/>
        </w:rPr>
        <w:t>grasas,</w:t>
      </w:r>
      <w:r w:rsidRPr="00C67536">
        <w:rPr>
          <w:rFonts w:cs="Arial"/>
          <w:spacing w:val="13"/>
          <w:sz w:val="28"/>
          <w:szCs w:val="28"/>
        </w:rPr>
        <w:t xml:space="preserve"> </w:t>
      </w:r>
      <w:r w:rsidRPr="00C67536">
        <w:rPr>
          <w:rFonts w:cs="Arial"/>
          <w:sz w:val="28"/>
          <w:szCs w:val="28"/>
        </w:rPr>
        <w:t>azúcares</w:t>
      </w:r>
      <w:r w:rsidRPr="00C67536">
        <w:rPr>
          <w:rFonts w:cs="Arial"/>
          <w:spacing w:val="12"/>
          <w:sz w:val="28"/>
          <w:szCs w:val="28"/>
        </w:rPr>
        <w:t xml:space="preserve"> </w:t>
      </w:r>
      <w:r w:rsidRPr="00C67536">
        <w:rPr>
          <w:rFonts w:cs="Arial"/>
          <w:sz w:val="28"/>
          <w:szCs w:val="28"/>
        </w:rPr>
        <w:t>totales,</w:t>
      </w:r>
      <w:r w:rsidRPr="00C67536">
        <w:rPr>
          <w:rFonts w:cs="Arial"/>
          <w:spacing w:val="16"/>
          <w:sz w:val="28"/>
          <w:szCs w:val="28"/>
        </w:rPr>
        <w:t xml:space="preserve"> </w:t>
      </w:r>
      <w:r w:rsidRPr="00C67536">
        <w:rPr>
          <w:rFonts w:cs="Arial"/>
          <w:sz w:val="28"/>
          <w:szCs w:val="28"/>
        </w:rPr>
        <w:t>sodio</w:t>
      </w:r>
      <w:r w:rsidRPr="00C67536">
        <w:rPr>
          <w:rFonts w:cs="Arial"/>
          <w:spacing w:val="13"/>
          <w:sz w:val="28"/>
          <w:szCs w:val="28"/>
        </w:rPr>
        <w:t xml:space="preserve"> </w:t>
      </w:r>
      <w:r w:rsidRPr="00C67536">
        <w:rPr>
          <w:rFonts w:cs="Arial"/>
          <w:sz w:val="28"/>
          <w:szCs w:val="28"/>
        </w:rPr>
        <w:t>y</w:t>
      </w:r>
      <w:r w:rsidRPr="00C67536">
        <w:rPr>
          <w:rFonts w:cs="Arial"/>
          <w:spacing w:val="12"/>
          <w:sz w:val="28"/>
          <w:szCs w:val="28"/>
        </w:rPr>
        <w:t xml:space="preserve"> </w:t>
      </w:r>
      <w:r w:rsidRPr="00C67536">
        <w:rPr>
          <w:rFonts w:cs="Arial"/>
          <w:sz w:val="28"/>
          <w:szCs w:val="28"/>
        </w:rPr>
        <w:t>energía</w:t>
      </w:r>
      <w:r w:rsidRPr="00C67536">
        <w:rPr>
          <w:rFonts w:cs="Arial"/>
          <w:spacing w:val="14"/>
          <w:sz w:val="28"/>
          <w:szCs w:val="28"/>
        </w:rPr>
        <w:t xml:space="preserve"> </w:t>
      </w:r>
      <w:r w:rsidRPr="00C67536">
        <w:rPr>
          <w:rFonts w:cs="Arial"/>
          <w:sz w:val="28"/>
          <w:szCs w:val="28"/>
        </w:rPr>
        <w:t>(en</w:t>
      </w:r>
      <w:r w:rsidRPr="00C67536">
        <w:rPr>
          <w:rFonts w:cs="Arial"/>
          <w:spacing w:val="13"/>
          <w:sz w:val="28"/>
          <w:szCs w:val="28"/>
        </w:rPr>
        <w:t xml:space="preserve"> </w:t>
      </w:r>
      <w:r w:rsidRPr="00C67536">
        <w:rPr>
          <w:rFonts w:cs="Arial"/>
          <w:sz w:val="28"/>
          <w:szCs w:val="28"/>
        </w:rPr>
        <w:t>kcal)</w:t>
      </w:r>
      <w:r w:rsidRPr="00C67536">
        <w:rPr>
          <w:rFonts w:cs="Arial"/>
          <w:spacing w:val="11"/>
          <w:sz w:val="28"/>
          <w:szCs w:val="28"/>
        </w:rPr>
        <w:t xml:space="preserve"> </w:t>
      </w:r>
      <w:r w:rsidRPr="00C67536">
        <w:rPr>
          <w:rFonts w:cs="Arial"/>
          <w:sz w:val="28"/>
          <w:szCs w:val="28"/>
        </w:rPr>
        <w:t>por</w:t>
      </w:r>
      <w:r w:rsidRPr="00C67536">
        <w:rPr>
          <w:rFonts w:cs="Arial"/>
          <w:spacing w:val="11"/>
          <w:sz w:val="28"/>
          <w:szCs w:val="28"/>
        </w:rPr>
        <w:t xml:space="preserve"> </w:t>
      </w:r>
      <w:r w:rsidRPr="00C67536">
        <w:rPr>
          <w:rFonts w:cs="Arial"/>
          <w:sz w:val="28"/>
          <w:szCs w:val="28"/>
        </w:rPr>
        <w:t>el</w:t>
      </w:r>
      <w:r w:rsidRPr="00C67536">
        <w:rPr>
          <w:rFonts w:cs="Arial"/>
          <w:spacing w:val="12"/>
          <w:sz w:val="28"/>
          <w:szCs w:val="28"/>
        </w:rPr>
        <w:t xml:space="preserve"> </w:t>
      </w:r>
      <w:r w:rsidRPr="00C67536">
        <w:rPr>
          <w:rFonts w:cs="Arial"/>
          <w:sz w:val="28"/>
          <w:szCs w:val="28"/>
        </w:rPr>
        <w:t>contenido</w:t>
      </w:r>
      <w:r w:rsidRPr="00C67536">
        <w:rPr>
          <w:rFonts w:cs="Arial"/>
          <w:spacing w:val="13"/>
          <w:sz w:val="28"/>
          <w:szCs w:val="28"/>
        </w:rPr>
        <w:t xml:space="preserve"> </w:t>
      </w:r>
      <w:r w:rsidRPr="00C67536">
        <w:rPr>
          <w:rFonts w:cs="Arial"/>
          <w:sz w:val="28"/>
          <w:szCs w:val="28"/>
        </w:rPr>
        <w:t>total</w:t>
      </w:r>
      <w:r w:rsidRPr="00C67536">
        <w:rPr>
          <w:rFonts w:cs="Arial"/>
          <w:spacing w:val="12"/>
          <w:sz w:val="28"/>
          <w:szCs w:val="28"/>
        </w:rPr>
        <w:t xml:space="preserve"> </w:t>
      </w:r>
      <w:r w:rsidRPr="00C67536">
        <w:rPr>
          <w:rFonts w:cs="Arial"/>
          <w:sz w:val="28"/>
          <w:szCs w:val="28"/>
        </w:rPr>
        <w:t>del envase y por porción.</w:t>
      </w:r>
    </w:p>
    <w:p w14:paraId="43DDCF1A" w14:textId="77777777" w:rsidR="00514717" w:rsidRPr="00C67536" w:rsidRDefault="00514717" w:rsidP="00514717">
      <w:pPr>
        <w:pStyle w:val="corte4fondo"/>
        <w:ind w:firstLine="0"/>
        <w:rPr>
          <w:rFonts w:eastAsiaTheme="minorHAnsi" w:cs="Arial"/>
          <w:bCs/>
          <w:sz w:val="28"/>
          <w:szCs w:val="28"/>
          <w:lang w:eastAsia="en-US"/>
        </w:rPr>
      </w:pPr>
    </w:p>
    <w:p w14:paraId="5B731BAF" w14:textId="4664051C" w:rsidR="00940747"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
          <w:sz w:val="28"/>
          <w:szCs w:val="28"/>
        </w:rPr>
        <w:t>Nuevo sistema de etiquetado frontal (impugnado).</w:t>
      </w:r>
      <w:r w:rsidRPr="00C67536">
        <w:rPr>
          <w:rFonts w:cs="Arial"/>
          <w:bCs/>
          <w:sz w:val="28"/>
          <w:szCs w:val="28"/>
        </w:rPr>
        <w:t xml:space="preserve"> El sistema de etiquetado frontal vigente, se implementó con motivo de la reforma a los artículos 212, párrafo tercero</w:t>
      </w:r>
      <w:r w:rsidR="00D17E2E">
        <w:rPr>
          <w:rFonts w:cs="Arial"/>
          <w:bCs/>
          <w:sz w:val="28"/>
          <w:szCs w:val="28"/>
        </w:rPr>
        <w:t xml:space="preserve"> y </w:t>
      </w:r>
      <w:r w:rsidRPr="00C67536">
        <w:rPr>
          <w:rFonts w:cs="Arial"/>
          <w:bCs/>
          <w:sz w:val="28"/>
          <w:szCs w:val="28"/>
        </w:rPr>
        <w:t xml:space="preserve">215, fracción VI, ambos de la Ley General de Salud; lo que se vio reflejado, en lo que es materia de análisis, </w:t>
      </w:r>
      <w:r w:rsidRPr="00C67536">
        <w:rPr>
          <w:rFonts w:cs="Arial"/>
          <w:sz w:val="28"/>
          <w:szCs w:val="28"/>
        </w:rPr>
        <w:t>en lo</w:t>
      </w:r>
      <w:r w:rsidRPr="00C67536">
        <w:rPr>
          <w:rFonts w:eastAsiaTheme="minorHAnsi" w:cs="Arial"/>
          <w:sz w:val="28"/>
          <w:szCs w:val="28"/>
          <w:lang w:eastAsia="en-US"/>
        </w:rPr>
        <w:t xml:space="preserve">s numerales 1, </w:t>
      </w:r>
      <w:r w:rsidRPr="00C67536">
        <w:rPr>
          <w:rFonts w:cs="Arial"/>
          <w:sz w:val="28"/>
          <w:szCs w:val="28"/>
        </w:rPr>
        <w:t>4.5.3.4 al 4.5.3.4.7, 7.1.3 y 7.1.4</w:t>
      </w:r>
      <w:r w:rsidRPr="00C67536">
        <w:rPr>
          <w:rFonts w:eastAsiaTheme="minorHAnsi" w:cs="Arial"/>
          <w:sz w:val="28"/>
          <w:szCs w:val="28"/>
          <w:lang w:eastAsia="en-US"/>
        </w:rPr>
        <w:t xml:space="preserve"> de la “Modificación a la Norma Oficial Mexicana NOM-051- SCF/SSA1-2010, Especificaciones generales de etiquetado para alimentos y bebidas no alcohólicas preenvasados-información comercial y sanitaria”, publicada en el Diario Oficial de la Federación el veintisiete de marzo de dos mil veinte, establecen lo siguiente:</w:t>
      </w:r>
    </w:p>
    <w:p w14:paraId="69F9DEBD" w14:textId="77777777" w:rsidR="00940747" w:rsidRPr="00C67536" w:rsidRDefault="00940747" w:rsidP="00940747">
      <w:pPr>
        <w:pStyle w:val="ListParagraph"/>
        <w:rPr>
          <w:rFonts w:cs="Arial"/>
          <w:sz w:val="28"/>
          <w:szCs w:val="28"/>
        </w:rPr>
      </w:pPr>
    </w:p>
    <w:p w14:paraId="1EB1533D" w14:textId="4DEF3CE4" w:rsidR="00940747"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
          <w:bCs/>
          <w:sz w:val="28"/>
          <w:szCs w:val="28"/>
        </w:rPr>
        <w:t>Ley General de Salud</w:t>
      </w:r>
      <w:r w:rsidR="00DC17B3" w:rsidRPr="00C67536">
        <w:rPr>
          <w:rFonts w:cs="Arial"/>
          <w:sz w:val="28"/>
          <w:szCs w:val="28"/>
        </w:rPr>
        <w:t xml:space="preserve">. Al respecto, los </w:t>
      </w:r>
      <w:r w:rsidR="00DC17B3" w:rsidRPr="00C67536">
        <w:rPr>
          <w:rFonts w:cs="Arial"/>
          <w:bCs/>
          <w:sz w:val="28"/>
          <w:szCs w:val="28"/>
        </w:rPr>
        <w:t xml:space="preserve">artículos 212, párrafo tercero, </w:t>
      </w:r>
      <w:r w:rsidR="00D17E2E">
        <w:rPr>
          <w:rFonts w:cs="Arial"/>
          <w:bCs/>
          <w:sz w:val="28"/>
          <w:szCs w:val="28"/>
        </w:rPr>
        <w:t xml:space="preserve">y </w:t>
      </w:r>
      <w:r w:rsidR="00DC17B3" w:rsidRPr="00C67536">
        <w:rPr>
          <w:rFonts w:cs="Arial"/>
          <w:bCs/>
          <w:sz w:val="28"/>
          <w:szCs w:val="28"/>
        </w:rPr>
        <w:t>215, fracción VI, ambos de la Ley General de Salud, establecen:</w:t>
      </w:r>
    </w:p>
    <w:p w14:paraId="13D317BD" w14:textId="77777777" w:rsidR="00940747" w:rsidRPr="00C67536" w:rsidRDefault="00940747" w:rsidP="00940747">
      <w:pPr>
        <w:pStyle w:val="ListParagraph"/>
        <w:rPr>
          <w:rFonts w:eastAsiaTheme="minorHAnsi" w:cs="Arial"/>
          <w:sz w:val="28"/>
          <w:szCs w:val="28"/>
          <w:lang w:eastAsia="en-US"/>
        </w:rPr>
      </w:pPr>
    </w:p>
    <w:p w14:paraId="4E639B63" w14:textId="27E748AD" w:rsidR="00940747" w:rsidRPr="00C67536" w:rsidRDefault="00940747" w:rsidP="00940747">
      <w:pPr>
        <w:pStyle w:val="Estilo"/>
        <w:ind w:left="567" w:right="567"/>
        <w:rPr>
          <w:rFonts w:cs="Arial"/>
          <w:sz w:val="26"/>
          <w:szCs w:val="26"/>
        </w:rPr>
      </w:pPr>
      <w:r w:rsidRPr="00C67536">
        <w:rPr>
          <w:rFonts w:cs="Arial"/>
          <w:b/>
          <w:bCs/>
          <w:sz w:val="26"/>
          <w:szCs w:val="26"/>
        </w:rPr>
        <w:t>ART</w:t>
      </w:r>
      <w:r w:rsidR="00881D69" w:rsidRPr="00C67536">
        <w:rPr>
          <w:rFonts w:cs="Arial"/>
          <w:b/>
          <w:bCs/>
          <w:sz w:val="26"/>
          <w:szCs w:val="26"/>
        </w:rPr>
        <w:t>Í</w:t>
      </w:r>
      <w:r w:rsidRPr="00C67536">
        <w:rPr>
          <w:rFonts w:cs="Arial"/>
          <w:b/>
          <w:bCs/>
          <w:sz w:val="26"/>
          <w:szCs w:val="26"/>
        </w:rPr>
        <w:t>CULO 212</w:t>
      </w:r>
      <w:r w:rsidRPr="00C67536">
        <w:rPr>
          <w:rFonts w:cs="Arial"/>
          <w:sz w:val="26"/>
          <w:szCs w:val="26"/>
        </w:rPr>
        <w:t xml:space="preserve">.- La naturaleza del producto, la fórmula, la composición, calidad, denominación distintiva o marca, denominación genérica y específica, información de las etiquetas y contra etiquetas, deberán </w:t>
      </w:r>
      <w:r w:rsidRPr="00C67536">
        <w:rPr>
          <w:rFonts w:cs="Arial"/>
          <w:b/>
          <w:bCs/>
          <w:sz w:val="26"/>
          <w:szCs w:val="26"/>
        </w:rPr>
        <w:t>corresponder a las especificaciones establecidas por la Secretaría de Salud</w:t>
      </w:r>
      <w:r w:rsidRPr="00C67536">
        <w:rPr>
          <w:rFonts w:cs="Arial"/>
          <w:sz w:val="26"/>
          <w:szCs w:val="26"/>
        </w:rPr>
        <w:t>, de conformidad con las disposiciones aplicables, y responderán exactamente a la naturaleza del producto que se consume, sin modificarse; para tal efecto se observará lo señalado en la fracción VI del artículo 115.</w:t>
      </w:r>
    </w:p>
    <w:p w14:paraId="5E4CF390" w14:textId="77777777" w:rsidR="00940747" w:rsidRPr="00C67536" w:rsidRDefault="00940747" w:rsidP="00940747">
      <w:pPr>
        <w:pStyle w:val="Estilo"/>
        <w:ind w:left="567" w:right="567"/>
        <w:rPr>
          <w:rFonts w:cs="Arial"/>
          <w:sz w:val="26"/>
          <w:szCs w:val="26"/>
        </w:rPr>
      </w:pPr>
      <w:r w:rsidRPr="00C67536">
        <w:rPr>
          <w:rFonts w:cs="Arial"/>
          <w:sz w:val="26"/>
          <w:szCs w:val="26"/>
        </w:rPr>
        <w:t>Las etiquetas o contra etiquetas para los alimentos y bebidas no alcohólicas, deberán incluir información nutrimental de fácil comprensión, veraz, directa, sencilla y visible.</w:t>
      </w:r>
    </w:p>
    <w:p w14:paraId="4928C9E8" w14:textId="77777777" w:rsidR="00940747" w:rsidRPr="00C67536" w:rsidRDefault="00940747" w:rsidP="00940747">
      <w:pPr>
        <w:pStyle w:val="Estilo"/>
        <w:ind w:left="567" w:right="567"/>
        <w:rPr>
          <w:rFonts w:cs="Arial"/>
          <w:b/>
          <w:bCs/>
          <w:sz w:val="26"/>
          <w:szCs w:val="26"/>
        </w:rPr>
      </w:pPr>
      <w:r w:rsidRPr="00C67536">
        <w:rPr>
          <w:rFonts w:cs="Arial"/>
          <w:b/>
          <w:bCs/>
          <w:sz w:val="26"/>
          <w:szCs w:val="26"/>
        </w:rPr>
        <w:t>Además de lo dispuesto en el párrafo anterior, el etiquetado frontal de advertencia deberá hacerse en forma separada e independiente a la declaración de ingredientes e información nutrimental, para indicar los productos que excedan los límites máximos de contenido energético, azúcares añadidos, grasas saturadas, sodio y los demás nutrimentos críticos e ingredientes que establezcan las disposiciones normativas competentes.</w:t>
      </w:r>
    </w:p>
    <w:p w14:paraId="3CD6A704" w14:textId="77777777" w:rsidR="00940747" w:rsidRPr="00C67536" w:rsidRDefault="00940747" w:rsidP="00940747">
      <w:pPr>
        <w:pStyle w:val="Estilo"/>
        <w:ind w:left="567" w:right="567"/>
        <w:rPr>
          <w:rFonts w:cs="Arial"/>
          <w:sz w:val="26"/>
          <w:szCs w:val="26"/>
        </w:rPr>
      </w:pPr>
      <w:r w:rsidRPr="00C67536">
        <w:rPr>
          <w:rFonts w:cs="Arial"/>
          <w:sz w:val="26"/>
          <w:szCs w:val="26"/>
        </w:rPr>
        <w:t>La Secretaría de Salud podrá ordenar la inclusión de leyendas o pictogramas cuando lo considere necesario.</w:t>
      </w:r>
    </w:p>
    <w:p w14:paraId="11D22736" w14:textId="77777777" w:rsidR="00940747" w:rsidRPr="00C67536" w:rsidRDefault="00940747" w:rsidP="00940747">
      <w:pPr>
        <w:pStyle w:val="corte4fondo"/>
        <w:spacing w:line="240" w:lineRule="auto"/>
        <w:ind w:left="567" w:right="567" w:firstLine="0"/>
        <w:rPr>
          <w:rFonts w:cs="Arial"/>
          <w:sz w:val="26"/>
          <w:szCs w:val="26"/>
        </w:rPr>
      </w:pPr>
      <w:r w:rsidRPr="00C67536">
        <w:rPr>
          <w:rFonts w:cs="Arial"/>
          <w:sz w:val="26"/>
          <w:szCs w:val="26"/>
        </w:rPr>
        <w:t>En la marca o denominación de los productos, no podrán incluirse clara o veladamente indicaciones con relación a enfermedades, síndromes, signos o síntomas, ni aquellos que refieran datos anatómicos o fisiológicos.</w:t>
      </w:r>
    </w:p>
    <w:p w14:paraId="46370587" w14:textId="063E292A" w:rsidR="00940747" w:rsidRPr="00C67536" w:rsidRDefault="00940747" w:rsidP="00940747">
      <w:pPr>
        <w:pStyle w:val="Estilo"/>
        <w:ind w:left="567" w:right="567"/>
        <w:rPr>
          <w:rFonts w:cs="Arial"/>
          <w:sz w:val="26"/>
          <w:szCs w:val="26"/>
        </w:rPr>
      </w:pPr>
      <w:r w:rsidRPr="00C67536">
        <w:rPr>
          <w:rFonts w:cs="Arial"/>
          <w:b/>
          <w:bCs/>
          <w:sz w:val="26"/>
          <w:szCs w:val="26"/>
        </w:rPr>
        <w:t>ART</w:t>
      </w:r>
      <w:r w:rsidR="00881D69" w:rsidRPr="00C67536">
        <w:rPr>
          <w:rFonts w:cs="Arial"/>
          <w:b/>
          <w:bCs/>
          <w:sz w:val="26"/>
          <w:szCs w:val="26"/>
        </w:rPr>
        <w:t>Í</w:t>
      </w:r>
      <w:r w:rsidRPr="00C67536">
        <w:rPr>
          <w:rFonts w:cs="Arial"/>
          <w:b/>
          <w:bCs/>
          <w:sz w:val="26"/>
          <w:szCs w:val="26"/>
        </w:rPr>
        <w:t>CULO 215</w:t>
      </w:r>
      <w:r w:rsidRPr="00C67536">
        <w:rPr>
          <w:rFonts w:cs="Arial"/>
          <w:sz w:val="26"/>
          <w:szCs w:val="26"/>
        </w:rPr>
        <w:t>.- Para los efectos de esta Ley, se entiende por:</w:t>
      </w:r>
    </w:p>
    <w:p w14:paraId="47DBEDC0" w14:textId="77777777" w:rsidR="00940747" w:rsidRPr="00C67536" w:rsidRDefault="00940747" w:rsidP="00940747">
      <w:pPr>
        <w:pStyle w:val="Estilo"/>
        <w:ind w:left="567" w:right="567"/>
        <w:rPr>
          <w:rFonts w:cs="Arial"/>
          <w:sz w:val="26"/>
          <w:szCs w:val="26"/>
        </w:rPr>
      </w:pPr>
      <w:r w:rsidRPr="00C67536">
        <w:rPr>
          <w:rFonts w:cs="Arial"/>
          <w:sz w:val="26"/>
          <w:szCs w:val="26"/>
        </w:rPr>
        <w:t>…</w:t>
      </w:r>
    </w:p>
    <w:p w14:paraId="5B3CB331" w14:textId="77777777" w:rsidR="00940747" w:rsidRPr="00C67536" w:rsidRDefault="00940747" w:rsidP="00940747">
      <w:pPr>
        <w:pStyle w:val="corte4fondo"/>
        <w:spacing w:line="240" w:lineRule="auto"/>
        <w:ind w:left="567" w:right="567" w:firstLine="0"/>
        <w:rPr>
          <w:rFonts w:cs="Arial"/>
          <w:sz w:val="26"/>
          <w:szCs w:val="26"/>
        </w:rPr>
      </w:pPr>
      <w:r w:rsidRPr="002B7467">
        <w:rPr>
          <w:rFonts w:cs="Arial"/>
          <w:b/>
          <w:bCs/>
          <w:sz w:val="26"/>
          <w:szCs w:val="26"/>
        </w:rPr>
        <w:t>VI.-</w:t>
      </w:r>
      <w:r w:rsidRPr="00C67536">
        <w:rPr>
          <w:rFonts w:cs="Arial"/>
          <w:sz w:val="26"/>
          <w:szCs w:val="26"/>
        </w:rPr>
        <w:t xml:space="preserve"> Etiquetado frontal de advertencia de alimentos y bebidas no alcohólicas: Sistema de información simplificada en el área frontal de exhibición del envase, el cual debe advertir de manera veraz, clara, rápida y simple sobre el contenido que exceda los niveles máximos de contenido energético, azúcares añadidos, grasas saturadas, grasas, sodio y los nutrimentos críticos, ingredientes y las demás que determine la Secretaría.</w:t>
      </w:r>
    </w:p>
    <w:p w14:paraId="253E633A" w14:textId="42B353D7" w:rsidR="00940747" w:rsidRPr="00C67536" w:rsidRDefault="00940747" w:rsidP="00940747">
      <w:pPr>
        <w:pStyle w:val="corte4fondo"/>
        <w:ind w:firstLine="567"/>
        <w:rPr>
          <w:rFonts w:eastAsiaTheme="minorHAnsi" w:cs="Arial"/>
          <w:bCs/>
          <w:sz w:val="28"/>
          <w:szCs w:val="28"/>
          <w:lang w:eastAsia="en-US"/>
        </w:rPr>
      </w:pPr>
      <w:r w:rsidRPr="00C67536">
        <w:rPr>
          <w:rFonts w:cs="Arial"/>
          <w:sz w:val="26"/>
          <w:szCs w:val="26"/>
        </w:rPr>
        <w:t>…”</w:t>
      </w:r>
    </w:p>
    <w:p w14:paraId="657180B5" w14:textId="77777777" w:rsidR="00940747" w:rsidRPr="00C67536" w:rsidRDefault="00940747" w:rsidP="00940747">
      <w:pPr>
        <w:pStyle w:val="ListParagraph"/>
        <w:rPr>
          <w:rFonts w:eastAsiaTheme="minorHAnsi" w:cs="Arial"/>
          <w:sz w:val="28"/>
          <w:szCs w:val="28"/>
          <w:lang w:eastAsia="en-US"/>
        </w:rPr>
      </w:pPr>
    </w:p>
    <w:p w14:paraId="2E2AF537" w14:textId="19BDEE87" w:rsidR="003B1E9D"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eastAsiaTheme="minorHAnsi" w:cs="Arial"/>
          <w:b/>
          <w:bCs/>
          <w:sz w:val="28"/>
          <w:szCs w:val="28"/>
          <w:lang w:val="es-MX" w:eastAsia="en-US"/>
        </w:rPr>
        <w:t>Modificación a la Norma Oficial Mexicana NOM-051-</w:t>
      </w:r>
      <w:r w:rsidRPr="00C67536">
        <w:rPr>
          <w:rFonts w:eastAsiaTheme="minorHAnsi" w:cs="Arial"/>
          <w:b/>
          <w:bCs/>
          <w:sz w:val="28"/>
          <w:szCs w:val="28"/>
          <w:lang w:eastAsia="en-US"/>
        </w:rPr>
        <w:t>SCF/SSA1-2010</w:t>
      </w:r>
      <w:r w:rsidR="00CA3A38" w:rsidRPr="00C67536">
        <w:rPr>
          <w:rFonts w:eastAsiaTheme="minorHAnsi" w:cs="Arial"/>
          <w:sz w:val="28"/>
          <w:szCs w:val="28"/>
          <w:lang w:eastAsia="en-US"/>
        </w:rPr>
        <w:t>. Por su parte, la citada norma mexicana, en lo que interesa, señala:</w:t>
      </w:r>
    </w:p>
    <w:p w14:paraId="52236142" w14:textId="77777777" w:rsidR="003B1E9D" w:rsidRPr="00C67536" w:rsidRDefault="003B1E9D" w:rsidP="003B1E9D">
      <w:pPr>
        <w:pStyle w:val="corte4fondo"/>
        <w:ind w:firstLine="0"/>
        <w:rPr>
          <w:rFonts w:eastAsiaTheme="minorHAnsi" w:cs="Arial"/>
          <w:bCs/>
          <w:sz w:val="28"/>
          <w:szCs w:val="28"/>
          <w:lang w:eastAsia="en-US"/>
        </w:rPr>
      </w:pPr>
    </w:p>
    <w:p w14:paraId="440A556C" w14:textId="77777777" w:rsidR="003B1E9D" w:rsidRPr="00C67536" w:rsidRDefault="003B1E9D" w:rsidP="003B1E9D">
      <w:pPr>
        <w:pStyle w:val="corte4fondo"/>
        <w:spacing w:line="240" w:lineRule="auto"/>
        <w:ind w:left="567" w:right="567" w:firstLine="0"/>
        <w:rPr>
          <w:rFonts w:cs="Arial"/>
          <w:bCs/>
          <w:sz w:val="26"/>
          <w:szCs w:val="26"/>
          <w:lang w:val="es-MX"/>
        </w:rPr>
      </w:pPr>
      <w:r w:rsidRPr="00C67536">
        <w:rPr>
          <w:rFonts w:cs="Arial"/>
          <w:bCs/>
          <w:sz w:val="26"/>
          <w:szCs w:val="26"/>
          <w:lang w:val="es-MX"/>
        </w:rPr>
        <w:t xml:space="preserve">“1. </w:t>
      </w:r>
      <w:r w:rsidRPr="00C67536">
        <w:rPr>
          <w:rFonts w:cs="Arial"/>
          <w:b/>
          <w:sz w:val="26"/>
          <w:szCs w:val="26"/>
          <w:lang w:val="es-MX"/>
        </w:rPr>
        <w:t>Objetivo y Campo de Aplicación</w:t>
      </w:r>
      <w:r w:rsidRPr="00C67536">
        <w:rPr>
          <w:rFonts w:cs="Arial"/>
          <w:bCs/>
          <w:sz w:val="26"/>
          <w:szCs w:val="26"/>
          <w:lang w:val="es-MX"/>
        </w:rPr>
        <w:t xml:space="preserve">. Esta Norma Oficial Mexicana tiene por objeto establecer la información comercial y sanitaria que debe contener el etiquetado del producto preenvasado destinado al consumidor final, de fabricación nacional o extranjera, comercializado en territorio nacional, así como determinar las características de dicha información y establecer un sistema de etiquetado frontal, el cual debe advertir de forma clara y veraz sobre el contenido de nutrimentos críticos e ingredientes que representan riesgos para su salud en un consumo excesivo. </w:t>
      </w:r>
    </w:p>
    <w:p w14:paraId="5B7BD82A" w14:textId="77777777" w:rsidR="003B1E9D" w:rsidRPr="00C67536" w:rsidRDefault="003B1E9D" w:rsidP="003B1E9D">
      <w:pPr>
        <w:pStyle w:val="corte4fondo"/>
        <w:spacing w:line="240" w:lineRule="auto"/>
        <w:ind w:left="567" w:right="567" w:firstLine="0"/>
        <w:rPr>
          <w:rFonts w:cs="Arial"/>
          <w:bCs/>
          <w:sz w:val="26"/>
          <w:szCs w:val="26"/>
          <w:lang w:val="es-MX"/>
        </w:rPr>
      </w:pPr>
      <w:r w:rsidRPr="00C67536">
        <w:rPr>
          <w:rFonts w:cs="Arial"/>
          <w:bCs/>
          <w:sz w:val="26"/>
          <w:szCs w:val="26"/>
          <w:lang w:val="es-MX"/>
        </w:rPr>
        <w:t>La presente Norma Oficial Mexicana no se aplica a:</w:t>
      </w:r>
    </w:p>
    <w:p w14:paraId="3920AB7C" w14:textId="77777777" w:rsidR="003B1E9D" w:rsidRPr="00C67536" w:rsidRDefault="003B1E9D" w:rsidP="003B1E9D">
      <w:pPr>
        <w:pStyle w:val="corte4fondo"/>
        <w:spacing w:line="240" w:lineRule="auto"/>
        <w:ind w:left="567" w:right="567" w:firstLine="0"/>
        <w:rPr>
          <w:rFonts w:cs="Arial"/>
          <w:bCs/>
          <w:sz w:val="26"/>
          <w:szCs w:val="26"/>
          <w:lang w:val="es-MX"/>
        </w:rPr>
      </w:pPr>
      <w:r w:rsidRPr="00C67536">
        <w:rPr>
          <w:rFonts w:cs="Arial"/>
          <w:bCs/>
          <w:sz w:val="26"/>
          <w:szCs w:val="26"/>
          <w:lang w:val="es-MX"/>
        </w:rPr>
        <w:t>a) los alimentos y las bebidas no alcohólicas preenvasados que estén sujetos a disposiciones de información comercial y sanitaria contenidas en Normas Oficiales Mexicanas específicas y que no incluyan como referencia normativa a esta Norma Oficial Mexicana, o en alguna otra reglamentación federal vigente que explícitamente excluya de su cumplimiento al presente ordenamiento;</w:t>
      </w:r>
    </w:p>
    <w:p w14:paraId="355F80ED" w14:textId="77777777" w:rsidR="003B1E9D" w:rsidRPr="00C67536" w:rsidRDefault="003B1E9D" w:rsidP="003B1E9D">
      <w:pPr>
        <w:pStyle w:val="corte4fondo"/>
        <w:spacing w:line="240" w:lineRule="auto"/>
        <w:ind w:left="567" w:right="567" w:firstLine="0"/>
        <w:rPr>
          <w:rFonts w:cs="Arial"/>
          <w:bCs/>
          <w:sz w:val="26"/>
          <w:szCs w:val="26"/>
          <w:lang w:val="es-MX"/>
        </w:rPr>
      </w:pPr>
      <w:r w:rsidRPr="00C67536">
        <w:rPr>
          <w:rFonts w:cs="Arial"/>
          <w:bCs/>
          <w:sz w:val="26"/>
          <w:szCs w:val="26"/>
          <w:lang w:val="es-MX"/>
        </w:rPr>
        <w:t>b) los alimentos y las bebidas no alcohólicas a granel;</w:t>
      </w:r>
    </w:p>
    <w:p w14:paraId="2BE1C583" w14:textId="77777777" w:rsidR="003B1E9D" w:rsidRPr="00C67536" w:rsidRDefault="003B1E9D" w:rsidP="003B1E9D">
      <w:pPr>
        <w:pStyle w:val="corte4fondo"/>
        <w:spacing w:line="240" w:lineRule="auto"/>
        <w:ind w:left="567" w:right="567" w:firstLine="0"/>
        <w:rPr>
          <w:rFonts w:cs="Arial"/>
          <w:bCs/>
          <w:sz w:val="26"/>
          <w:szCs w:val="26"/>
          <w:lang w:val="es-MX"/>
        </w:rPr>
      </w:pPr>
      <w:r w:rsidRPr="00C67536">
        <w:rPr>
          <w:rFonts w:cs="Arial"/>
          <w:bCs/>
          <w:sz w:val="26"/>
          <w:szCs w:val="26"/>
          <w:lang w:val="es-MX"/>
        </w:rPr>
        <w:t>c) los alimentos y las bebidas no alcohólicas envasados en punto de venta; y</w:t>
      </w:r>
    </w:p>
    <w:p w14:paraId="0F62FC06"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bCs/>
          <w:sz w:val="26"/>
          <w:szCs w:val="26"/>
          <w:lang w:val="es-MX"/>
        </w:rPr>
        <w:t>d) los demás productos que determine la autoridad competente, conforme a sus atribuciones.</w:t>
      </w:r>
    </w:p>
    <w:p w14:paraId="636B25F4" w14:textId="77777777" w:rsidR="003B1E9D" w:rsidRPr="00C67536" w:rsidRDefault="003B1E9D" w:rsidP="003B1E9D">
      <w:pPr>
        <w:pStyle w:val="corte4fondo"/>
        <w:spacing w:line="240" w:lineRule="auto"/>
        <w:ind w:left="567" w:right="567" w:firstLine="0"/>
        <w:rPr>
          <w:rFonts w:cs="Arial"/>
          <w:sz w:val="26"/>
          <w:szCs w:val="26"/>
          <w:lang w:val="es-MX"/>
        </w:rPr>
      </w:pPr>
    </w:p>
    <w:p w14:paraId="209BEF30" w14:textId="77777777" w:rsidR="003B1E9D" w:rsidRPr="00C67536" w:rsidRDefault="003B1E9D" w:rsidP="003B1E9D">
      <w:pPr>
        <w:pStyle w:val="corte4fondo"/>
        <w:ind w:left="567" w:right="567" w:firstLine="0"/>
        <w:rPr>
          <w:rFonts w:cs="Arial"/>
          <w:sz w:val="26"/>
          <w:szCs w:val="26"/>
          <w:lang w:val="es-MX"/>
        </w:rPr>
      </w:pPr>
      <w:r w:rsidRPr="00C67536">
        <w:rPr>
          <w:rFonts w:cs="Arial"/>
          <w:b/>
          <w:bCs/>
          <w:sz w:val="26"/>
          <w:szCs w:val="26"/>
          <w:lang w:val="es-MX"/>
        </w:rPr>
        <w:t>4.5.3.4 Sistema de etiquetado frontal</w:t>
      </w:r>
      <w:r w:rsidRPr="00C67536">
        <w:rPr>
          <w:rFonts w:cs="Arial"/>
          <w:sz w:val="26"/>
          <w:szCs w:val="26"/>
          <w:lang w:val="es-MX"/>
        </w:rPr>
        <w:t>.</w:t>
      </w:r>
    </w:p>
    <w:p w14:paraId="1933CD58"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 xml:space="preserve">El sistema de etiquetado frontal incluye la información nutrimental complementaria y las leyendas precautorias descritas en los numerales 7.1.3 y 7.1.4. </w:t>
      </w:r>
    </w:p>
    <w:p w14:paraId="735978B1"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b/>
          <w:bCs/>
          <w:sz w:val="26"/>
          <w:szCs w:val="26"/>
          <w:lang w:val="es-MX"/>
        </w:rPr>
        <w:t>4.5.3.4.1</w:t>
      </w:r>
      <w:r w:rsidRPr="00C67536">
        <w:rPr>
          <w:rFonts w:cs="Arial"/>
          <w:sz w:val="26"/>
          <w:szCs w:val="26"/>
          <w:lang w:val="es-MX"/>
        </w:rPr>
        <w:t xml:space="preserve"> La información nutrimental complementaria debe realizarse utilizando los sellos, según corresponda y conforme a lo establecido en el Apéndice A (Normativo).</w:t>
      </w:r>
    </w:p>
    <w:p w14:paraId="4A780254" w14:textId="77777777" w:rsidR="003B1E9D" w:rsidRPr="00C67536" w:rsidRDefault="003B1E9D" w:rsidP="003B1E9D">
      <w:pPr>
        <w:pStyle w:val="corte4fondo"/>
        <w:spacing w:line="240" w:lineRule="auto"/>
        <w:ind w:left="567" w:right="567" w:firstLine="0"/>
        <w:rPr>
          <w:rFonts w:cs="Arial"/>
          <w:sz w:val="28"/>
          <w:szCs w:val="28"/>
          <w:lang w:val="es-MX"/>
        </w:rPr>
      </w:pPr>
      <w:r w:rsidRPr="00C67536">
        <w:rPr>
          <w:rFonts w:cs="Arial"/>
          <w:noProof/>
          <w:sz w:val="28"/>
          <w:szCs w:val="28"/>
          <w:lang w:val="es-MX"/>
        </w:rPr>
        <w:drawing>
          <wp:anchor distT="0" distB="0" distL="0" distR="0" simplePos="0" relativeHeight="251658246" behindDoc="0" locked="0" layoutInCell="1" allowOverlap="1" wp14:anchorId="6AF6922E" wp14:editId="1052E83F">
            <wp:simplePos x="0" y="0"/>
            <wp:positionH relativeFrom="page">
              <wp:posOffset>1779270</wp:posOffset>
            </wp:positionH>
            <wp:positionV relativeFrom="paragraph">
              <wp:posOffset>288925</wp:posOffset>
            </wp:positionV>
            <wp:extent cx="4599305" cy="1074420"/>
            <wp:effectExtent l="0" t="0" r="0" b="0"/>
            <wp:wrapTopAndBottom/>
            <wp:docPr id="7" name="Imagen 7"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descr="Un dibujo con letras&#10;&#10;Descripción generada automáticamente con confianza media"/>
                    <pic:cNvPicPr/>
                  </pic:nvPicPr>
                  <pic:blipFill>
                    <a:blip r:embed="rId23" cstate="print"/>
                    <a:stretch>
                      <a:fillRect/>
                    </a:stretch>
                  </pic:blipFill>
                  <pic:spPr>
                    <a:xfrm>
                      <a:off x="0" y="0"/>
                      <a:ext cx="4599305" cy="1074420"/>
                    </a:xfrm>
                    <a:prstGeom prst="rect">
                      <a:avLst/>
                    </a:prstGeom>
                  </pic:spPr>
                </pic:pic>
              </a:graphicData>
            </a:graphic>
            <wp14:sizeRelH relativeFrom="margin">
              <wp14:pctWidth>0</wp14:pctWidth>
            </wp14:sizeRelH>
            <wp14:sizeRelV relativeFrom="margin">
              <wp14:pctHeight>0</wp14:pctHeight>
            </wp14:sizeRelV>
          </wp:anchor>
        </w:drawing>
      </w:r>
    </w:p>
    <w:p w14:paraId="78FE3D3C" w14:textId="77777777" w:rsidR="003B1E9D" w:rsidRPr="00C67536" w:rsidRDefault="003B1E9D" w:rsidP="003B1E9D">
      <w:pPr>
        <w:pStyle w:val="corte4fondo"/>
        <w:spacing w:line="240" w:lineRule="auto"/>
        <w:ind w:left="567" w:right="567" w:firstLine="0"/>
        <w:rPr>
          <w:rFonts w:cs="Arial"/>
          <w:sz w:val="28"/>
          <w:szCs w:val="28"/>
          <w:lang w:val="es-MX"/>
        </w:rPr>
      </w:pPr>
    </w:p>
    <w:p w14:paraId="4C801624" w14:textId="77777777" w:rsidR="003B1E9D" w:rsidRPr="00C67536" w:rsidRDefault="003B1E9D" w:rsidP="003B1E9D">
      <w:pPr>
        <w:pStyle w:val="corte4fondo"/>
        <w:spacing w:line="240" w:lineRule="auto"/>
        <w:ind w:left="567" w:right="567" w:firstLine="0"/>
        <w:rPr>
          <w:rFonts w:cs="Arial"/>
          <w:b/>
          <w:bCs/>
          <w:sz w:val="28"/>
          <w:szCs w:val="28"/>
          <w:lang w:val="es-MX"/>
        </w:rPr>
      </w:pPr>
    </w:p>
    <w:p w14:paraId="68DE39EB"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b/>
          <w:bCs/>
          <w:sz w:val="26"/>
          <w:szCs w:val="26"/>
          <w:lang w:val="es-MX"/>
        </w:rPr>
        <w:t>4.5.3.4.2</w:t>
      </w:r>
      <w:r w:rsidRPr="00C67536">
        <w:rPr>
          <w:rFonts w:cs="Arial"/>
          <w:sz w:val="26"/>
          <w:szCs w:val="26"/>
          <w:lang w:val="es-MX"/>
        </w:rPr>
        <w:t xml:space="preserve"> Los productos cuya superficie principal de exhibición sea ≤40 cm2 sólo deben incluir un sello con el número que corresponda a la cantidad de nutrimentos que cumplen con el perfil establecido en 4.5.3 en un tamaño mínimo de conformidad a lo establecido en la tabla A1 del Apéndice A (Normativo) de la presente Norma.</w:t>
      </w:r>
    </w:p>
    <w:p w14:paraId="3060DA38"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Aquellos productos cuya superficie principal de exhibición sea ≤ 5 cm2 el sello descrito en el párrafo anterior debe de cumplir con las características descritas en el numeral A.4.5 del Apéndice A (Normativo).</w:t>
      </w:r>
    </w:p>
    <w:p w14:paraId="0EA054C3" w14:textId="77777777" w:rsidR="003B1E9D" w:rsidRPr="00C67536" w:rsidRDefault="003B1E9D" w:rsidP="003B1E9D">
      <w:pPr>
        <w:pStyle w:val="corte4fondo"/>
        <w:spacing w:line="240" w:lineRule="auto"/>
        <w:ind w:left="567" w:right="567" w:firstLine="0"/>
        <w:rPr>
          <w:rFonts w:cs="Arial"/>
          <w:b/>
          <w:bCs/>
          <w:sz w:val="28"/>
          <w:szCs w:val="28"/>
          <w:lang w:val="es-MX"/>
        </w:rPr>
      </w:pPr>
      <w:r w:rsidRPr="00C67536">
        <w:rPr>
          <w:rFonts w:cs="Arial"/>
          <w:noProof/>
          <w:sz w:val="28"/>
          <w:szCs w:val="28"/>
          <w:lang w:val="es-MX"/>
        </w:rPr>
        <w:drawing>
          <wp:anchor distT="0" distB="0" distL="0" distR="0" simplePos="0" relativeHeight="251658247" behindDoc="0" locked="0" layoutInCell="1" allowOverlap="1" wp14:anchorId="57A48457" wp14:editId="5D75D412">
            <wp:simplePos x="0" y="0"/>
            <wp:positionH relativeFrom="page">
              <wp:posOffset>1925955</wp:posOffset>
            </wp:positionH>
            <wp:positionV relativeFrom="paragraph">
              <wp:posOffset>184150</wp:posOffset>
            </wp:positionV>
            <wp:extent cx="4319905" cy="947420"/>
            <wp:effectExtent l="0" t="0" r="4445" b="5080"/>
            <wp:wrapTopAndBottom/>
            <wp:docPr id="8" name="Imagen 8"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descr="Un dibujo con letras&#10;&#10;Descripción generada automáticamente con confianza media"/>
                    <pic:cNvPicPr/>
                  </pic:nvPicPr>
                  <pic:blipFill>
                    <a:blip r:embed="rId24" cstate="print"/>
                    <a:stretch>
                      <a:fillRect/>
                    </a:stretch>
                  </pic:blipFill>
                  <pic:spPr>
                    <a:xfrm>
                      <a:off x="0" y="0"/>
                      <a:ext cx="4319905" cy="947420"/>
                    </a:xfrm>
                    <a:prstGeom prst="rect">
                      <a:avLst/>
                    </a:prstGeom>
                  </pic:spPr>
                </pic:pic>
              </a:graphicData>
            </a:graphic>
            <wp14:sizeRelH relativeFrom="margin">
              <wp14:pctWidth>0</wp14:pctWidth>
            </wp14:sizeRelH>
          </wp:anchor>
        </w:drawing>
      </w:r>
    </w:p>
    <w:p w14:paraId="37E07C15"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b/>
          <w:bCs/>
          <w:sz w:val="26"/>
          <w:szCs w:val="26"/>
          <w:lang w:val="es-MX"/>
        </w:rPr>
        <w:t>4.5.3.4.3</w:t>
      </w:r>
      <w:r w:rsidRPr="00C67536">
        <w:rPr>
          <w:rFonts w:cs="Arial"/>
          <w:sz w:val="26"/>
          <w:szCs w:val="26"/>
          <w:lang w:val="es-MX"/>
        </w:rPr>
        <w:t xml:space="preserve"> Para el caso de productos en envases retornables utilizados como contenedores para más de un tipo de producto o de sabor, los productores deben expresar únicamente en la parte externa de la tapa el sello correspondiente al número de la cantidad de nutrimentos que cumplen con el perfil establecido en 4.5.3 y conforme se establece en 4.5.3.4.2.</w:t>
      </w:r>
    </w:p>
    <w:p w14:paraId="3A04F0CB"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b/>
          <w:bCs/>
          <w:sz w:val="26"/>
          <w:szCs w:val="26"/>
          <w:lang w:val="es-MX"/>
        </w:rPr>
        <w:t>4.5.3.4.4</w:t>
      </w:r>
      <w:r w:rsidRPr="00C67536">
        <w:rPr>
          <w:rFonts w:cs="Arial"/>
          <w:sz w:val="26"/>
          <w:szCs w:val="26"/>
          <w:lang w:val="es-MX"/>
        </w:rPr>
        <w:t xml:space="preserve"> Los productos cuya presentación individual indique la leyenda de “No etiquetado para su venta individual”, o similar, y que se encuentren en un empaque múltiple o colectivo, únicamente éste debe incluir los sellos que correspondan, conforme a lo establecido en los numerales 4.5.3 y 4.5.3.4.1</w:t>
      </w:r>
    </w:p>
    <w:p w14:paraId="6A967A4E"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b/>
          <w:bCs/>
          <w:sz w:val="26"/>
          <w:szCs w:val="26"/>
          <w:lang w:val="es-MX"/>
        </w:rPr>
        <w:t>4.5.3.4.5</w:t>
      </w:r>
      <w:r w:rsidRPr="00C67536">
        <w:rPr>
          <w:rFonts w:cs="Arial"/>
          <w:sz w:val="26"/>
          <w:szCs w:val="26"/>
          <w:lang w:val="es-MX"/>
        </w:rPr>
        <w:t xml:space="preserve"> Aquellos envases colectivos que contengan más de un tipo de producto deben estar etiquetados de manera individual. Adicionalmente, el envase colectivo debe incluir tantos sellos como corresponda a los productos que contiene, conforme se establece en 4.5.3 de la presente Norma Oficial Mexicana. </w:t>
      </w:r>
    </w:p>
    <w:p w14:paraId="29DEE505" w14:textId="77777777" w:rsidR="003B1E9D" w:rsidRPr="00C67536" w:rsidRDefault="003B1E9D" w:rsidP="003B1E9D">
      <w:pPr>
        <w:pStyle w:val="corte4fondo"/>
        <w:spacing w:line="240" w:lineRule="auto"/>
        <w:ind w:left="567" w:right="567" w:firstLine="0"/>
        <w:rPr>
          <w:rFonts w:cs="Arial"/>
          <w:b/>
          <w:bCs/>
          <w:sz w:val="26"/>
          <w:szCs w:val="26"/>
          <w:lang w:val="es-MX"/>
        </w:rPr>
      </w:pPr>
      <w:r w:rsidRPr="00C67536">
        <w:rPr>
          <w:rFonts w:cs="Arial"/>
          <w:b/>
          <w:bCs/>
          <w:sz w:val="26"/>
          <w:szCs w:val="26"/>
          <w:lang w:val="es-MX"/>
        </w:rPr>
        <w:t>4.5.3.4.6 Ubicación y orden de los sellos.</w:t>
      </w:r>
    </w:p>
    <w:p w14:paraId="6704ACC2"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 xml:space="preserve">El o los sellos deben colocarse en la esquina superior derecha de la superficie principal de exhibición, conforme se establece en el Apéndice A (Normativo). En aquellos productos con superficie principal de exhibición menor a 60 cm2 se podrán colocar los sellos en cualquier área de dicha superficie. </w:t>
      </w:r>
    </w:p>
    <w:p w14:paraId="3964744E"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Cuando se deban incluir más de un sello, el orden de inclusión debe ser de izquierda a derecha el siguiente:</w:t>
      </w:r>
    </w:p>
    <w:p w14:paraId="5DCEA867"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 xml:space="preserve"> 1. EXCESO CALORÍAS EXCESO</w:t>
      </w:r>
    </w:p>
    <w:p w14:paraId="5C1F6FFA"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 xml:space="preserve"> 2. EXCESO AZÚCARES</w:t>
      </w:r>
    </w:p>
    <w:p w14:paraId="3D17ADA0"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 xml:space="preserve"> 3. EXCESO GRASAS SATURADAS</w:t>
      </w:r>
    </w:p>
    <w:p w14:paraId="506CAADE"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 xml:space="preserve"> 4. EXCESO GRASAS TRANS</w:t>
      </w:r>
    </w:p>
    <w:p w14:paraId="73E3D505"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sz w:val="26"/>
          <w:szCs w:val="26"/>
          <w:lang w:val="es-MX"/>
        </w:rPr>
        <w:t xml:space="preserve"> 5. EXCESO SODIO </w:t>
      </w:r>
    </w:p>
    <w:p w14:paraId="067020DF" w14:textId="77777777" w:rsidR="003B1E9D" w:rsidRPr="00C67536" w:rsidRDefault="003B1E9D" w:rsidP="003B1E9D">
      <w:pPr>
        <w:pStyle w:val="corte4fondo"/>
        <w:spacing w:line="240" w:lineRule="auto"/>
        <w:ind w:left="567" w:right="567" w:firstLine="0"/>
        <w:rPr>
          <w:rFonts w:cs="Arial"/>
          <w:sz w:val="26"/>
          <w:szCs w:val="26"/>
          <w:lang w:val="es-MX"/>
        </w:rPr>
      </w:pPr>
      <w:r w:rsidRPr="00C67536">
        <w:rPr>
          <w:rFonts w:cs="Arial"/>
          <w:b/>
          <w:bCs/>
          <w:sz w:val="26"/>
          <w:szCs w:val="26"/>
          <w:lang w:val="es-MX"/>
        </w:rPr>
        <w:t>4.5.3.4.7</w:t>
      </w:r>
      <w:r w:rsidRPr="00C67536">
        <w:rPr>
          <w:rFonts w:cs="Arial"/>
          <w:sz w:val="26"/>
          <w:szCs w:val="26"/>
          <w:lang w:val="es-MX"/>
        </w:rPr>
        <w:t xml:space="preserve"> Cuando proceda incluir las leyendas “CONTIENE CAFEÍNA EVITAR EN NIÑOS” o “CONTIENE EDULCORANTES - NO RECOMENDABLE EN NIÑOS”, deben ir en la parte superior derecha de la superficie principal de exhibición y en caso de que el producto preenvasado tenga sellos, deben ir debajo de los mismos, conforme se establece en el Apéndice A (Normativo).</w:t>
      </w:r>
    </w:p>
    <w:p w14:paraId="592E44B5" w14:textId="77777777" w:rsidR="00C74353" w:rsidRPr="00C67536" w:rsidRDefault="003B1E9D" w:rsidP="00C74353">
      <w:pPr>
        <w:pStyle w:val="corte4fondo"/>
        <w:spacing w:line="240" w:lineRule="auto"/>
        <w:ind w:left="567" w:right="567" w:firstLine="0"/>
        <w:rPr>
          <w:rFonts w:cs="Arial"/>
          <w:sz w:val="26"/>
          <w:szCs w:val="26"/>
          <w:lang w:val="es-MX"/>
        </w:rPr>
      </w:pPr>
      <w:r w:rsidRPr="00C67536">
        <w:rPr>
          <w:rFonts w:cs="Arial"/>
          <w:b/>
          <w:bCs/>
          <w:sz w:val="26"/>
          <w:szCs w:val="26"/>
          <w:lang w:val="es-MX"/>
        </w:rPr>
        <w:t>7.1.3</w:t>
      </w:r>
      <w:r w:rsidRPr="00C67536">
        <w:rPr>
          <w:rFonts w:cs="Arial"/>
          <w:sz w:val="26"/>
          <w:szCs w:val="26"/>
          <w:lang w:val="es-MX"/>
        </w:rPr>
        <w:t xml:space="preserve"> Si la lista de ingredientes incluye edulcorantes, se debe colocar la leyenda precautoria frontal en letras mayúsculas “CONTIENE EDULCORANTES, NO RECOMENDABLE EN NIÑOS”</w:t>
      </w:r>
    </w:p>
    <w:p w14:paraId="31B3E810" w14:textId="65FDEB06" w:rsidR="003B1E9D" w:rsidRPr="00C67536" w:rsidRDefault="003B1E9D" w:rsidP="00C74353">
      <w:pPr>
        <w:pStyle w:val="corte4fondo"/>
        <w:spacing w:line="240" w:lineRule="auto"/>
        <w:ind w:left="567" w:right="567" w:firstLine="0"/>
        <w:rPr>
          <w:rFonts w:cs="Arial"/>
          <w:sz w:val="26"/>
          <w:szCs w:val="26"/>
          <w:lang w:val="es-MX"/>
        </w:rPr>
      </w:pPr>
      <w:r w:rsidRPr="00C67536">
        <w:rPr>
          <w:rFonts w:eastAsiaTheme="minorHAnsi" w:cs="Arial"/>
          <w:b/>
          <w:bCs/>
          <w:sz w:val="26"/>
          <w:szCs w:val="26"/>
          <w:lang w:eastAsia="en-US"/>
        </w:rPr>
        <w:t xml:space="preserve">7.1.4. </w:t>
      </w:r>
      <w:r w:rsidRPr="00C67536">
        <w:rPr>
          <w:rFonts w:eastAsiaTheme="minorHAnsi" w:cs="Arial"/>
          <w:sz w:val="26"/>
          <w:szCs w:val="26"/>
          <w:lang w:eastAsia="en-US"/>
        </w:rPr>
        <w:t xml:space="preserve">Cuando el producto preenvasado contenga cafeína adicionada dentro de la lista de ingredientes en cualquier cantidad, se debe incluir la leyenda precautoria en letras mayúsculas </w:t>
      </w:r>
      <w:r w:rsidRPr="00C67536">
        <w:rPr>
          <w:rFonts w:eastAsiaTheme="minorHAnsi" w:cs="Arial"/>
          <w:b/>
          <w:bCs/>
          <w:sz w:val="26"/>
          <w:szCs w:val="26"/>
          <w:lang w:eastAsia="en-US"/>
        </w:rPr>
        <w:t xml:space="preserve">“CONTIENE CAFEÍNA EVITAR EN NIÑOS”, </w:t>
      </w:r>
      <w:r w:rsidRPr="00C67536">
        <w:rPr>
          <w:rFonts w:eastAsiaTheme="minorHAnsi" w:cs="Arial"/>
          <w:sz w:val="26"/>
          <w:szCs w:val="26"/>
          <w:lang w:eastAsia="en-US"/>
        </w:rPr>
        <w:t>la cual forma parte del sistema de etiquetado frontal, conforme se establece en el Apéndice A (Normativo).</w:t>
      </w:r>
    </w:p>
    <w:p w14:paraId="4DC9F6A2" w14:textId="77777777" w:rsidR="003B1E9D" w:rsidRPr="00C67536" w:rsidRDefault="003B1E9D" w:rsidP="00C74353">
      <w:pPr>
        <w:pStyle w:val="corte4fondo"/>
        <w:ind w:firstLine="0"/>
        <w:rPr>
          <w:rFonts w:eastAsiaTheme="minorHAnsi" w:cs="Arial"/>
          <w:bCs/>
          <w:sz w:val="28"/>
          <w:szCs w:val="28"/>
          <w:lang w:eastAsia="en-US"/>
        </w:rPr>
      </w:pPr>
    </w:p>
    <w:p w14:paraId="51CA7AB7" w14:textId="77777777" w:rsidR="00C74353"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lang w:val="es-MX"/>
        </w:rPr>
        <w:t xml:space="preserve">De los preceptos legales en cita, se aprecia que los alimentos y bebidas no alcohólicas deben incluir información nutrimental de fácil comprensión, veraz, directa, sencilla y visible. Además, </w:t>
      </w:r>
      <w:r w:rsidRPr="00C67536">
        <w:rPr>
          <w:rFonts w:cs="Arial"/>
          <w:b/>
          <w:bCs/>
          <w:sz w:val="28"/>
          <w:szCs w:val="28"/>
          <w:lang w:val="es-MX"/>
        </w:rPr>
        <w:t xml:space="preserve">un </w:t>
      </w:r>
      <w:r w:rsidRPr="00C67536">
        <w:rPr>
          <w:rFonts w:cs="Arial"/>
          <w:b/>
          <w:bCs/>
          <w:sz w:val="28"/>
          <w:szCs w:val="28"/>
        </w:rPr>
        <w:t>etiquetado frontal de advertencia</w:t>
      </w:r>
      <w:r w:rsidRPr="00C67536">
        <w:rPr>
          <w:rFonts w:cs="Arial"/>
          <w:sz w:val="28"/>
          <w:szCs w:val="28"/>
        </w:rPr>
        <w:t xml:space="preserve"> que deberá hacerse en forma separada e independiente a la declaración de ingredientes e información nutrimental, para indicar los productos que excedan los límites máximos de </w:t>
      </w:r>
      <w:r w:rsidRPr="00C67536">
        <w:rPr>
          <w:rFonts w:cs="Arial"/>
          <w:b/>
          <w:bCs/>
          <w:sz w:val="28"/>
          <w:szCs w:val="28"/>
        </w:rPr>
        <w:t>contenido energético, azúcares añadidos, grasas saturadas, sodio y los demás nutrimentos críticos</w:t>
      </w:r>
      <w:r w:rsidRPr="00C67536">
        <w:rPr>
          <w:rFonts w:cs="Arial"/>
          <w:sz w:val="28"/>
          <w:szCs w:val="28"/>
        </w:rPr>
        <w:t xml:space="preserve"> e ingredientes que establezcan las disposiciones normativas competentes.</w:t>
      </w:r>
    </w:p>
    <w:p w14:paraId="6CD4D8A6" w14:textId="77777777" w:rsidR="005E00FC" w:rsidRPr="00C67536" w:rsidRDefault="005E00FC" w:rsidP="005E00FC">
      <w:pPr>
        <w:pStyle w:val="corte4fondo"/>
        <w:ind w:firstLine="0"/>
        <w:rPr>
          <w:rFonts w:eastAsiaTheme="minorHAnsi" w:cs="Arial"/>
          <w:bCs/>
          <w:sz w:val="28"/>
          <w:szCs w:val="28"/>
          <w:lang w:eastAsia="en-US"/>
        </w:rPr>
      </w:pPr>
    </w:p>
    <w:p w14:paraId="0F45CCCF" w14:textId="77777777" w:rsidR="00C74353"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Asimismo, el sistema de etiquetado frontal de advertencia de alimentos y bebidas no alcohólicas establece que la información debe ser simplificada en el área frontal de exhibición del envase, el cual debe advertir de manera veraz, clara, rápida y simple sobre el contenido que exceda los niveles máximos de los contenidos antes mencionados.</w:t>
      </w:r>
    </w:p>
    <w:p w14:paraId="34343AD1" w14:textId="77777777" w:rsidR="00C74353" w:rsidRPr="00C67536" w:rsidRDefault="00C74353" w:rsidP="00C74353">
      <w:pPr>
        <w:pStyle w:val="corte4fondo"/>
        <w:ind w:firstLine="0"/>
        <w:rPr>
          <w:rFonts w:eastAsiaTheme="minorHAnsi" w:cs="Arial"/>
          <w:bCs/>
          <w:sz w:val="28"/>
          <w:szCs w:val="28"/>
          <w:lang w:eastAsia="en-US"/>
        </w:rPr>
      </w:pPr>
    </w:p>
    <w:p w14:paraId="1A7CABC4" w14:textId="77777777" w:rsidR="00C74353"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lang w:val="es-MX"/>
        </w:rPr>
        <w:t>El o los sellos deben colocarse en la esquina superior derecha de la superficie principal de exhibición. En aquellos productos con superficie principal de exhibición menor a 60 cm2 se podrán colocar los sellos en cualquier área de dicha superficie. Los sellos que deben colocarse son con las leyendas siguientes: 1. EXCESO CALORÍAS EXCESO; 2. EXCESO AZÚCARES;</w:t>
      </w:r>
      <w:r w:rsidRPr="00C67536">
        <w:rPr>
          <w:rFonts w:cs="Arial"/>
          <w:sz w:val="28"/>
          <w:szCs w:val="28"/>
        </w:rPr>
        <w:t xml:space="preserve"> </w:t>
      </w:r>
      <w:r w:rsidRPr="00C67536">
        <w:rPr>
          <w:rFonts w:cs="Arial"/>
          <w:sz w:val="28"/>
          <w:szCs w:val="28"/>
          <w:lang w:val="es-MX"/>
        </w:rPr>
        <w:t>3. EXCESO GRASAS SATURADAS;</w:t>
      </w:r>
      <w:r w:rsidRPr="00C67536">
        <w:rPr>
          <w:rFonts w:cs="Arial"/>
          <w:sz w:val="28"/>
          <w:szCs w:val="28"/>
        </w:rPr>
        <w:t xml:space="preserve"> </w:t>
      </w:r>
      <w:r w:rsidRPr="00C67536">
        <w:rPr>
          <w:rFonts w:cs="Arial"/>
          <w:sz w:val="28"/>
          <w:szCs w:val="28"/>
          <w:lang w:val="es-MX"/>
        </w:rPr>
        <w:t>4. EXCESO GRASAS TRANS; y, 5. EXCESO SODIO.</w:t>
      </w:r>
    </w:p>
    <w:p w14:paraId="3BD650A0" w14:textId="77777777" w:rsidR="00C74353" w:rsidRPr="00C67536" w:rsidRDefault="00C74353" w:rsidP="00C74353">
      <w:pPr>
        <w:pStyle w:val="ListParagraph"/>
        <w:rPr>
          <w:rFonts w:cs="Arial"/>
          <w:sz w:val="28"/>
          <w:szCs w:val="28"/>
        </w:rPr>
      </w:pPr>
    </w:p>
    <w:p w14:paraId="3038BEB1" w14:textId="77777777" w:rsidR="00C74353"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Además, s</w:t>
      </w:r>
      <w:r w:rsidRPr="00C67536">
        <w:rPr>
          <w:rFonts w:cs="Arial"/>
          <w:sz w:val="28"/>
          <w:szCs w:val="28"/>
          <w:lang w:val="es-MX"/>
        </w:rPr>
        <w:t xml:space="preserve">i la lista de ingredientes incluye edulcorantes y/o </w:t>
      </w:r>
      <w:r w:rsidRPr="00C67536">
        <w:rPr>
          <w:rFonts w:eastAsiaTheme="minorHAnsi" w:cs="Arial"/>
          <w:sz w:val="28"/>
          <w:szCs w:val="28"/>
          <w:lang w:eastAsia="en-US"/>
        </w:rPr>
        <w:t>cafeína</w:t>
      </w:r>
      <w:r w:rsidRPr="00C67536">
        <w:rPr>
          <w:rFonts w:cs="Arial"/>
          <w:sz w:val="28"/>
          <w:szCs w:val="28"/>
          <w:lang w:val="es-MX"/>
        </w:rPr>
        <w:t>, se debe colocar la leyenda precautoria frontal en letras mayúsculas “CONTIENE EDULCORANTES, NO RECOMENDABLE EN NIÑOS”</w:t>
      </w:r>
      <w:r w:rsidRPr="00C67536">
        <w:rPr>
          <w:rFonts w:eastAsiaTheme="minorHAnsi" w:cs="Arial"/>
          <w:b/>
          <w:bCs/>
          <w:sz w:val="28"/>
          <w:szCs w:val="28"/>
          <w:lang w:val="es-MX" w:eastAsia="en-US"/>
        </w:rPr>
        <w:t xml:space="preserve"> y/o</w:t>
      </w:r>
      <w:r w:rsidRPr="00C67536">
        <w:rPr>
          <w:rFonts w:eastAsiaTheme="minorHAnsi" w:cs="Arial"/>
          <w:sz w:val="28"/>
          <w:szCs w:val="28"/>
          <w:lang w:eastAsia="en-US"/>
        </w:rPr>
        <w:t xml:space="preserve"> “CONTIENE CAFEÍNA EVITAR EN NIÑOS”.</w:t>
      </w:r>
    </w:p>
    <w:p w14:paraId="0BF8555C" w14:textId="77777777" w:rsidR="00C74353" w:rsidRPr="00C67536" w:rsidRDefault="00C74353" w:rsidP="00C74353">
      <w:pPr>
        <w:pStyle w:val="ListParagraph"/>
        <w:rPr>
          <w:rFonts w:cs="Arial"/>
          <w:sz w:val="28"/>
          <w:szCs w:val="28"/>
        </w:rPr>
      </w:pPr>
    </w:p>
    <w:p w14:paraId="6E3D0AC5" w14:textId="77777777" w:rsidR="00C74353"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Por ello, el sistema mexicano de etiquetado frontal se encuentre dentro de los llamados </w:t>
      </w:r>
      <w:r w:rsidRPr="00C67536">
        <w:rPr>
          <w:rFonts w:eastAsiaTheme="minorHAnsi" w:cs="Arial"/>
          <w:sz w:val="28"/>
          <w:szCs w:val="28"/>
          <w:lang w:val="es-MX" w:eastAsia="en-US"/>
        </w:rPr>
        <w:t>sistemas</w:t>
      </w:r>
      <w:r w:rsidRPr="00C67536">
        <w:rPr>
          <w:rFonts w:eastAsiaTheme="minorHAnsi" w:cs="Arial"/>
          <w:sz w:val="28"/>
          <w:szCs w:val="28"/>
          <w:lang w:eastAsia="en-US"/>
        </w:rPr>
        <w:t xml:space="preserve"> de advertencias nutricionales “ALTO EN/EXCESO”.</w:t>
      </w:r>
    </w:p>
    <w:p w14:paraId="36D328E5" w14:textId="77777777" w:rsidR="00C74353" w:rsidRPr="00C67536" w:rsidRDefault="00C74353" w:rsidP="00C74353">
      <w:pPr>
        <w:pStyle w:val="ListParagraph"/>
        <w:rPr>
          <w:rFonts w:cs="Arial"/>
          <w:sz w:val="28"/>
          <w:szCs w:val="28"/>
        </w:rPr>
      </w:pPr>
    </w:p>
    <w:p w14:paraId="1F687589" w14:textId="77777777" w:rsidR="00D03349" w:rsidRPr="00A36C75" w:rsidRDefault="0098078F" w:rsidP="00B144AE">
      <w:pPr>
        <w:pStyle w:val="corte4fondo"/>
        <w:numPr>
          <w:ilvl w:val="0"/>
          <w:numId w:val="15"/>
        </w:numPr>
        <w:ind w:left="0" w:hanging="567"/>
        <w:rPr>
          <w:rFonts w:eastAsiaTheme="minorHAnsi" w:cs="Arial"/>
          <w:bCs/>
          <w:sz w:val="28"/>
          <w:szCs w:val="28"/>
          <w:lang w:eastAsia="en-US"/>
        </w:rPr>
      </w:pPr>
      <w:r w:rsidRPr="00A36C75">
        <w:rPr>
          <w:rFonts w:cs="Arial"/>
          <w:sz w:val="28"/>
          <w:szCs w:val="28"/>
        </w:rPr>
        <w:t>Luego, de la exposición de motivos de la iniciativa de proyecto de reforma a la Ley General de Salud, sobre el etiquetado frontal, se advierten las mociones siguientes:</w:t>
      </w:r>
    </w:p>
    <w:p w14:paraId="0571DEDE" w14:textId="77777777" w:rsidR="00D03349" w:rsidRPr="00C67536" w:rsidRDefault="00D03349" w:rsidP="00D03349">
      <w:pPr>
        <w:pStyle w:val="ListParagraph"/>
        <w:rPr>
          <w:rFonts w:cs="Arial"/>
          <w:bCs/>
          <w:sz w:val="28"/>
          <w:szCs w:val="28"/>
        </w:rPr>
      </w:pPr>
    </w:p>
    <w:p w14:paraId="405BB1F6" w14:textId="2DBD7579" w:rsidR="00D03349" w:rsidRPr="00C67536" w:rsidRDefault="00D03349" w:rsidP="00D03349">
      <w:pPr>
        <w:pStyle w:val="Heading1"/>
        <w:ind w:left="567" w:right="567"/>
        <w:jc w:val="both"/>
        <w:rPr>
          <w:rFonts w:ascii="Arial" w:hAnsi="Arial" w:cs="Arial"/>
          <w:color w:val="auto"/>
          <w:sz w:val="26"/>
          <w:szCs w:val="26"/>
        </w:rPr>
      </w:pPr>
      <w:r w:rsidRPr="00C67536">
        <w:rPr>
          <w:rFonts w:ascii="Arial" w:hAnsi="Arial" w:cs="Arial"/>
          <w:color w:val="auto"/>
          <w:sz w:val="28"/>
          <w:szCs w:val="28"/>
        </w:rPr>
        <w:t>“</w:t>
      </w:r>
      <w:r w:rsidRPr="00C67536">
        <w:rPr>
          <w:rFonts w:ascii="Arial" w:hAnsi="Arial" w:cs="Arial"/>
          <w:color w:val="auto"/>
          <w:sz w:val="26"/>
          <w:szCs w:val="26"/>
        </w:rPr>
        <w:t>Exposición de Motivos</w:t>
      </w:r>
      <w:r w:rsidR="0066232E">
        <w:rPr>
          <w:rFonts w:ascii="Arial" w:hAnsi="Arial" w:cs="Arial"/>
          <w:color w:val="auto"/>
          <w:sz w:val="26"/>
          <w:szCs w:val="26"/>
        </w:rPr>
        <w:t>.</w:t>
      </w:r>
    </w:p>
    <w:p w14:paraId="18C6F96B"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La diabetes, hipertensión, sobrepeso, obesidad y otras enfermedades crónicas</w:t>
      </w:r>
      <w:r w:rsidRPr="00C67536">
        <w:rPr>
          <w:rFonts w:ascii="Arial" w:hAnsi="Arial" w:cs="Arial"/>
          <w:spacing w:val="-39"/>
          <w:sz w:val="26"/>
          <w:szCs w:val="26"/>
        </w:rPr>
        <w:t xml:space="preserve"> </w:t>
      </w:r>
      <w:r w:rsidRPr="00C67536">
        <w:rPr>
          <w:rFonts w:ascii="Arial" w:hAnsi="Arial" w:cs="Arial"/>
          <w:sz w:val="26"/>
          <w:szCs w:val="26"/>
        </w:rPr>
        <w:t>son las que sufren tres de cada cuatro mexicanos mayores de 18 años que viven en zonas con personas de bajos ingresos, de acuerdo con un reciente estudio realizado por científicos del Instituto Nacional de Salud Pública</w:t>
      </w:r>
      <w:r w:rsidRPr="00C67536">
        <w:rPr>
          <w:rFonts w:ascii="Arial" w:hAnsi="Arial" w:cs="Arial"/>
          <w:spacing w:val="-14"/>
          <w:sz w:val="26"/>
          <w:szCs w:val="26"/>
        </w:rPr>
        <w:t xml:space="preserve"> </w:t>
      </w:r>
      <w:r w:rsidRPr="00C67536">
        <w:rPr>
          <w:rFonts w:ascii="Arial" w:hAnsi="Arial" w:cs="Arial"/>
          <w:sz w:val="26"/>
          <w:szCs w:val="26"/>
        </w:rPr>
        <w:t>mexicano.</w:t>
      </w:r>
    </w:p>
    <w:p w14:paraId="245B498D"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El estudio refiere que la diabetes y la hipertensión arterial son la principal causa de mortalidad de adultos en todo el planeta. Según cifras de la Organización Mundial de la Salud, en 2012 representaron el 82 por ciento de muertes prematuras, el 68 por</w:t>
      </w:r>
      <w:r w:rsidRPr="00C67536">
        <w:rPr>
          <w:rFonts w:ascii="Arial" w:hAnsi="Arial" w:cs="Arial"/>
          <w:spacing w:val="-11"/>
          <w:sz w:val="26"/>
          <w:szCs w:val="26"/>
        </w:rPr>
        <w:t xml:space="preserve"> </w:t>
      </w:r>
      <w:r w:rsidRPr="00C67536">
        <w:rPr>
          <w:rFonts w:ascii="Arial" w:hAnsi="Arial" w:cs="Arial"/>
          <w:sz w:val="26"/>
          <w:szCs w:val="26"/>
        </w:rPr>
        <w:t>ciento</w:t>
      </w:r>
      <w:r w:rsidRPr="00C67536">
        <w:rPr>
          <w:rFonts w:ascii="Arial" w:hAnsi="Arial" w:cs="Arial"/>
          <w:spacing w:val="-9"/>
          <w:sz w:val="26"/>
          <w:szCs w:val="26"/>
        </w:rPr>
        <w:t xml:space="preserve"> </w:t>
      </w:r>
      <w:r w:rsidRPr="00C67536">
        <w:rPr>
          <w:rFonts w:ascii="Arial" w:hAnsi="Arial" w:cs="Arial"/>
          <w:sz w:val="26"/>
          <w:szCs w:val="26"/>
        </w:rPr>
        <w:t>de</w:t>
      </w:r>
      <w:r w:rsidRPr="00C67536">
        <w:rPr>
          <w:rFonts w:ascii="Arial" w:hAnsi="Arial" w:cs="Arial"/>
          <w:spacing w:val="-10"/>
          <w:sz w:val="26"/>
          <w:szCs w:val="26"/>
        </w:rPr>
        <w:t xml:space="preserve"> </w:t>
      </w:r>
      <w:r w:rsidRPr="00C67536">
        <w:rPr>
          <w:rFonts w:ascii="Arial" w:hAnsi="Arial" w:cs="Arial"/>
          <w:sz w:val="26"/>
          <w:szCs w:val="26"/>
        </w:rPr>
        <w:t>muertes</w:t>
      </w:r>
      <w:r w:rsidRPr="00C67536">
        <w:rPr>
          <w:rFonts w:ascii="Arial" w:hAnsi="Arial" w:cs="Arial"/>
          <w:spacing w:val="-13"/>
          <w:sz w:val="26"/>
          <w:szCs w:val="26"/>
        </w:rPr>
        <w:t xml:space="preserve"> </w:t>
      </w:r>
      <w:r w:rsidRPr="00C67536">
        <w:rPr>
          <w:rFonts w:ascii="Arial" w:hAnsi="Arial" w:cs="Arial"/>
          <w:sz w:val="26"/>
          <w:szCs w:val="26"/>
        </w:rPr>
        <w:t>en</w:t>
      </w:r>
      <w:r w:rsidRPr="00C67536">
        <w:rPr>
          <w:rFonts w:ascii="Arial" w:hAnsi="Arial" w:cs="Arial"/>
          <w:spacing w:val="-10"/>
          <w:sz w:val="26"/>
          <w:szCs w:val="26"/>
        </w:rPr>
        <w:t xml:space="preserve"> </w:t>
      </w:r>
      <w:r w:rsidRPr="00C67536">
        <w:rPr>
          <w:rFonts w:ascii="Arial" w:hAnsi="Arial" w:cs="Arial"/>
          <w:sz w:val="26"/>
          <w:szCs w:val="26"/>
        </w:rPr>
        <w:t>general</w:t>
      </w:r>
      <w:r w:rsidRPr="00C67536">
        <w:rPr>
          <w:rFonts w:ascii="Arial" w:hAnsi="Arial" w:cs="Arial"/>
          <w:spacing w:val="-11"/>
          <w:sz w:val="26"/>
          <w:szCs w:val="26"/>
        </w:rPr>
        <w:t xml:space="preserve"> </w:t>
      </w:r>
      <w:r w:rsidRPr="00C67536">
        <w:rPr>
          <w:rFonts w:ascii="Arial" w:hAnsi="Arial" w:cs="Arial"/>
          <w:sz w:val="26"/>
          <w:szCs w:val="26"/>
        </w:rPr>
        <w:t>y</w:t>
      </w:r>
      <w:r w:rsidRPr="00C67536">
        <w:rPr>
          <w:rFonts w:ascii="Arial" w:hAnsi="Arial" w:cs="Arial"/>
          <w:spacing w:val="-11"/>
          <w:sz w:val="26"/>
          <w:szCs w:val="26"/>
        </w:rPr>
        <w:t xml:space="preserve"> </w:t>
      </w:r>
      <w:r w:rsidRPr="00C67536">
        <w:rPr>
          <w:rFonts w:ascii="Arial" w:hAnsi="Arial" w:cs="Arial"/>
          <w:sz w:val="26"/>
          <w:szCs w:val="26"/>
        </w:rPr>
        <w:t>tres</w:t>
      </w:r>
      <w:r w:rsidRPr="00C67536">
        <w:rPr>
          <w:rFonts w:ascii="Arial" w:hAnsi="Arial" w:cs="Arial"/>
          <w:spacing w:val="-11"/>
          <w:sz w:val="26"/>
          <w:szCs w:val="26"/>
        </w:rPr>
        <w:t xml:space="preserve"> </w:t>
      </w:r>
      <w:r w:rsidRPr="00C67536">
        <w:rPr>
          <w:rFonts w:ascii="Arial" w:hAnsi="Arial" w:cs="Arial"/>
          <w:sz w:val="26"/>
          <w:szCs w:val="26"/>
        </w:rPr>
        <w:t>cuartas</w:t>
      </w:r>
      <w:r w:rsidRPr="00C67536">
        <w:rPr>
          <w:rFonts w:ascii="Arial" w:hAnsi="Arial" w:cs="Arial"/>
          <w:spacing w:val="-11"/>
          <w:sz w:val="26"/>
          <w:szCs w:val="26"/>
        </w:rPr>
        <w:t xml:space="preserve"> </w:t>
      </w:r>
      <w:r w:rsidRPr="00C67536">
        <w:rPr>
          <w:rFonts w:ascii="Arial" w:hAnsi="Arial" w:cs="Arial"/>
          <w:sz w:val="26"/>
          <w:szCs w:val="26"/>
        </w:rPr>
        <w:t>partes</w:t>
      </w:r>
      <w:r w:rsidRPr="00C67536">
        <w:rPr>
          <w:rFonts w:ascii="Arial" w:hAnsi="Arial" w:cs="Arial"/>
          <w:spacing w:val="-11"/>
          <w:sz w:val="26"/>
          <w:szCs w:val="26"/>
        </w:rPr>
        <w:t xml:space="preserve"> </w:t>
      </w:r>
      <w:r w:rsidRPr="00C67536">
        <w:rPr>
          <w:rFonts w:ascii="Arial" w:hAnsi="Arial" w:cs="Arial"/>
          <w:sz w:val="26"/>
          <w:szCs w:val="26"/>
        </w:rPr>
        <w:t>de</w:t>
      </w:r>
      <w:r w:rsidRPr="00C67536">
        <w:rPr>
          <w:rFonts w:ascii="Arial" w:hAnsi="Arial" w:cs="Arial"/>
          <w:spacing w:val="-10"/>
          <w:sz w:val="26"/>
          <w:szCs w:val="26"/>
        </w:rPr>
        <w:t xml:space="preserve"> </w:t>
      </w:r>
      <w:r w:rsidRPr="00C67536">
        <w:rPr>
          <w:rFonts w:ascii="Arial" w:hAnsi="Arial" w:cs="Arial"/>
          <w:sz w:val="26"/>
          <w:szCs w:val="26"/>
        </w:rPr>
        <w:t>las</w:t>
      </w:r>
      <w:r w:rsidRPr="00C67536">
        <w:rPr>
          <w:rFonts w:ascii="Arial" w:hAnsi="Arial" w:cs="Arial"/>
          <w:spacing w:val="-10"/>
          <w:sz w:val="26"/>
          <w:szCs w:val="26"/>
        </w:rPr>
        <w:t xml:space="preserve"> </w:t>
      </w:r>
      <w:r w:rsidRPr="00C67536">
        <w:rPr>
          <w:rFonts w:ascii="Arial" w:hAnsi="Arial" w:cs="Arial"/>
          <w:sz w:val="26"/>
          <w:szCs w:val="26"/>
        </w:rPr>
        <w:t>muertes</w:t>
      </w:r>
      <w:r w:rsidRPr="00C67536">
        <w:rPr>
          <w:rFonts w:ascii="Arial" w:hAnsi="Arial" w:cs="Arial"/>
          <w:spacing w:val="-11"/>
          <w:sz w:val="26"/>
          <w:szCs w:val="26"/>
        </w:rPr>
        <w:t xml:space="preserve"> </w:t>
      </w:r>
      <w:r w:rsidRPr="00C67536">
        <w:rPr>
          <w:rFonts w:ascii="Arial" w:hAnsi="Arial" w:cs="Arial"/>
          <w:sz w:val="26"/>
          <w:szCs w:val="26"/>
        </w:rPr>
        <w:t>en</w:t>
      </w:r>
      <w:r w:rsidRPr="00C67536">
        <w:rPr>
          <w:rFonts w:ascii="Arial" w:hAnsi="Arial" w:cs="Arial"/>
          <w:spacing w:val="-10"/>
          <w:sz w:val="26"/>
          <w:szCs w:val="26"/>
        </w:rPr>
        <w:t xml:space="preserve"> </w:t>
      </w:r>
      <w:r w:rsidRPr="00C67536">
        <w:rPr>
          <w:rFonts w:ascii="Arial" w:hAnsi="Arial" w:cs="Arial"/>
          <w:sz w:val="26"/>
          <w:szCs w:val="26"/>
        </w:rPr>
        <w:t>países</w:t>
      </w:r>
      <w:r w:rsidRPr="00C67536">
        <w:rPr>
          <w:rFonts w:ascii="Arial" w:hAnsi="Arial" w:cs="Arial"/>
          <w:spacing w:val="-11"/>
          <w:sz w:val="26"/>
          <w:szCs w:val="26"/>
        </w:rPr>
        <w:t xml:space="preserve"> </w:t>
      </w:r>
      <w:r w:rsidRPr="00C67536">
        <w:rPr>
          <w:rFonts w:ascii="Arial" w:hAnsi="Arial" w:cs="Arial"/>
          <w:sz w:val="26"/>
          <w:szCs w:val="26"/>
        </w:rPr>
        <w:t>con un promedio de ingresos bajos y</w:t>
      </w:r>
      <w:r w:rsidRPr="00C67536">
        <w:rPr>
          <w:rFonts w:ascii="Arial" w:hAnsi="Arial" w:cs="Arial"/>
          <w:spacing w:val="-6"/>
          <w:sz w:val="26"/>
          <w:szCs w:val="26"/>
        </w:rPr>
        <w:t xml:space="preserve"> </w:t>
      </w:r>
      <w:r w:rsidRPr="00C67536">
        <w:rPr>
          <w:rFonts w:ascii="Arial" w:hAnsi="Arial" w:cs="Arial"/>
          <w:sz w:val="26"/>
          <w:szCs w:val="26"/>
        </w:rPr>
        <w:t>medios.</w:t>
      </w:r>
    </w:p>
    <w:p w14:paraId="5D216B3B"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Las enfermedades crónicas podrían ser consideradas un serio problema de salud pública en México. Además de lo señalado, el país ocupa el primer lugar en prevalencia</w:t>
      </w:r>
      <w:r w:rsidRPr="00C67536">
        <w:rPr>
          <w:rFonts w:ascii="Arial" w:hAnsi="Arial" w:cs="Arial"/>
          <w:spacing w:val="-19"/>
          <w:sz w:val="26"/>
          <w:szCs w:val="26"/>
        </w:rPr>
        <w:t xml:space="preserve"> </w:t>
      </w:r>
      <w:r w:rsidRPr="00C67536">
        <w:rPr>
          <w:rFonts w:ascii="Arial" w:hAnsi="Arial" w:cs="Arial"/>
          <w:sz w:val="26"/>
          <w:szCs w:val="26"/>
        </w:rPr>
        <w:t>entre</w:t>
      </w:r>
      <w:r w:rsidRPr="00C67536">
        <w:rPr>
          <w:rFonts w:ascii="Arial" w:hAnsi="Arial" w:cs="Arial"/>
          <w:spacing w:val="-18"/>
          <w:sz w:val="26"/>
          <w:szCs w:val="26"/>
        </w:rPr>
        <w:t xml:space="preserve"> </w:t>
      </w:r>
      <w:r w:rsidRPr="00C67536">
        <w:rPr>
          <w:rFonts w:ascii="Arial" w:hAnsi="Arial" w:cs="Arial"/>
          <w:sz w:val="26"/>
          <w:szCs w:val="26"/>
        </w:rPr>
        <w:t>adultos</w:t>
      </w:r>
      <w:r w:rsidRPr="00C67536">
        <w:rPr>
          <w:rFonts w:ascii="Arial" w:hAnsi="Arial" w:cs="Arial"/>
          <w:spacing w:val="-20"/>
          <w:sz w:val="26"/>
          <w:szCs w:val="26"/>
        </w:rPr>
        <w:t xml:space="preserve"> </w:t>
      </w:r>
      <w:r w:rsidRPr="00C67536">
        <w:rPr>
          <w:rFonts w:ascii="Arial" w:hAnsi="Arial" w:cs="Arial"/>
          <w:sz w:val="26"/>
          <w:szCs w:val="26"/>
        </w:rPr>
        <w:t>de</w:t>
      </w:r>
      <w:r w:rsidRPr="00C67536">
        <w:rPr>
          <w:rFonts w:ascii="Arial" w:hAnsi="Arial" w:cs="Arial"/>
          <w:spacing w:val="-18"/>
          <w:sz w:val="26"/>
          <w:szCs w:val="26"/>
        </w:rPr>
        <w:t xml:space="preserve"> </w:t>
      </w:r>
      <w:r w:rsidRPr="00C67536">
        <w:rPr>
          <w:rFonts w:ascii="Arial" w:hAnsi="Arial" w:cs="Arial"/>
          <w:sz w:val="26"/>
          <w:szCs w:val="26"/>
        </w:rPr>
        <w:t>diabetes</w:t>
      </w:r>
      <w:r w:rsidRPr="00C67536">
        <w:rPr>
          <w:rFonts w:ascii="Arial" w:hAnsi="Arial" w:cs="Arial"/>
          <w:spacing w:val="-19"/>
          <w:sz w:val="26"/>
          <w:szCs w:val="26"/>
        </w:rPr>
        <w:t xml:space="preserve"> </w:t>
      </w:r>
      <w:r w:rsidRPr="00C67536">
        <w:rPr>
          <w:rFonts w:ascii="Arial" w:hAnsi="Arial" w:cs="Arial"/>
          <w:sz w:val="26"/>
          <w:szCs w:val="26"/>
        </w:rPr>
        <w:t>(15.9</w:t>
      </w:r>
      <w:r w:rsidRPr="00C67536">
        <w:rPr>
          <w:rFonts w:ascii="Arial" w:hAnsi="Arial" w:cs="Arial"/>
          <w:spacing w:val="-19"/>
          <w:sz w:val="26"/>
          <w:szCs w:val="26"/>
        </w:rPr>
        <w:t xml:space="preserve"> </w:t>
      </w:r>
      <w:r w:rsidRPr="00C67536">
        <w:rPr>
          <w:rFonts w:ascii="Arial" w:hAnsi="Arial" w:cs="Arial"/>
          <w:sz w:val="26"/>
          <w:szCs w:val="26"/>
        </w:rPr>
        <w:t>por</w:t>
      </w:r>
      <w:r w:rsidRPr="00C67536">
        <w:rPr>
          <w:rFonts w:ascii="Arial" w:hAnsi="Arial" w:cs="Arial"/>
          <w:spacing w:val="-19"/>
          <w:sz w:val="26"/>
          <w:szCs w:val="26"/>
        </w:rPr>
        <w:t xml:space="preserve"> </w:t>
      </w:r>
      <w:r w:rsidRPr="00C67536">
        <w:rPr>
          <w:rFonts w:ascii="Arial" w:hAnsi="Arial" w:cs="Arial"/>
          <w:sz w:val="26"/>
          <w:szCs w:val="26"/>
        </w:rPr>
        <w:t>ciento),</w:t>
      </w:r>
      <w:r w:rsidRPr="00C67536">
        <w:rPr>
          <w:rFonts w:ascii="Arial" w:hAnsi="Arial" w:cs="Arial"/>
          <w:spacing w:val="-19"/>
          <w:sz w:val="26"/>
          <w:szCs w:val="26"/>
        </w:rPr>
        <w:t xml:space="preserve"> </w:t>
      </w:r>
      <w:r w:rsidRPr="00C67536">
        <w:rPr>
          <w:rFonts w:ascii="Arial" w:hAnsi="Arial" w:cs="Arial"/>
          <w:sz w:val="26"/>
          <w:szCs w:val="26"/>
        </w:rPr>
        <w:t>y</w:t>
      </w:r>
      <w:r w:rsidRPr="00C67536">
        <w:rPr>
          <w:rFonts w:ascii="Arial" w:hAnsi="Arial" w:cs="Arial"/>
          <w:spacing w:val="-20"/>
          <w:sz w:val="26"/>
          <w:szCs w:val="26"/>
        </w:rPr>
        <w:t xml:space="preserve"> </w:t>
      </w:r>
      <w:r w:rsidRPr="00C67536">
        <w:rPr>
          <w:rFonts w:ascii="Arial" w:hAnsi="Arial" w:cs="Arial"/>
          <w:sz w:val="26"/>
          <w:szCs w:val="26"/>
        </w:rPr>
        <w:t>segundo</w:t>
      </w:r>
      <w:r w:rsidRPr="00C67536">
        <w:rPr>
          <w:rFonts w:ascii="Arial" w:hAnsi="Arial" w:cs="Arial"/>
          <w:spacing w:val="-18"/>
          <w:sz w:val="26"/>
          <w:szCs w:val="26"/>
        </w:rPr>
        <w:t xml:space="preserve"> </w:t>
      </w:r>
      <w:r w:rsidRPr="00C67536">
        <w:rPr>
          <w:rFonts w:ascii="Arial" w:hAnsi="Arial" w:cs="Arial"/>
          <w:sz w:val="26"/>
          <w:szCs w:val="26"/>
        </w:rPr>
        <w:t>en</w:t>
      </w:r>
      <w:r w:rsidRPr="00C67536">
        <w:rPr>
          <w:rFonts w:ascii="Arial" w:hAnsi="Arial" w:cs="Arial"/>
          <w:spacing w:val="-20"/>
          <w:sz w:val="26"/>
          <w:szCs w:val="26"/>
        </w:rPr>
        <w:t xml:space="preserve"> </w:t>
      </w:r>
      <w:r w:rsidRPr="00C67536">
        <w:rPr>
          <w:rFonts w:ascii="Arial" w:hAnsi="Arial" w:cs="Arial"/>
          <w:sz w:val="26"/>
          <w:szCs w:val="26"/>
        </w:rPr>
        <w:t>obesidad</w:t>
      </w:r>
      <w:r w:rsidRPr="00C67536">
        <w:rPr>
          <w:rFonts w:ascii="Arial" w:hAnsi="Arial" w:cs="Arial"/>
          <w:spacing w:val="-19"/>
          <w:sz w:val="26"/>
          <w:szCs w:val="26"/>
        </w:rPr>
        <w:t xml:space="preserve"> </w:t>
      </w:r>
      <w:r w:rsidRPr="00C67536">
        <w:rPr>
          <w:rFonts w:ascii="Arial" w:hAnsi="Arial" w:cs="Arial"/>
          <w:sz w:val="26"/>
          <w:szCs w:val="26"/>
        </w:rPr>
        <w:t>(32.4 por</w:t>
      </w:r>
      <w:r w:rsidRPr="00C67536">
        <w:rPr>
          <w:rFonts w:ascii="Arial" w:hAnsi="Arial" w:cs="Arial"/>
          <w:spacing w:val="-1"/>
          <w:sz w:val="26"/>
          <w:szCs w:val="26"/>
        </w:rPr>
        <w:t xml:space="preserve"> </w:t>
      </w:r>
      <w:r w:rsidRPr="00C67536">
        <w:rPr>
          <w:rFonts w:ascii="Arial" w:hAnsi="Arial" w:cs="Arial"/>
          <w:sz w:val="26"/>
          <w:szCs w:val="26"/>
        </w:rPr>
        <w:t>ciento).</w:t>
      </w:r>
    </w:p>
    <w:p w14:paraId="661B9B6F"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Las enfermedades crónicas no transmisibles (ECNT) son la principal causa de muerte</w:t>
      </w:r>
      <w:r w:rsidRPr="00C67536">
        <w:rPr>
          <w:rFonts w:ascii="Arial" w:hAnsi="Arial" w:cs="Arial"/>
          <w:spacing w:val="-19"/>
          <w:sz w:val="26"/>
          <w:szCs w:val="26"/>
        </w:rPr>
        <w:t xml:space="preserve"> </w:t>
      </w:r>
      <w:r w:rsidRPr="00C67536">
        <w:rPr>
          <w:rFonts w:ascii="Arial" w:hAnsi="Arial" w:cs="Arial"/>
          <w:sz w:val="26"/>
          <w:szCs w:val="26"/>
        </w:rPr>
        <w:t>en</w:t>
      </w:r>
      <w:r w:rsidRPr="00C67536">
        <w:rPr>
          <w:rFonts w:ascii="Arial" w:hAnsi="Arial" w:cs="Arial"/>
          <w:spacing w:val="-19"/>
          <w:sz w:val="26"/>
          <w:szCs w:val="26"/>
        </w:rPr>
        <w:t xml:space="preserve"> </w:t>
      </w:r>
      <w:r w:rsidRPr="00C67536">
        <w:rPr>
          <w:rFonts w:ascii="Arial" w:hAnsi="Arial" w:cs="Arial"/>
          <w:sz w:val="26"/>
          <w:szCs w:val="26"/>
        </w:rPr>
        <w:t>el</w:t>
      </w:r>
      <w:r w:rsidRPr="00C67536">
        <w:rPr>
          <w:rFonts w:ascii="Arial" w:hAnsi="Arial" w:cs="Arial"/>
          <w:spacing w:val="-19"/>
          <w:sz w:val="26"/>
          <w:szCs w:val="26"/>
        </w:rPr>
        <w:t xml:space="preserve"> </w:t>
      </w:r>
      <w:r w:rsidRPr="00C67536">
        <w:rPr>
          <w:rFonts w:ascii="Arial" w:hAnsi="Arial" w:cs="Arial"/>
          <w:sz w:val="26"/>
          <w:szCs w:val="26"/>
        </w:rPr>
        <w:t>mundo.</w:t>
      </w:r>
      <w:r w:rsidRPr="00C67536">
        <w:rPr>
          <w:rFonts w:ascii="Arial" w:hAnsi="Arial" w:cs="Arial"/>
          <w:spacing w:val="-18"/>
          <w:sz w:val="26"/>
          <w:szCs w:val="26"/>
        </w:rPr>
        <w:t xml:space="preserve"> </w:t>
      </w:r>
      <w:r w:rsidRPr="00C67536">
        <w:rPr>
          <w:rFonts w:ascii="Arial" w:hAnsi="Arial" w:cs="Arial"/>
          <w:sz w:val="26"/>
          <w:szCs w:val="26"/>
        </w:rPr>
        <w:t>Gran</w:t>
      </w:r>
      <w:r w:rsidRPr="00C67536">
        <w:rPr>
          <w:rFonts w:ascii="Arial" w:hAnsi="Arial" w:cs="Arial"/>
          <w:spacing w:val="-16"/>
          <w:sz w:val="26"/>
          <w:szCs w:val="26"/>
        </w:rPr>
        <w:t xml:space="preserve"> </w:t>
      </w:r>
      <w:r w:rsidRPr="00C67536">
        <w:rPr>
          <w:rFonts w:ascii="Arial" w:hAnsi="Arial" w:cs="Arial"/>
          <w:sz w:val="26"/>
          <w:szCs w:val="26"/>
        </w:rPr>
        <w:t>parte</w:t>
      </w:r>
      <w:r w:rsidRPr="00C67536">
        <w:rPr>
          <w:rFonts w:ascii="Arial" w:hAnsi="Arial" w:cs="Arial"/>
          <w:spacing w:val="-19"/>
          <w:sz w:val="26"/>
          <w:szCs w:val="26"/>
        </w:rPr>
        <w:t xml:space="preserve"> </w:t>
      </w:r>
      <w:r w:rsidRPr="00C67536">
        <w:rPr>
          <w:rFonts w:ascii="Arial" w:hAnsi="Arial" w:cs="Arial"/>
          <w:sz w:val="26"/>
          <w:szCs w:val="26"/>
        </w:rPr>
        <w:t>de</w:t>
      </w:r>
      <w:r w:rsidRPr="00C67536">
        <w:rPr>
          <w:rFonts w:ascii="Arial" w:hAnsi="Arial" w:cs="Arial"/>
          <w:spacing w:val="-18"/>
          <w:sz w:val="26"/>
          <w:szCs w:val="26"/>
        </w:rPr>
        <w:t xml:space="preserve"> </w:t>
      </w:r>
      <w:r w:rsidRPr="00C67536">
        <w:rPr>
          <w:rFonts w:ascii="Arial" w:hAnsi="Arial" w:cs="Arial"/>
          <w:sz w:val="26"/>
          <w:szCs w:val="26"/>
        </w:rPr>
        <w:t>estas</w:t>
      </w:r>
      <w:r w:rsidRPr="00C67536">
        <w:rPr>
          <w:rFonts w:ascii="Arial" w:hAnsi="Arial" w:cs="Arial"/>
          <w:spacing w:val="-20"/>
          <w:sz w:val="26"/>
          <w:szCs w:val="26"/>
        </w:rPr>
        <w:t xml:space="preserve"> </w:t>
      </w:r>
      <w:r w:rsidRPr="00C67536">
        <w:rPr>
          <w:rFonts w:ascii="Arial" w:hAnsi="Arial" w:cs="Arial"/>
          <w:sz w:val="26"/>
          <w:szCs w:val="26"/>
        </w:rPr>
        <w:t>enfermedades</w:t>
      </w:r>
      <w:r w:rsidRPr="00C67536">
        <w:rPr>
          <w:rFonts w:ascii="Arial" w:hAnsi="Arial" w:cs="Arial"/>
          <w:spacing w:val="-19"/>
          <w:sz w:val="26"/>
          <w:szCs w:val="26"/>
        </w:rPr>
        <w:t xml:space="preserve"> </w:t>
      </w:r>
      <w:r w:rsidRPr="00C67536">
        <w:rPr>
          <w:rFonts w:ascii="Arial" w:hAnsi="Arial" w:cs="Arial"/>
          <w:sz w:val="26"/>
          <w:szCs w:val="26"/>
        </w:rPr>
        <w:t>se</w:t>
      </w:r>
      <w:r w:rsidRPr="00C67536">
        <w:rPr>
          <w:rFonts w:ascii="Arial" w:hAnsi="Arial" w:cs="Arial"/>
          <w:spacing w:val="-19"/>
          <w:sz w:val="26"/>
          <w:szCs w:val="26"/>
        </w:rPr>
        <w:t xml:space="preserve"> </w:t>
      </w:r>
      <w:r w:rsidRPr="00C67536">
        <w:rPr>
          <w:rFonts w:ascii="Arial" w:hAnsi="Arial" w:cs="Arial"/>
          <w:sz w:val="26"/>
          <w:szCs w:val="26"/>
        </w:rPr>
        <w:t>encuentran</w:t>
      </w:r>
      <w:r w:rsidRPr="00C67536">
        <w:rPr>
          <w:rFonts w:ascii="Arial" w:hAnsi="Arial" w:cs="Arial"/>
          <w:spacing w:val="-16"/>
          <w:sz w:val="26"/>
          <w:szCs w:val="26"/>
        </w:rPr>
        <w:t xml:space="preserve"> </w:t>
      </w:r>
      <w:r w:rsidRPr="00C67536">
        <w:rPr>
          <w:rFonts w:ascii="Arial" w:hAnsi="Arial" w:cs="Arial"/>
          <w:sz w:val="26"/>
          <w:szCs w:val="26"/>
        </w:rPr>
        <w:t>relacionadas con la alimentación, que es un factor modificable y que, por lo tanto, puede prevenirlas o reducir su</w:t>
      </w:r>
      <w:r w:rsidRPr="00C67536">
        <w:rPr>
          <w:rFonts w:ascii="Arial" w:hAnsi="Arial" w:cs="Arial"/>
          <w:spacing w:val="-5"/>
          <w:sz w:val="26"/>
          <w:szCs w:val="26"/>
        </w:rPr>
        <w:t xml:space="preserve"> </w:t>
      </w:r>
      <w:r w:rsidRPr="00C67536">
        <w:rPr>
          <w:rFonts w:ascii="Arial" w:hAnsi="Arial" w:cs="Arial"/>
          <w:sz w:val="26"/>
          <w:szCs w:val="26"/>
        </w:rPr>
        <w:t>riesgo.</w:t>
      </w:r>
    </w:p>
    <w:p w14:paraId="4C26EBD5"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A escala poblacional se ha recomendado disminuir el consumo de energía a partir de grasas saturadas, azúcares simples adicionales y sodio, los cuales se encuentran de manera frecuente en los productos alimenticios procesados en cantidades que contribuyen a exceder los límites máximos de ingestión diaria recomendada, lo que incrementa el riesgo de enfermedades.</w:t>
      </w:r>
    </w:p>
    <w:p w14:paraId="0C32238C"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Entre las políticas y acciones reconocidas como costo efectivas para el control de la obesidad y las ECNT en la población, se encuentra la orientación sobre la elección de alimentos saludables, a través de un Sistema de Etiquetado Frontal de Alimentos y Bebidas (SEFAB).</w:t>
      </w:r>
    </w:p>
    <w:p w14:paraId="7A8A6B2D"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El</w:t>
      </w:r>
      <w:r w:rsidRPr="00C67536">
        <w:rPr>
          <w:rFonts w:ascii="Arial" w:hAnsi="Arial" w:cs="Arial"/>
          <w:spacing w:val="-19"/>
          <w:sz w:val="26"/>
          <w:szCs w:val="26"/>
        </w:rPr>
        <w:t xml:space="preserve"> </w:t>
      </w:r>
      <w:r w:rsidRPr="00C67536">
        <w:rPr>
          <w:rFonts w:ascii="Arial" w:hAnsi="Arial" w:cs="Arial"/>
          <w:sz w:val="26"/>
          <w:szCs w:val="26"/>
        </w:rPr>
        <w:t>SEFAB</w:t>
      </w:r>
      <w:r w:rsidRPr="00C67536">
        <w:rPr>
          <w:rFonts w:ascii="Arial" w:hAnsi="Arial" w:cs="Arial"/>
          <w:spacing w:val="-18"/>
          <w:sz w:val="26"/>
          <w:szCs w:val="26"/>
        </w:rPr>
        <w:t xml:space="preserve"> </w:t>
      </w:r>
      <w:r w:rsidRPr="00C67536">
        <w:rPr>
          <w:rFonts w:ascii="Arial" w:hAnsi="Arial" w:cs="Arial"/>
          <w:sz w:val="26"/>
          <w:szCs w:val="26"/>
        </w:rPr>
        <w:t>ha</w:t>
      </w:r>
      <w:r w:rsidRPr="00C67536">
        <w:rPr>
          <w:rFonts w:ascii="Arial" w:hAnsi="Arial" w:cs="Arial"/>
          <w:spacing w:val="-17"/>
          <w:sz w:val="26"/>
          <w:szCs w:val="26"/>
        </w:rPr>
        <w:t xml:space="preserve"> </w:t>
      </w:r>
      <w:r w:rsidRPr="00C67536">
        <w:rPr>
          <w:rFonts w:ascii="Arial" w:hAnsi="Arial" w:cs="Arial"/>
          <w:sz w:val="26"/>
          <w:szCs w:val="26"/>
        </w:rPr>
        <w:t>formado</w:t>
      </w:r>
      <w:r w:rsidRPr="00C67536">
        <w:rPr>
          <w:rFonts w:ascii="Arial" w:hAnsi="Arial" w:cs="Arial"/>
          <w:spacing w:val="-20"/>
          <w:sz w:val="26"/>
          <w:szCs w:val="26"/>
        </w:rPr>
        <w:t xml:space="preserve"> </w:t>
      </w:r>
      <w:r w:rsidRPr="00C67536">
        <w:rPr>
          <w:rFonts w:ascii="Arial" w:hAnsi="Arial" w:cs="Arial"/>
          <w:sz w:val="26"/>
          <w:szCs w:val="26"/>
        </w:rPr>
        <w:t>parte</w:t>
      </w:r>
      <w:r w:rsidRPr="00C67536">
        <w:rPr>
          <w:rFonts w:ascii="Arial" w:hAnsi="Arial" w:cs="Arial"/>
          <w:spacing w:val="-18"/>
          <w:sz w:val="26"/>
          <w:szCs w:val="26"/>
        </w:rPr>
        <w:t xml:space="preserve"> </w:t>
      </w:r>
      <w:r w:rsidRPr="00C67536">
        <w:rPr>
          <w:rFonts w:ascii="Arial" w:hAnsi="Arial" w:cs="Arial"/>
          <w:sz w:val="26"/>
          <w:szCs w:val="26"/>
        </w:rPr>
        <w:t>del</w:t>
      </w:r>
      <w:r w:rsidRPr="00C67536">
        <w:rPr>
          <w:rFonts w:ascii="Arial" w:hAnsi="Arial" w:cs="Arial"/>
          <w:spacing w:val="-18"/>
          <w:sz w:val="26"/>
          <w:szCs w:val="26"/>
        </w:rPr>
        <w:t xml:space="preserve"> </w:t>
      </w:r>
      <w:r w:rsidRPr="00C67536">
        <w:rPr>
          <w:rFonts w:ascii="Arial" w:hAnsi="Arial" w:cs="Arial"/>
          <w:sz w:val="26"/>
          <w:szCs w:val="26"/>
        </w:rPr>
        <w:t>conjunto</w:t>
      </w:r>
      <w:r w:rsidRPr="00C67536">
        <w:rPr>
          <w:rFonts w:ascii="Arial" w:hAnsi="Arial" w:cs="Arial"/>
          <w:spacing w:val="-20"/>
          <w:sz w:val="26"/>
          <w:szCs w:val="26"/>
        </w:rPr>
        <w:t xml:space="preserve"> </w:t>
      </w:r>
      <w:r w:rsidRPr="00C67536">
        <w:rPr>
          <w:rFonts w:ascii="Arial" w:hAnsi="Arial" w:cs="Arial"/>
          <w:sz w:val="26"/>
          <w:szCs w:val="26"/>
        </w:rPr>
        <w:t>de</w:t>
      </w:r>
      <w:r w:rsidRPr="00C67536">
        <w:rPr>
          <w:rFonts w:ascii="Arial" w:hAnsi="Arial" w:cs="Arial"/>
          <w:spacing w:val="-17"/>
          <w:sz w:val="26"/>
          <w:szCs w:val="26"/>
        </w:rPr>
        <w:t xml:space="preserve"> </w:t>
      </w:r>
      <w:r w:rsidRPr="00C67536">
        <w:rPr>
          <w:rFonts w:ascii="Arial" w:hAnsi="Arial" w:cs="Arial"/>
          <w:sz w:val="26"/>
          <w:szCs w:val="26"/>
        </w:rPr>
        <w:t>políticas</w:t>
      </w:r>
      <w:r w:rsidRPr="00C67536">
        <w:rPr>
          <w:rFonts w:ascii="Arial" w:hAnsi="Arial" w:cs="Arial"/>
          <w:spacing w:val="-19"/>
          <w:sz w:val="26"/>
          <w:szCs w:val="26"/>
        </w:rPr>
        <w:t xml:space="preserve"> </w:t>
      </w:r>
      <w:r w:rsidRPr="00C67536">
        <w:rPr>
          <w:rFonts w:ascii="Arial" w:hAnsi="Arial" w:cs="Arial"/>
          <w:sz w:val="26"/>
          <w:szCs w:val="26"/>
        </w:rPr>
        <w:t>implementadas</w:t>
      </w:r>
      <w:r w:rsidRPr="00C67536">
        <w:rPr>
          <w:rFonts w:ascii="Arial" w:hAnsi="Arial" w:cs="Arial"/>
          <w:spacing w:val="-21"/>
          <w:sz w:val="26"/>
          <w:szCs w:val="26"/>
        </w:rPr>
        <w:t xml:space="preserve"> </w:t>
      </w:r>
      <w:r w:rsidRPr="00C67536">
        <w:rPr>
          <w:rFonts w:ascii="Arial" w:hAnsi="Arial" w:cs="Arial"/>
          <w:sz w:val="26"/>
          <w:szCs w:val="26"/>
        </w:rPr>
        <w:t>con</w:t>
      </w:r>
      <w:r w:rsidRPr="00C67536">
        <w:rPr>
          <w:rFonts w:ascii="Arial" w:hAnsi="Arial" w:cs="Arial"/>
          <w:spacing w:val="-17"/>
          <w:sz w:val="26"/>
          <w:szCs w:val="26"/>
        </w:rPr>
        <w:t xml:space="preserve"> </w:t>
      </w:r>
      <w:r w:rsidRPr="00C67536">
        <w:rPr>
          <w:rFonts w:ascii="Arial" w:hAnsi="Arial" w:cs="Arial"/>
          <w:sz w:val="26"/>
          <w:szCs w:val="26"/>
        </w:rPr>
        <w:t>la</w:t>
      </w:r>
      <w:r w:rsidRPr="00C67536">
        <w:rPr>
          <w:rFonts w:ascii="Arial" w:hAnsi="Arial" w:cs="Arial"/>
          <w:spacing w:val="-18"/>
          <w:sz w:val="26"/>
          <w:szCs w:val="26"/>
        </w:rPr>
        <w:t xml:space="preserve"> </w:t>
      </w:r>
      <w:r w:rsidRPr="00C67536">
        <w:rPr>
          <w:rFonts w:ascii="Arial" w:hAnsi="Arial" w:cs="Arial"/>
          <w:sz w:val="26"/>
          <w:szCs w:val="26"/>
        </w:rPr>
        <w:t>intención de</w:t>
      </w:r>
      <w:r w:rsidRPr="00C67536">
        <w:rPr>
          <w:rFonts w:ascii="Arial" w:hAnsi="Arial" w:cs="Arial"/>
          <w:spacing w:val="-12"/>
          <w:sz w:val="26"/>
          <w:szCs w:val="26"/>
        </w:rPr>
        <w:t xml:space="preserve"> </w:t>
      </w:r>
      <w:r w:rsidRPr="00C67536">
        <w:rPr>
          <w:rFonts w:ascii="Arial" w:hAnsi="Arial" w:cs="Arial"/>
          <w:sz w:val="26"/>
          <w:szCs w:val="26"/>
        </w:rPr>
        <w:t>contrarrestar</w:t>
      </w:r>
      <w:r w:rsidRPr="00C67536">
        <w:rPr>
          <w:rFonts w:ascii="Arial" w:hAnsi="Arial" w:cs="Arial"/>
          <w:spacing w:val="-12"/>
          <w:sz w:val="26"/>
          <w:szCs w:val="26"/>
        </w:rPr>
        <w:t xml:space="preserve"> </w:t>
      </w:r>
      <w:r w:rsidRPr="00C67536">
        <w:rPr>
          <w:rFonts w:ascii="Arial" w:hAnsi="Arial" w:cs="Arial"/>
          <w:sz w:val="26"/>
          <w:szCs w:val="26"/>
        </w:rPr>
        <w:t>la</w:t>
      </w:r>
      <w:r w:rsidRPr="00C67536">
        <w:rPr>
          <w:rFonts w:ascii="Arial" w:hAnsi="Arial" w:cs="Arial"/>
          <w:spacing w:val="-11"/>
          <w:sz w:val="26"/>
          <w:szCs w:val="26"/>
        </w:rPr>
        <w:t xml:space="preserve"> </w:t>
      </w:r>
      <w:r w:rsidRPr="00C67536">
        <w:rPr>
          <w:rFonts w:ascii="Arial" w:hAnsi="Arial" w:cs="Arial"/>
          <w:sz w:val="26"/>
          <w:szCs w:val="26"/>
        </w:rPr>
        <w:t>llamada</w:t>
      </w:r>
      <w:r w:rsidRPr="00C67536">
        <w:rPr>
          <w:rFonts w:ascii="Arial" w:hAnsi="Arial" w:cs="Arial"/>
          <w:spacing w:val="-13"/>
          <w:sz w:val="26"/>
          <w:szCs w:val="26"/>
        </w:rPr>
        <w:t xml:space="preserve"> </w:t>
      </w:r>
      <w:r w:rsidRPr="00C67536">
        <w:rPr>
          <w:rFonts w:ascii="Arial" w:hAnsi="Arial" w:cs="Arial"/>
          <w:sz w:val="26"/>
          <w:szCs w:val="26"/>
        </w:rPr>
        <w:t>epidemia</w:t>
      </w:r>
      <w:r w:rsidRPr="00C67536">
        <w:rPr>
          <w:rFonts w:ascii="Arial" w:hAnsi="Arial" w:cs="Arial"/>
          <w:spacing w:val="-13"/>
          <w:sz w:val="26"/>
          <w:szCs w:val="26"/>
        </w:rPr>
        <w:t xml:space="preserve"> </w:t>
      </w:r>
      <w:r w:rsidRPr="00C67536">
        <w:rPr>
          <w:rFonts w:ascii="Arial" w:hAnsi="Arial" w:cs="Arial"/>
          <w:sz w:val="26"/>
          <w:szCs w:val="26"/>
        </w:rPr>
        <w:t>de</w:t>
      </w:r>
      <w:r w:rsidRPr="00C67536">
        <w:rPr>
          <w:rFonts w:ascii="Arial" w:hAnsi="Arial" w:cs="Arial"/>
          <w:spacing w:val="-12"/>
          <w:sz w:val="26"/>
          <w:szCs w:val="26"/>
        </w:rPr>
        <w:t xml:space="preserve"> </w:t>
      </w:r>
      <w:r w:rsidRPr="00C67536">
        <w:rPr>
          <w:rFonts w:ascii="Arial" w:hAnsi="Arial" w:cs="Arial"/>
          <w:sz w:val="26"/>
          <w:szCs w:val="26"/>
        </w:rPr>
        <w:t>obesidad,</w:t>
      </w:r>
      <w:r w:rsidRPr="00C67536">
        <w:rPr>
          <w:rFonts w:ascii="Arial" w:hAnsi="Arial" w:cs="Arial"/>
          <w:spacing w:val="-13"/>
          <w:sz w:val="26"/>
          <w:szCs w:val="26"/>
        </w:rPr>
        <w:t xml:space="preserve"> </w:t>
      </w:r>
      <w:r w:rsidRPr="00C67536">
        <w:rPr>
          <w:rFonts w:ascii="Arial" w:hAnsi="Arial" w:cs="Arial"/>
          <w:sz w:val="26"/>
          <w:szCs w:val="26"/>
        </w:rPr>
        <w:t>en</w:t>
      </w:r>
      <w:r w:rsidRPr="00C67536">
        <w:rPr>
          <w:rFonts w:ascii="Arial" w:hAnsi="Arial" w:cs="Arial"/>
          <w:spacing w:val="-12"/>
          <w:sz w:val="26"/>
          <w:szCs w:val="26"/>
        </w:rPr>
        <w:t xml:space="preserve"> </w:t>
      </w:r>
      <w:r w:rsidRPr="00C67536">
        <w:rPr>
          <w:rFonts w:ascii="Arial" w:hAnsi="Arial" w:cs="Arial"/>
          <w:sz w:val="26"/>
          <w:szCs w:val="26"/>
        </w:rPr>
        <w:t>conjunto</w:t>
      </w:r>
      <w:r w:rsidRPr="00C67536">
        <w:rPr>
          <w:rFonts w:ascii="Arial" w:hAnsi="Arial" w:cs="Arial"/>
          <w:spacing w:val="-3"/>
          <w:sz w:val="26"/>
          <w:szCs w:val="26"/>
        </w:rPr>
        <w:t xml:space="preserve"> </w:t>
      </w:r>
      <w:r w:rsidRPr="00C67536">
        <w:rPr>
          <w:rFonts w:ascii="Arial" w:hAnsi="Arial" w:cs="Arial"/>
          <w:sz w:val="26"/>
          <w:szCs w:val="26"/>
        </w:rPr>
        <w:t>con</w:t>
      </w:r>
      <w:r w:rsidRPr="00C67536">
        <w:rPr>
          <w:rFonts w:ascii="Arial" w:hAnsi="Arial" w:cs="Arial"/>
          <w:spacing w:val="-11"/>
          <w:sz w:val="26"/>
          <w:szCs w:val="26"/>
        </w:rPr>
        <w:t xml:space="preserve"> </w:t>
      </w:r>
      <w:r w:rsidRPr="00C67536">
        <w:rPr>
          <w:rFonts w:ascii="Arial" w:hAnsi="Arial" w:cs="Arial"/>
          <w:sz w:val="26"/>
          <w:szCs w:val="26"/>
        </w:rPr>
        <w:t>otras</w:t>
      </w:r>
      <w:r w:rsidRPr="00C67536">
        <w:rPr>
          <w:rFonts w:ascii="Arial" w:hAnsi="Arial" w:cs="Arial"/>
          <w:spacing w:val="-12"/>
          <w:sz w:val="26"/>
          <w:szCs w:val="26"/>
        </w:rPr>
        <w:t xml:space="preserve"> </w:t>
      </w:r>
      <w:r w:rsidRPr="00C67536">
        <w:rPr>
          <w:rFonts w:ascii="Arial" w:hAnsi="Arial" w:cs="Arial"/>
          <w:sz w:val="26"/>
          <w:szCs w:val="26"/>
        </w:rPr>
        <w:t>estrategias como la regulación de la venta de alimentos en el entorno escolar, las campañas educativas, la regulación de la publicidad de alimentos y bebidas densamente energéticos dirigidos a la población infantil y el impuesto a las bebidas</w:t>
      </w:r>
      <w:r w:rsidRPr="00C67536">
        <w:rPr>
          <w:rFonts w:ascii="Arial" w:hAnsi="Arial" w:cs="Arial"/>
          <w:spacing w:val="-31"/>
          <w:sz w:val="26"/>
          <w:szCs w:val="26"/>
        </w:rPr>
        <w:t xml:space="preserve"> </w:t>
      </w:r>
      <w:r w:rsidRPr="00C67536">
        <w:rPr>
          <w:rFonts w:ascii="Arial" w:hAnsi="Arial" w:cs="Arial"/>
          <w:sz w:val="26"/>
          <w:szCs w:val="26"/>
        </w:rPr>
        <w:t>azucaradas.</w:t>
      </w:r>
    </w:p>
    <w:p w14:paraId="2B3E9BD4"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En México, se estima que más de 70 por ciento de las muertes en adultos son por causa</w:t>
      </w:r>
      <w:r w:rsidRPr="00C67536">
        <w:rPr>
          <w:rFonts w:ascii="Arial" w:hAnsi="Arial" w:cs="Arial"/>
          <w:spacing w:val="-6"/>
          <w:sz w:val="26"/>
          <w:szCs w:val="26"/>
        </w:rPr>
        <w:t xml:space="preserve"> </w:t>
      </w:r>
      <w:r w:rsidRPr="00C67536">
        <w:rPr>
          <w:rFonts w:ascii="Arial" w:hAnsi="Arial" w:cs="Arial"/>
          <w:sz w:val="26"/>
          <w:szCs w:val="26"/>
        </w:rPr>
        <w:t>de</w:t>
      </w:r>
      <w:r w:rsidRPr="00C67536">
        <w:rPr>
          <w:rFonts w:ascii="Arial" w:hAnsi="Arial" w:cs="Arial"/>
          <w:spacing w:val="-4"/>
          <w:sz w:val="26"/>
          <w:szCs w:val="26"/>
        </w:rPr>
        <w:t xml:space="preserve"> </w:t>
      </w:r>
      <w:r w:rsidRPr="00C67536">
        <w:rPr>
          <w:rFonts w:ascii="Arial" w:hAnsi="Arial" w:cs="Arial"/>
          <w:sz w:val="26"/>
          <w:szCs w:val="26"/>
        </w:rPr>
        <w:t>las</w:t>
      </w:r>
      <w:r w:rsidRPr="00C67536">
        <w:rPr>
          <w:rFonts w:ascii="Arial" w:hAnsi="Arial" w:cs="Arial"/>
          <w:spacing w:val="-3"/>
          <w:sz w:val="26"/>
          <w:szCs w:val="26"/>
        </w:rPr>
        <w:t xml:space="preserve"> </w:t>
      </w:r>
      <w:r w:rsidRPr="00C67536">
        <w:rPr>
          <w:rFonts w:ascii="Arial" w:hAnsi="Arial" w:cs="Arial"/>
          <w:sz w:val="26"/>
          <w:szCs w:val="26"/>
        </w:rPr>
        <w:t>ECNT.</w:t>
      </w:r>
      <w:r w:rsidRPr="00C67536">
        <w:rPr>
          <w:rFonts w:ascii="Arial" w:hAnsi="Arial" w:cs="Arial"/>
          <w:spacing w:val="-4"/>
          <w:sz w:val="26"/>
          <w:szCs w:val="26"/>
        </w:rPr>
        <w:t xml:space="preserve"> </w:t>
      </w:r>
      <w:r w:rsidRPr="00C67536">
        <w:rPr>
          <w:rFonts w:ascii="Arial" w:hAnsi="Arial" w:cs="Arial"/>
          <w:sz w:val="26"/>
          <w:szCs w:val="26"/>
        </w:rPr>
        <w:t>La</w:t>
      </w:r>
      <w:r w:rsidRPr="00C67536">
        <w:rPr>
          <w:rFonts w:ascii="Arial" w:hAnsi="Arial" w:cs="Arial"/>
          <w:spacing w:val="-4"/>
          <w:sz w:val="26"/>
          <w:szCs w:val="26"/>
        </w:rPr>
        <w:t xml:space="preserve"> </w:t>
      </w:r>
      <w:r w:rsidRPr="00C67536">
        <w:rPr>
          <w:rFonts w:ascii="Arial" w:hAnsi="Arial" w:cs="Arial"/>
          <w:sz w:val="26"/>
          <w:szCs w:val="26"/>
        </w:rPr>
        <w:t>evidencia</w:t>
      </w:r>
      <w:r w:rsidRPr="00C67536">
        <w:rPr>
          <w:rFonts w:ascii="Arial" w:hAnsi="Arial" w:cs="Arial"/>
          <w:spacing w:val="-5"/>
          <w:sz w:val="26"/>
          <w:szCs w:val="26"/>
        </w:rPr>
        <w:t xml:space="preserve"> </w:t>
      </w:r>
      <w:r w:rsidRPr="00C67536">
        <w:rPr>
          <w:rFonts w:ascii="Arial" w:hAnsi="Arial" w:cs="Arial"/>
          <w:sz w:val="26"/>
          <w:szCs w:val="26"/>
        </w:rPr>
        <w:t>generada</w:t>
      </w:r>
      <w:r w:rsidRPr="00C67536">
        <w:rPr>
          <w:rFonts w:ascii="Arial" w:hAnsi="Arial" w:cs="Arial"/>
          <w:spacing w:val="-6"/>
          <w:sz w:val="26"/>
          <w:szCs w:val="26"/>
        </w:rPr>
        <w:t xml:space="preserve"> </w:t>
      </w:r>
      <w:r w:rsidRPr="00C67536">
        <w:rPr>
          <w:rFonts w:ascii="Arial" w:hAnsi="Arial" w:cs="Arial"/>
          <w:sz w:val="26"/>
          <w:szCs w:val="26"/>
        </w:rPr>
        <w:t>demuestra</w:t>
      </w:r>
      <w:r w:rsidRPr="00C67536">
        <w:rPr>
          <w:rFonts w:ascii="Arial" w:hAnsi="Arial" w:cs="Arial"/>
          <w:spacing w:val="-4"/>
          <w:sz w:val="26"/>
          <w:szCs w:val="26"/>
        </w:rPr>
        <w:t xml:space="preserve"> </w:t>
      </w:r>
      <w:r w:rsidRPr="00C67536">
        <w:rPr>
          <w:rFonts w:ascii="Arial" w:hAnsi="Arial" w:cs="Arial"/>
          <w:sz w:val="26"/>
          <w:szCs w:val="26"/>
        </w:rPr>
        <w:t>que</w:t>
      </w:r>
      <w:r w:rsidRPr="00C67536">
        <w:rPr>
          <w:rFonts w:ascii="Arial" w:hAnsi="Arial" w:cs="Arial"/>
          <w:spacing w:val="-3"/>
          <w:sz w:val="26"/>
          <w:szCs w:val="26"/>
        </w:rPr>
        <w:t xml:space="preserve"> </w:t>
      </w:r>
      <w:r w:rsidRPr="00C67536">
        <w:rPr>
          <w:rFonts w:ascii="Arial" w:hAnsi="Arial" w:cs="Arial"/>
          <w:sz w:val="26"/>
          <w:szCs w:val="26"/>
        </w:rPr>
        <w:t>la</w:t>
      </w:r>
      <w:r w:rsidRPr="00C67536">
        <w:rPr>
          <w:rFonts w:ascii="Arial" w:hAnsi="Arial" w:cs="Arial"/>
          <w:spacing w:val="-6"/>
          <w:sz w:val="26"/>
          <w:szCs w:val="26"/>
        </w:rPr>
        <w:t xml:space="preserve"> </w:t>
      </w:r>
      <w:r w:rsidRPr="00C67536">
        <w:rPr>
          <w:rFonts w:ascii="Arial" w:hAnsi="Arial" w:cs="Arial"/>
          <w:sz w:val="26"/>
          <w:szCs w:val="26"/>
        </w:rPr>
        <w:t>dieta</w:t>
      </w:r>
      <w:r w:rsidRPr="00C67536">
        <w:rPr>
          <w:rFonts w:ascii="Arial" w:hAnsi="Arial" w:cs="Arial"/>
          <w:spacing w:val="-5"/>
          <w:sz w:val="26"/>
          <w:szCs w:val="26"/>
        </w:rPr>
        <w:t xml:space="preserve"> </w:t>
      </w:r>
      <w:r w:rsidRPr="00C67536">
        <w:rPr>
          <w:rFonts w:ascii="Arial" w:hAnsi="Arial" w:cs="Arial"/>
          <w:sz w:val="26"/>
          <w:szCs w:val="26"/>
        </w:rPr>
        <w:t>y</w:t>
      </w:r>
      <w:r w:rsidRPr="00C67536">
        <w:rPr>
          <w:rFonts w:ascii="Arial" w:hAnsi="Arial" w:cs="Arial"/>
          <w:spacing w:val="-4"/>
          <w:sz w:val="26"/>
          <w:szCs w:val="26"/>
        </w:rPr>
        <w:t xml:space="preserve"> </w:t>
      </w:r>
      <w:r w:rsidRPr="00C67536">
        <w:rPr>
          <w:rFonts w:ascii="Arial" w:hAnsi="Arial" w:cs="Arial"/>
          <w:sz w:val="26"/>
          <w:szCs w:val="26"/>
        </w:rPr>
        <w:t>los</w:t>
      </w:r>
      <w:r w:rsidRPr="00C67536">
        <w:rPr>
          <w:rFonts w:ascii="Arial" w:hAnsi="Arial" w:cs="Arial"/>
          <w:spacing w:val="-4"/>
          <w:sz w:val="26"/>
          <w:szCs w:val="26"/>
        </w:rPr>
        <w:t xml:space="preserve"> </w:t>
      </w:r>
      <w:r w:rsidRPr="00C67536">
        <w:rPr>
          <w:rFonts w:ascii="Arial" w:hAnsi="Arial" w:cs="Arial"/>
          <w:sz w:val="26"/>
          <w:szCs w:val="26"/>
        </w:rPr>
        <w:t>hábitos</w:t>
      </w:r>
      <w:r w:rsidRPr="00C67536">
        <w:rPr>
          <w:rFonts w:ascii="Arial" w:hAnsi="Arial" w:cs="Arial"/>
          <w:spacing w:val="-6"/>
          <w:sz w:val="26"/>
          <w:szCs w:val="26"/>
        </w:rPr>
        <w:t xml:space="preserve"> </w:t>
      </w:r>
      <w:r w:rsidRPr="00C67536">
        <w:rPr>
          <w:rFonts w:ascii="Arial" w:hAnsi="Arial" w:cs="Arial"/>
          <w:sz w:val="26"/>
          <w:szCs w:val="26"/>
        </w:rPr>
        <w:t>de alimentación han atravesado por cambios sustanciales durante los últimos 30 a 40 años, al tiempo que el consumo de energía (kilocalorías, kcal) per cápita ha incrementado 580 kcal/día a escala</w:t>
      </w:r>
      <w:r w:rsidRPr="00C67536">
        <w:rPr>
          <w:rFonts w:ascii="Arial" w:hAnsi="Arial" w:cs="Arial"/>
          <w:spacing w:val="-8"/>
          <w:sz w:val="26"/>
          <w:szCs w:val="26"/>
        </w:rPr>
        <w:t xml:space="preserve"> </w:t>
      </w:r>
      <w:r w:rsidRPr="00C67536">
        <w:rPr>
          <w:rFonts w:ascii="Arial" w:hAnsi="Arial" w:cs="Arial"/>
          <w:sz w:val="26"/>
          <w:szCs w:val="26"/>
        </w:rPr>
        <w:t>mundial.</w:t>
      </w:r>
    </w:p>
    <w:p w14:paraId="1BECDEDF"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 población mexicana ha seguido el mismo patrón, lo que se atribuye, en gran medida, al aumento del consumo de alimentos procesados densamente energéticos, así como a otros cambios del sistema alimentario y al propio crecimiento</w:t>
      </w:r>
      <w:r w:rsidRPr="00C67536">
        <w:rPr>
          <w:rFonts w:ascii="Arial" w:hAnsi="Arial" w:cs="Arial"/>
          <w:spacing w:val="-11"/>
          <w:sz w:val="26"/>
          <w:szCs w:val="26"/>
        </w:rPr>
        <w:t xml:space="preserve"> </w:t>
      </w:r>
      <w:r w:rsidRPr="00C67536">
        <w:rPr>
          <w:rFonts w:ascii="Arial" w:hAnsi="Arial" w:cs="Arial"/>
          <w:sz w:val="26"/>
          <w:szCs w:val="26"/>
        </w:rPr>
        <w:t>económico</w:t>
      </w:r>
      <w:r w:rsidRPr="00C67536">
        <w:rPr>
          <w:rFonts w:ascii="Arial" w:hAnsi="Arial" w:cs="Arial"/>
          <w:spacing w:val="-10"/>
          <w:sz w:val="26"/>
          <w:szCs w:val="26"/>
        </w:rPr>
        <w:t xml:space="preserve"> </w:t>
      </w:r>
      <w:r w:rsidRPr="00C67536">
        <w:rPr>
          <w:rFonts w:ascii="Arial" w:hAnsi="Arial" w:cs="Arial"/>
          <w:sz w:val="26"/>
          <w:szCs w:val="26"/>
        </w:rPr>
        <w:t>del</w:t>
      </w:r>
      <w:r w:rsidRPr="00C67536">
        <w:rPr>
          <w:rFonts w:ascii="Arial" w:hAnsi="Arial" w:cs="Arial"/>
          <w:spacing w:val="-12"/>
          <w:sz w:val="26"/>
          <w:szCs w:val="26"/>
        </w:rPr>
        <w:t xml:space="preserve"> </w:t>
      </w:r>
      <w:r w:rsidRPr="00C67536">
        <w:rPr>
          <w:rFonts w:ascii="Arial" w:hAnsi="Arial" w:cs="Arial"/>
          <w:sz w:val="26"/>
          <w:szCs w:val="26"/>
        </w:rPr>
        <w:t>país.</w:t>
      </w:r>
      <w:r w:rsidRPr="00C67536">
        <w:rPr>
          <w:rFonts w:ascii="Arial" w:hAnsi="Arial" w:cs="Arial"/>
          <w:spacing w:val="-10"/>
          <w:sz w:val="26"/>
          <w:szCs w:val="26"/>
        </w:rPr>
        <w:t xml:space="preserve"> </w:t>
      </w:r>
      <w:r w:rsidRPr="00C67536">
        <w:rPr>
          <w:rFonts w:ascii="Arial" w:hAnsi="Arial" w:cs="Arial"/>
          <w:sz w:val="26"/>
          <w:szCs w:val="26"/>
        </w:rPr>
        <w:t>Recientemente,</w:t>
      </w:r>
      <w:r w:rsidRPr="00C67536">
        <w:rPr>
          <w:rFonts w:ascii="Arial" w:hAnsi="Arial" w:cs="Arial"/>
          <w:spacing w:val="-11"/>
          <w:sz w:val="26"/>
          <w:szCs w:val="26"/>
        </w:rPr>
        <w:t xml:space="preserve"> </w:t>
      </w:r>
      <w:r w:rsidRPr="00C67536">
        <w:rPr>
          <w:rFonts w:ascii="Arial" w:hAnsi="Arial" w:cs="Arial"/>
          <w:sz w:val="26"/>
          <w:szCs w:val="26"/>
        </w:rPr>
        <w:t>se</w:t>
      </w:r>
      <w:r w:rsidRPr="00C67536">
        <w:rPr>
          <w:rFonts w:ascii="Arial" w:hAnsi="Arial" w:cs="Arial"/>
          <w:spacing w:val="-10"/>
          <w:sz w:val="26"/>
          <w:szCs w:val="26"/>
        </w:rPr>
        <w:t xml:space="preserve"> </w:t>
      </w:r>
      <w:r w:rsidRPr="00C67536">
        <w:rPr>
          <w:rFonts w:ascii="Arial" w:hAnsi="Arial" w:cs="Arial"/>
          <w:sz w:val="26"/>
          <w:szCs w:val="26"/>
        </w:rPr>
        <w:t>ha</w:t>
      </w:r>
      <w:r w:rsidRPr="00C67536">
        <w:rPr>
          <w:rFonts w:ascii="Arial" w:hAnsi="Arial" w:cs="Arial"/>
          <w:spacing w:val="-11"/>
          <w:sz w:val="26"/>
          <w:szCs w:val="26"/>
        </w:rPr>
        <w:t xml:space="preserve"> </w:t>
      </w:r>
      <w:r w:rsidRPr="00C67536">
        <w:rPr>
          <w:rFonts w:ascii="Arial" w:hAnsi="Arial" w:cs="Arial"/>
          <w:sz w:val="26"/>
          <w:szCs w:val="26"/>
        </w:rPr>
        <w:t>estimado</w:t>
      </w:r>
      <w:r w:rsidRPr="00C67536">
        <w:rPr>
          <w:rFonts w:ascii="Arial" w:hAnsi="Arial" w:cs="Arial"/>
          <w:spacing w:val="-10"/>
          <w:sz w:val="26"/>
          <w:szCs w:val="26"/>
        </w:rPr>
        <w:t xml:space="preserve"> </w:t>
      </w:r>
      <w:r w:rsidRPr="00C67536">
        <w:rPr>
          <w:rFonts w:ascii="Arial" w:hAnsi="Arial" w:cs="Arial"/>
          <w:sz w:val="26"/>
          <w:szCs w:val="26"/>
        </w:rPr>
        <w:t>que</w:t>
      </w:r>
      <w:r w:rsidRPr="00C67536">
        <w:rPr>
          <w:rFonts w:ascii="Arial" w:hAnsi="Arial" w:cs="Arial"/>
          <w:spacing w:val="-13"/>
          <w:sz w:val="26"/>
          <w:szCs w:val="26"/>
        </w:rPr>
        <w:t xml:space="preserve"> </w:t>
      </w:r>
      <w:r w:rsidRPr="00C67536">
        <w:rPr>
          <w:rFonts w:ascii="Arial" w:hAnsi="Arial" w:cs="Arial"/>
          <w:sz w:val="26"/>
          <w:szCs w:val="26"/>
        </w:rPr>
        <w:t>más</w:t>
      </w:r>
      <w:r w:rsidRPr="00C67536">
        <w:rPr>
          <w:rFonts w:ascii="Arial" w:hAnsi="Arial" w:cs="Arial"/>
          <w:spacing w:val="-11"/>
          <w:sz w:val="26"/>
          <w:szCs w:val="26"/>
        </w:rPr>
        <w:t xml:space="preserve"> </w:t>
      </w:r>
      <w:r w:rsidRPr="00C67536">
        <w:rPr>
          <w:rFonts w:ascii="Arial" w:hAnsi="Arial" w:cs="Arial"/>
          <w:sz w:val="26"/>
          <w:szCs w:val="26"/>
        </w:rPr>
        <w:t>de</w:t>
      </w:r>
      <w:r w:rsidRPr="00C67536">
        <w:rPr>
          <w:rFonts w:ascii="Arial" w:hAnsi="Arial" w:cs="Arial"/>
          <w:spacing w:val="-10"/>
          <w:sz w:val="26"/>
          <w:szCs w:val="26"/>
        </w:rPr>
        <w:t xml:space="preserve"> </w:t>
      </w:r>
      <w:r w:rsidRPr="00C67536">
        <w:rPr>
          <w:rFonts w:ascii="Arial" w:hAnsi="Arial" w:cs="Arial"/>
          <w:sz w:val="26"/>
          <w:szCs w:val="26"/>
        </w:rPr>
        <w:t>58</w:t>
      </w:r>
      <w:r w:rsidRPr="00C67536">
        <w:rPr>
          <w:rFonts w:ascii="Arial" w:hAnsi="Arial" w:cs="Arial"/>
          <w:spacing w:val="-11"/>
          <w:sz w:val="26"/>
          <w:szCs w:val="26"/>
        </w:rPr>
        <w:t xml:space="preserve"> </w:t>
      </w:r>
      <w:r w:rsidRPr="00C67536">
        <w:rPr>
          <w:rFonts w:ascii="Arial" w:hAnsi="Arial" w:cs="Arial"/>
          <w:sz w:val="26"/>
          <w:szCs w:val="26"/>
        </w:rPr>
        <w:t>por ciento de la energía total (kilocalorías) consumida por los mexicanos proviene de alimentos</w:t>
      </w:r>
      <w:r w:rsidRPr="00C67536">
        <w:rPr>
          <w:rFonts w:ascii="Arial" w:hAnsi="Arial" w:cs="Arial"/>
          <w:spacing w:val="-3"/>
          <w:sz w:val="26"/>
          <w:szCs w:val="26"/>
        </w:rPr>
        <w:t xml:space="preserve"> </w:t>
      </w:r>
      <w:r w:rsidRPr="00C67536">
        <w:rPr>
          <w:rFonts w:ascii="Arial" w:hAnsi="Arial" w:cs="Arial"/>
          <w:sz w:val="26"/>
          <w:szCs w:val="26"/>
        </w:rPr>
        <w:t>procesados.</w:t>
      </w:r>
    </w:p>
    <w:p w14:paraId="692ED618"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De 13 países latinoamericanos, en 2013 México ocupó el primer lugar en la venta al menudeo per cápita de productos alimentarios y bebidas ultra procesados, con una venta de 212.2 (kg). Esta tendencia se ha asociado con el aumento de las prevalencias de sobrepeso y obesidad, consideradas como un problema grave de salud pública en México.</w:t>
      </w:r>
    </w:p>
    <w:p w14:paraId="44D842B1"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En los últimos años, países como Chile, Ecuador, Reino Unido, Australia, Nueva Zelanda e Israel han implementado un SEFAB como medida regulatoria, con la finalidad de brindar a la población una herramienta rápida y sencilla que ayude a la selección y orientación en la compra de alimentos industrializados.</w:t>
      </w:r>
    </w:p>
    <w:p w14:paraId="37835053"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Actualmente, otros países están en procesos de discusión sobre la adopción de nuevos sistemas de etiquetado. En México, desde 2010, el desarrollo del Acuerdo Nacional</w:t>
      </w:r>
      <w:r w:rsidRPr="00C67536">
        <w:rPr>
          <w:rFonts w:ascii="Arial" w:hAnsi="Arial" w:cs="Arial"/>
          <w:spacing w:val="-12"/>
          <w:sz w:val="26"/>
          <w:szCs w:val="26"/>
        </w:rPr>
        <w:t xml:space="preserve"> </w:t>
      </w:r>
      <w:r w:rsidRPr="00C67536">
        <w:rPr>
          <w:rFonts w:ascii="Arial" w:hAnsi="Arial" w:cs="Arial"/>
          <w:sz w:val="26"/>
          <w:szCs w:val="26"/>
        </w:rPr>
        <w:t>para</w:t>
      </w:r>
      <w:r w:rsidRPr="00C67536">
        <w:rPr>
          <w:rFonts w:ascii="Arial" w:hAnsi="Arial" w:cs="Arial"/>
          <w:spacing w:val="-11"/>
          <w:sz w:val="26"/>
          <w:szCs w:val="26"/>
        </w:rPr>
        <w:t xml:space="preserve"> </w:t>
      </w:r>
      <w:r w:rsidRPr="00C67536">
        <w:rPr>
          <w:rFonts w:ascii="Arial" w:hAnsi="Arial" w:cs="Arial"/>
          <w:sz w:val="26"/>
          <w:szCs w:val="26"/>
        </w:rPr>
        <w:t>la</w:t>
      </w:r>
      <w:r w:rsidRPr="00C67536">
        <w:rPr>
          <w:rFonts w:ascii="Arial" w:hAnsi="Arial" w:cs="Arial"/>
          <w:spacing w:val="-11"/>
          <w:sz w:val="26"/>
          <w:szCs w:val="26"/>
        </w:rPr>
        <w:t xml:space="preserve"> </w:t>
      </w:r>
      <w:r w:rsidRPr="00C67536">
        <w:rPr>
          <w:rFonts w:ascii="Arial" w:hAnsi="Arial" w:cs="Arial"/>
          <w:sz w:val="26"/>
          <w:szCs w:val="26"/>
        </w:rPr>
        <w:t>Salud</w:t>
      </w:r>
      <w:r w:rsidRPr="00C67536">
        <w:rPr>
          <w:rFonts w:ascii="Arial" w:hAnsi="Arial" w:cs="Arial"/>
          <w:spacing w:val="-11"/>
          <w:sz w:val="26"/>
          <w:szCs w:val="26"/>
        </w:rPr>
        <w:t xml:space="preserve"> </w:t>
      </w:r>
      <w:r w:rsidRPr="00C67536">
        <w:rPr>
          <w:rFonts w:ascii="Arial" w:hAnsi="Arial" w:cs="Arial"/>
          <w:sz w:val="26"/>
          <w:szCs w:val="26"/>
        </w:rPr>
        <w:t>Alimentaria,</w:t>
      </w:r>
      <w:r w:rsidRPr="00C67536">
        <w:rPr>
          <w:rFonts w:ascii="Arial" w:hAnsi="Arial" w:cs="Arial"/>
          <w:spacing w:val="-11"/>
          <w:sz w:val="26"/>
          <w:szCs w:val="26"/>
        </w:rPr>
        <w:t xml:space="preserve"> </w:t>
      </w:r>
      <w:r w:rsidRPr="00C67536">
        <w:rPr>
          <w:rFonts w:ascii="Arial" w:hAnsi="Arial" w:cs="Arial"/>
          <w:sz w:val="26"/>
          <w:szCs w:val="26"/>
        </w:rPr>
        <w:t>política</w:t>
      </w:r>
      <w:r w:rsidRPr="00C67536">
        <w:rPr>
          <w:rFonts w:ascii="Arial" w:hAnsi="Arial" w:cs="Arial"/>
          <w:spacing w:val="-8"/>
          <w:sz w:val="26"/>
          <w:szCs w:val="26"/>
        </w:rPr>
        <w:t xml:space="preserve"> </w:t>
      </w:r>
      <w:r w:rsidRPr="00C67536">
        <w:rPr>
          <w:rFonts w:ascii="Arial" w:hAnsi="Arial" w:cs="Arial"/>
          <w:sz w:val="26"/>
          <w:szCs w:val="26"/>
        </w:rPr>
        <w:t>integral</w:t>
      </w:r>
      <w:r w:rsidRPr="00C67536">
        <w:rPr>
          <w:rFonts w:ascii="Arial" w:hAnsi="Arial" w:cs="Arial"/>
          <w:spacing w:val="-12"/>
          <w:sz w:val="26"/>
          <w:szCs w:val="26"/>
        </w:rPr>
        <w:t xml:space="preserve"> </w:t>
      </w:r>
      <w:r w:rsidRPr="00C67536">
        <w:rPr>
          <w:rFonts w:ascii="Arial" w:hAnsi="Arial" w:cs="Arial"/>
          <w:sz w:val="26"/>
          <w:szCs w:val="26"/>
        </w:rPr>
        <w:t>que</w:t>
      </w:r>
      <w:r w:rsidRPr="00C67536">
        <w:rPr>
          <w:rFonts w:ascii="Arial" w:hAnsi="Arial" w:cs="Arial"/>
          <w:spacing w:val="-11"/>
          <w:sz w:val="26"/>
          <w:szCs w:val="26"/>
        </w:rPr>
        <w:t xml:space="preserve"> </w:t>
      </w:r>
      <w:r w:rsidRPr="00C67536">
        <w:rPr>
          <w:rFonts w:ascii="Arial" w:hAnsi="Arial" w:cs="Arial"/>
          <w:sz w:val="26"/>
          <w:szCs w:val="26"/>
        </w:rPr>
        <w:t>tuvo</w:t>
      </w:r>
      <w:r w:rsidRPr="00C67536">
        <w:rPr>
          <w:rFonts w:ascii="Arial" w:hAnsi="Arial" w:cs="Arial"/>
          <w:spacing w:val="-8"/>
          <w:sz w:val="26"/>
          <w:szCs w:val="26"/>
        </w:rPr>
        <w:t xml:space="preserve"> </w:t>
      </w:r>
      <w:r w:rsidRPr="00C67536">
        <w:rPr>
          <w:rFonts w:ascii="Arial" w:hAnsi="Arial" w:cs="Arial"/>
          <w:sz w:val="26"/>
          <w:szCs w:val="26"/>
        </w:rPr>
        <w:t>como</w:t>
      </w:r>
      <w:r w:rsidRPr="00C67536">
        <w:rPr>
          <w:rFonts w:ascii="Arial" w:hAnsi="Arial" w:cs="Arial"/>
          <w:spacing w:val="-11"/>
          <w:sz w:val="26"/>
          <w:szCs w:val="26"/>
        </w:rPr>
        <w:t xml:space="preserve"> </w:t>
      </w:r>
      <w:r w:rsidRPr="00C67536">
        <w:rPr>
          <w:rFonts w:ascii="Arial" w:hAnsi="Arial" w:cs="Arial"/>
          <w:sz w:val="26"/>
          <w:szCs w:val="26"/>
        </w:rPr>
        <w:t>objetivo</w:t>
      </w:r>
      <w:r w:rsidRPr="00C67536">
        <w:rPr>
          <w:rFonts w:ascii="Arial" w:hAnsi="Arial" w:cs="Arial"/>
          <w:spacing w:val="-11"/>
          <w:sz w:val="26"/>
          <w:szCs w:val="26"/>
        </w:rPr>
        <w:t xml:space="preserve"> </w:t>
      </w:r>
      <w:r w:rsidRPr="00C67536">
        <w:rPr>
          <w:rFonts w:ascii="Arial" w:hAnsi="Arial" w:cs="Arial"/>
          <w:sz w:val="26"/>
          <w:szCs w:val="26"/>
        </w:rPr>
        <w:t>principal prevenir</w:t>
      </w:r>
      <w:r w:rsidRPr="00C67536">
        <w:rPr>
          <w:rFonts w:ascii="Arial" w:hAnsi="Arial" w:cs="Arial"/>
          <w:spacing w:val="-18"/>
          <w:sz w:val="26"/>
          <w:szCs w:val="26"/>
        </w:rPr>
        <w:t xml:space="preserve"> </w:t>
      </w:r>
      <w:r w:rsidRPr="00C67536">
        <w:rPr>
          <w:rFonts w:ascii="Arial" w:hAnsi="Arial" w:cs="Arial"/>
          <w:sz w:val="26"/>
          <w:szCs w:val="26"/>
        </w:rPr>
        <w:t>los</w:t>
      </w:r>
      <w:r w:rsidRPr="00C67536">
        <w:rPr>
          <w:rFonts w:ascii="Arial" w:hAnsi="Arial" w:cs="Arial"/>
          <w:spacing w:val="-17"/>
          <w:sz w:val="26"/>
          <w:szCs w:val="26"/>
        </w:rPr>
        <w:t xml:space="preserve"> </w:t>
      </w:r>
      <w:r w:rsidRPr="00C67536">
        <w:rPr>
          <w:rFonts w:ascii="Arial" w:hAnsi="Arial" w:cs="Arial"/>
          <w:sz w:val="26"/>
          <w:szCs w:val="26"/>
        </w:rPr>
        <w:t>problemas</w:t>
      </w:r>
      <w:r w:rsidRPr="00C67536">
        <w:rPr>
          <w:rFonts w:ascii="Arial" w:hAnsi="Arial" w:cs="Arial"/>
          <w:spacing w:val="-18"/>
          <w:sz w:val="26"/>
          <w:szCs w:val="26"/>
        </w:rPr>
        <w:t xml:space="preserve"> </w:t>
      </w:r>
      <w:r w:rsidRPr="00C67536">
        <w:rPr>
          <w:rFonts w:ascii="Arial" w:hAnsi="Arial" w:cs="Arial"/>
          <w:sz w:val="26"/>
          <w:szCs w:val="26"/>
        </w:rPr>
        <w:t>de</w:t>
      </w:r>
      <w:r w:rsidRPr="00C67536">
        <w:rPr>
          <w:rFonts w:ascii="Arial" w:hAnsi="Arial" w:cs="Arial"/>
          <w:spacing w:val="-15"/>
          <w:sz w:val="26"/>
          <w:szCs w:val="26"/>
        </w:rPr>
        <w:t xml:space="preserve"> </w:t>
      </w:r>
      <w:r w:rsidRPr="00C67536">
        <w:rPr>
          <w:rFonts w:ascii="Arial" w:hAnsi="Arial" w:cs="Arial"/>
          <w:sz w:val="26"/>
          <w:szCs w:val="26"/>
        </w:rPr>
        <w:t>sobrepeso</w:t>
      </w:r>
      <w:r w:rsidRPr="00C67536">
        <w:rPr>
          <w:rFonts w:ascii="Arial" w:hAnsi="Arial" w:cs="Arial"/>
          <w:spacing w:val="-18"/>
          <w:sz w:val="26"/>
          <w:szCs w:val="26"/>
        </w:rPr>
        <w:t xml:space="preserve"> </w:t>
      </w:r>
      <w:r w:rsidRPr="00C67536">
        <w:rPr>
          <w:rFonts w:ascii="Arial" w:hAnsi="Arial" w:cs="Arial"/>
          <w:sz w:val="26"/>
          <w:szCs w:val="26"/>
        </w:rPr>
        <w:t>y</w:t>
      </w:r>
      <w:r w:rsidRPr="00C67536">
        <w:rPr>
          <w:rFonts w:ascii="Arial" w:hAnsi="Arial" w:cs="Arial"/>
          <w:spacing w:val="-18"/>
          <w:sz w:val="26"/>
          <w:szCs w:val="26"/>
        </w:rPr>
        <w:t xml:space="preserve"> </w:t>
      </w:r>
      <w:r w:rsidRPr="00C67536">
        <w:rPr>
          <w:rFonts w:ascii="Arial" w:hAnsi="Arial" w:cs="Arial"/>
          <w:sz w:val="26"/>
          <w:szCs w:val="26"/>
        </w:rPr>
        <w:t>obesidad</w:t>
      </w:r>
      <w:r w:rsidRPr="00C67536">
        <w:rPr>
          <w:rFonts w:ascii="Arial" w:hAnsi="Arial" w:cs="Arial"/>
          <w:spacing w:val="-17"/>
          <w:sz w:val="26"/>
          <w:szCs w:val="26"/>
        </w:rPr>
        <w:t xml:space="preserve"> </w:t>
      </w:r>
      <w:r w:rsidRPr="00C67536">
        <w:rPr>
          <w:rFonts w:ascii="Arial" w:hAnsi="Arial" w:cs="Arial"/>
          <w:sz w:val="26"/>
          <w:szCs w:val="26"/>
        </w:rPr>
        <w:t>a</w:t>
      </w:r>
      <w:r w:rsidRPr="00C67536">
        <w:rPr>
          <w:rFonts w:ascii="Arial" w:hAnsi="Arial" w:cs="Arial"/>
          <w:spacing w:val="-16"/>
          <w:sz w:val="26"/>
          <w:szCs w:val="26"/>
        </w:rPr>
        <w:t xml:space="preserve"> </w:t>
      </w:r>
      <w:r w:rsidRPr="00C67536">
        <w:rPr>
          <w:rFonts w:ascii="Arial" w:hAnsi="Arial" w:cs="Arial"/>
          <w:sz w:val="26"/>
          <w:szCs w:val="26"/>
        </w:rPr>
        <w:t>través</w:t>
      </w:r>
      <w:r w:rsidRPr="00C67536">
        <w:rPr>
          <w:rFonts w:ascii="Arial" w:hAnsi="Arial" w:cs="Arial"/>
          <w:spacing w:val="-18"/>
          <w:sz w:val="26"/>
          <w:szCs w:val="26"/>
        </w:rPr>
        <w:t xml:space="preserve"> </w:t>
      </w:r>
      <w:r w:rsidRPr="00C67536">
        <w:rPr>
          <w:rFonts w:ascii="Arial" w:hAnsi="Arial" w:cs="Arial"/>
          <w:sz w:val="26"/>
          <w:szCs w:val="26"/>
        </w:rPr>
        <w:t>de</w:t>
      </w:r>
      <w:r w:rsidRPr="00C67536">
        <w:rPr>
          <w:rFonts w:ascii="Arial" w:hAnsi="Arial" w:cs="Arial"/>
          <w:spacing w:val="-18"/>
          <w:sz w:val="26"/>
          <w:szCs w:val="26"/>
        </w:rPr>
        <w:t xml:space="preserve"> </w:t>
      </w:r>
      <w:r w:rsidRPr="00C67536">
        <w:rPr>
          <w:rFonts w:ascii="Arial" w:hAnsi="Arial" w:cs="Arial"/>
          <w:sz w:val="26"/>
          <w:szCs w:val="26"/>
        </w:rPr>
        <w:t>diversas</w:t>
      </w:r>
      <w:r w:rsidRPr="00C67536">
        <w:rPr>
          <w:rFonts w:ascii="Arial" w:hAnsi="Arial" w:cs="Arial"/>
          <w:spacing w:val="-18"/>
          <w:sz w:val="26"/>
          <w:szCs w:val="26"/>
        </w:rPr>
        <w:t xml:space="preserve"> </w:t>
      </w:r>
      <w:r w:rsidRPr="00C67536">
        <w:rPr>
          <w:rFonts w:ascii="Arial" w:hAnsi="Arial" w:cs="Arial"/>
          <w:sz w:val="26"/>
          <w:szCs w:val="26"/>
        </w:rPr>
        <w:t>medidas</w:t>
      </w:r>
      <w:r w:rsidRPr="00C67536">
        <w:rPr>
          <w:rFonts w:ascii="Arial" w:hAnsi="Arial" w:cs="Arial"/>
          <w:spacing w:val="-18"/>
          <w:sz w:val="26"/>
          <w:szCs w:val="26"/>
        </w:rPr>
        <w:t xml:space="preserve"> </w:t>
      </w:r>
      <w:r w:rsidRPr="00C67536">
        <w:rPr>
          <w:rFonts w:ascii="Arial" w:hAnsi="Arial" w:cs="Arial"/>
          <w:sz w:val="26"/>
          <w:szCs w:val="26"/>
        </w:rPr>
        <w:t>como mejorar la disponibilidad de alimentos y bebidas en los planteles de educación básica,</w:t>
      </w:r>
      <w:r w:rsidRPr="00C67536">
        <w:rPr>
          <w:rFonts w:ascii="Arial" w:hAnsi="Arial" w:cs="Arial"/>
          <w:spacing w:val="-8"/>
          <w:sz w:val="26"/>
          <w:szCs w:val="26"/>
        </w:rPr>
        <w:t xml:space="preserve"> </w:t>
      </w:r>
      <w:r w:rsidRPr="00C67536">
        <w:rPr>
          <w:rFonts w:ascii="Arial" w:hAnsi="Arial" w:cs="Arial"/>
          <w:sz w:val="26"/>
          <w:szCs w:val="26"/>
        </w:rPr>
        <w:t>acceso</w:t>
      </w:r>
      <w:r w:rsidRPr="00C67536">
        <w:rPr>
          <w:rFonts w:ascii="Arial" w:hAnsi="Arial" w:cs="Arial"/>
          <w:spacing w:val="-7"/>
          <w:sz w:val="26"/>
          <w:szCs w:val="26"/>
        </w:rPr>
        <w:t xml:space="preserve"> </w:t>
      </w:r>
      <w:r w:rsidRPr="00C67536">
        <w:rPr>
          <w:rFonts w:ascii="Arial" w:hAnsi="Arial" w:cs="Arial"/>
          <w:sz w:val="26"/>
          <w:szCs w:val="26"/>
        </w:rPr>
        <w:t>a</w:t>
      </w:r>
      <w:r w:rsidRPr="00C67536">
        <w:rPr>
          <w:rFonts w:ascii="Arial" w:hAnsi="Arial" w:cs="Arial"/>
          <w:spacing w:val="-8"/>
          <w:sz w:val="26"/>
          <w:szCs w:val="26"/>
        </w:rPr>
        <w:t xml:space="preserve"> </w:t>
      </w:r>
      <w:r w:rsidRPr="00C67536">
        <w:rPr>
          <w:rFonts w:ascii="Arial" w:hAnsi="Arial" w:cs="Arial"/>
          <w:sz w:val="26"/>
          <w:szCs w:val="26"/>
        </w:rPr>
        <w:t>agua</w:t>
      </w:r>
      <w:r w:rsidRPr="00C67536">
        <w:rPr>
          <w:rFonts w:ascii="Arial" w:hAnsi="Arial" w:cs="Arial"/>
          <w:spacing w:val="-7"/>
          <w:sz w:val="26"/>
          <w:szCs w:val="26"/>
        </w:rPr>
        <w:t xml:space="preserve"> </w:t>
      </w:r>
      <w:r w:rsidRPr="00C67536">
        <w:rPr>
          <w:rFonts w:ascii="Arial" w:hAnsi="Arial" w:cs="Arial"/>
          <w:sz w:val="26"/>
          <w:szCs w:val="26"/>
        </w:rPr>
        <w:t>potable,</w:t>
      </w:r>
      <w:r w:rsidRPr="00C67536">
        <w:rPr>
          <w:rFonts w:ascii="Arial" w:hAnsi="Arial" w:cs="Arial"/>
          <w:spacing w:val="-7"/>
          <w:sz w:val="26"/>
          <w:szCs w:val="26"/>
        </w:rPr>
        <w:t xml:space="preserve"> </w:t>
      </w:r>
      <w:r w:rsidRPr="00C67536">
        <w:rPr>
          <w:rFonts w:ascii="Arial" w:hAnsi="Arial" w:cs="Arial"/>
          <w:sz w:val="26"/>
          <w:szCs w:val="26"/>
        </w:rPr>
        <w:t>etiquetado</w:t>
      </w:r>
      <w:r w:rsidRPr="00C67536">
        <w:rPr>
          <w:rFonts w:ascii="Arial" w:hAnsi="Arial" w:cs="Arial"/>
          <w:spacing w:val="-6"/>
          <w:sz w:val="26"/>
          <w:szCs w:val="26"/>
        </w:rPr>
        <w:t xml:space="preserve"> </w:t>
      </w:r>
      <w:r w:rsidRPr="00C67536">
        <w:rPr>
          <w:rFonts w:ascii="Arial" w:hAnsi="Arial" w:cs="Arial"/>
          <w:sz w:val="26"/>
          <w:szCs w:val="26"/>
        </w:rPr>
        <w:t>y</w:t>
      </w:r>
      <w:r w:rsidRPr="00C67536">
        <w:rPr>
          <w:rFonts w:ascii="Arial" w:hAnsi="Arial" w:cs="Arial"/>
          <w:spacing w:val="-8"/>
          <w:sz w:val="26"/>
          <w:szCs w:val="26"/>
        </w:rPr>
        <w:t xml:space="preserve"> </w:t>
      </w:r>
      <w:r w:rsidRPr="00C67536">
        <w:rPr>
          <w:rFonts w:ascii="Arial" w:hAnsi="Arial" w:cs="Arial"/>
          <w:sz w:val="26"/>
          <w:szCs w:val="26"/>
        </w:rPr>
        <w:t>publicidad</w:t>
      </w:r>
      <w:r w:rsidRPr="00C67536">
        <w:rPr>
          <w:rFonts w:ascii="Arial" w:hAnsi="Arial" w:cs="Arial"/>
          <w:spacing w:val="-6"/>
          <w:sz w:val="26"/>
          <w:szCs w:val="26"/>
        </w:rPr>
        <w:t xml:space="preserve"> </w:t>
      </w:r>
      <w:r w:rsidRPr="00C67536">
        <w:rPr>
          <w:rFonts w:ascii="Arial" w:hAnsi="Arial" w:cs="Arial"/>
          <w:sz w:val="26"/>
          <w:szCs w:val="26"/>
        </w:rPr>
        <w:t>y</w:t>
      </w:r>
      <w:r w:rsidRPr="00C67536">
        <w:rPr>
          <w:rFonts w:ascii="Arial" w:hAnsi="Arial" w:cs="Arial"/>
          <w:spacing w:val="-8"/>
          <w:sz w:val="26"/>
          <w:szCs w:val="26"/>
        </w:rPr>
        <w:t xml:space="preserve"> </w:t>
      </w:r>
      <w:r w:rsidRPr="00C67536">
        <w:rPr>
          <w:rFonts w:ascii="Arial" w:hAnsi="Arial" w:cs="Arial"/>
          <w:sz w:val="26"/>
          <w:szCs w:val="26"/>
        </w:rPr>
        <w:t>continuada</w:t>
      </w:r>
      <w:r w:rsidRPr="00C67536">
        <w:rPr>
          <w:rFonts w:ascii="Arial" w:hAnsi="Arial" w:cs="Arial"/>
          <w:spacing w:val="-7"/>
          <w:sz w:val="26"/>
          <w:szCs w:val="26"/>
        </w:rPr>
        <w:t xml:space="preserve"> </w:t>
      </w:r>
      <w:r w:rsidRPr="00C67536">
        <w:rPr>
          <w:rFonts w:ascii="Arial" w:hAnsi="Arial" w:cs="Arial"/>
          <w:sz w:val="26"/>
          <w:szCs w:val="26"/>
        </w:rPr>
        <w:t>en</w:t>
      </w:r>
      <w:r w:rsidRPr="00C67536">
        <w:rPr>
          <w:rFonts w:ascii="Arial" w:hAnsi="Arial" w:cs="Arial"/>
          <w:spacing w:val="-6"/>
          <w:sz w:val="26"/>
          <w:szCs w:val="26"/>
        </w:rPr>
        <w:t xml:space="preserve"> </w:t>
      </w:r>
      <w:r w:rsidRPr="00C67536">
        <w:rPr>
          <w:rFonts w:ascii="Arial" w:hAnsi="Arial" w:cs="Arial"/>
          <w:sz w:val="26"/>
          <w:szCs w:val="26"/>
        </w:rPr>
        <w:t>2013</w:t>
      </w:r>
      <w:r w:rsidRPr="00C67536">
        <w:rPr>
          <w:rFonts w:ascii="Arial" w:hAnsi="Arial" w:cs="Arial"/>
          <w:spacing w:val="-7"/>
          <w:sz w:val="26"/>
          <w:szCs w:val="26"/>
        </w:rPr>
        <w:t xml:space="preserve"> </w:t>
      </w:r>
      <w:r w:rsidRPr="00C67536">
        <w:rPr>
          <w:rFonts w:ascii="Arial" w:hAnsi="Arial" w:cs="Arial"/>
          <w:sz w:val="26"/>
          <w:szCs w:val="26"/>
        </w:rPr>
        <w:t>con</w:t>
      </w:r>
      <w:r w:rsidRPr="00C67536">
        <w:rPr>
          <w:rFonts w:ascii="Arial" w:hAnsi="Arial" w:cs="Arial"/>
          <w:spacing w:val="-7"/>
          <w:sz w:val="26"/>
          <w:szCs w:val="26"/>
        </w:rPr>
        <w:t xml:space="preserve"> </w:t>
      </w:r>
      <w:r w:rsidRPr="00C67536">
        <w:rPr>
          <w:rFonts w:ascii="Arial" w:hAnsi="Arial" w:cs="Arial"/>
          <w:sz w:val="26"/>
          <w:szCs w:val="26"/>
        </w:rPr>
        <w:t>la Estrategia</w:t>
      </w:r>
      <w:r w:rsidRPr="00C67536">
        <w:rPr>
          <w:rFonts w:ascii="Arial" w:hAnsi="Arial" w:cs="Arial"/>
          <w:spacing w:val="-6"/>
          <w:sz w:val="26"/>
          <w:szCs w:val="26"/>
        </w:rPr>
        <w:t xml:space="preserve"> </w:t>
      </w:r>
      <w:r w:rsidRPr="00C67536">
        <w:rPr>
          <w:rFonts w:ascii="Arial" w:hAnsi="Arial" w:cs="Arial"/>
          <w:sz w:val="26"/>
          <w:szCs w:val="26"/>
        </w:rPr>
        <w:t>Nacional</w:t>
      </w:r>
      <w:r w:rsidRPr="00C67536">
        <w:rPr>
          <w:rFonts w:ascii="Arial" w:hAnsi="Arial" w:cs="Arial"/>
          <w:spacing w:val="-7"/>
          <w:sz w:val="26"/>
          <w:szCs w:val="26"/>
        </w:rPr>
        <w:t xml:space="preserve"> </w:t>
      </w:r>
      <w:r w:rsidRPr="00C67536">
        <w:rPr>
          <w:rFonts w:ascii="Arial" w:hAnsi="Arial" w:cs="Arial"/>
          <w:sz w:val="26"/>
          <w:szCs w:val="26"/>
        </w:rPr>
        <w:t>para</w:t>
      </w:r>
      <w:r w:rsidRPr="00C67536">
        <w:rPr>
          <w:rFonts w:ascii="Arial" w:hAnsi="Arial" w:cs="Arial"/>
          <w:spacing w:val="-7"/>
          <w:sz w:val="26"/>
          <w:szCs w:val="26"/>
        </w:rPr>
        <w:t xml:space="preserve"> </w:t>
      </w:r>
      <w:r w:rsidRPr="00C67536">
        <w:rPr>
          <w:rFonts w:ascii="Arial" w:hAnsi="Arial" w:cs="Arial"/>
          <w:sz w:val="26"/>
          <w:szCs w:val="26"/>
        </w:rPr>
        <w:t>la</w:t>
      </w:r>
      <w:r w:rsidRPr="00C67536">
        <w:rPr>
          <w:rFonts w:ascii="Arial" w:hAnsi="Arial" w:cs="Arial"/>
          <w:spacing w:val="-5"/>
          <w:sz w:val="26"/>
          <w:szCs w:val="26"/>
        </w:rPr>
        <w:t xml:space="preserve"> </w:t>
      </w:r>
      <w:r w:rsidRPr="00C67536">
        <w:rPr>
          <w:rFonts w:ascii="Arial" w:hAnsi="Arial" w:cs="Arial"/>
          <w:sz w:val="26"/>
          <w:szCs w:val="26"/>
        </w:rPr>
        <w:t>Prevención</w:t>
      </w:r>
      <w:r w:rsidRPr="00C67536">
        <w:rPr>
          <w:rFonts w:ascii="Arial" w:hAnsi="Arial" w:cs="Arial"/>
          <w:spacing w:val="-6"/>
          <w:sz w:val="26"/>
          <w:szCs w:val="26"/>
        </w:rPr>
        <w:t xml:space="preserve"> </w:t>
      </w:r>
      <w:r w:rsidRPr="00C67536">
        <w:rPr>
          <w:rFonts w:ascii="Arial" w:hAnsi="Arial" w:cs="Arial"/>
          <w:sz w:val="26"/>
          <w:szCs w:val="26"/>
        </w:rPr>
        <w:t>y</w:t>
      </w:r>
      <w:r w:rsidRPr="00C67536">
        <w:rPr>
          <w:rFonts w:ascii="Arial" w:hAnsi="Arial" w:cs="Arial"/>
          <w:spacing w:val="-9"/>
          <w:sz w:val="26"/>
          <w:szCs w:val="26"/>
        </w:rPr>
        <w:t xml:space="preserve"> </w:t>
      </w:r>
      <w:r w:rsidRPr="00C67536">
        <w:rPr>
          <w:rFonts w:ascii="Arial" w:hAnsi="Arial" w:cs="Arial"/>
          <w:sz w:val="26"/>
          <w:szCs w:val="26"/>
        </w:rPr>
        <w:t>el</w:t>
      </w:r>
      <w:r w:rsidRPr="00C67536">
        <w:rPr>
          <w:rFonts w:ascii="Arial" w:hAnsi="Arial" w:cs="Arial"/>
          <w:spacing w:val="-6"/>
          <w:sz w:val="26"/>
          <w:szCs w:val="26"/>
        </w:rPr>
        <w:t xml:space="preserve"> </w:t>
      </w:r>
      <w:r w:rsidRPr="00C67536">
        <w:rPr>
          <w:rFonts w:ascii="Arial" w:hAnsi="Arial" w:cs="Arial"/>
          <w:sz w:val="26"/>
          <w:szCs w:val="26"/>
        </w:rPr>
        <w:t>Control</w:t>
      </w:r>
      <w:r w:rsidRPr="00C67536">
        <w:rPr>
          <w:rFonts w:ascii="Arial" w:hAnsi="Arial" w:cs="Arial"/>
          <w:spacing w:val="-7"/>
          <w:sz w:val="26"/>
          <w:szCs w:val="26"/>
        </w:rPr>
        <w:t xml:space="preserve"> </w:t>
      </w:r>
      <w:r w:rsidRPr="00C67536">
        <w:rPr>
          <w:rFonts w:ascii="Arial" w:hAnsi="Arial" w:cs="Arial"/>
          <w:sz w:val="26"/>
          <w:szCs w:val="26"/>
        </w:rPr>
        <w:t>del</w:t>
      </w:r>
      <w:r w:rsidRPr="00C67536">
        <w:rPr>
          <w:rFonts w:ascii="Arial" w:hAnsi="Arial" w:cs="Arial"/>
          <w:spacing w:val="-7"/>
          <w:sz w:val="26"/>
          <w:szCs w:val="26"/>
        </w:rPr>
        <w:t xml:space="preserve"> </w:t>
      </w:r>
      <w:r w:rsidRPr="00C67536">
        <w:rPr>
          <w:rFonts w:ascii="Arial" w:hAnsi="Arial" w:cs="Arial"/>
          <w:sz w:val="26"/>
          <w:szCs w:val="26"/>
        </w:rPr>
        <w:t>Sobrepeso,</w:t>
      </w:r>
      <w:r w:rsidRPr="00C67536">
        <w:rPr>
          <w:rFonts w:ascii="Arial" w:hAnsi="Arial" w:cs="Arial"/>
          <w:spacing w:val="-5"/>
          <w:sz w:val="26"/>
          <w:szCs w:val="26"/>
        </w:rPr>
        <w:t xml:space="preserve"> </w:t>
      </w:r>
      <w:r w:rsidRPr="00C67536">
        <w:rPr>
          <w:rFonts w:ascii="Arial" w:hAnsi="Arial" w:cs="Arial"/>
          <w:sz w:val="26"/>
          <w:szCs w:val="26"/>
        </w:rPr>
        <w:t>la</w:t>
      </w:r>
      <w:r w:rsidRPr="00C67536">
        <w:rPr>
          <w:rFonts w:ascii="Arial" w:hAnsi="Arial" w:cs="Arial"/>
          <w:spacing w:val="-6"/>
          <w:sz w:val="26"/>
          <w:szCs w:val="26"/>
        </w:rPr>
        <w:t xml:space="preserve"> </w:t>
      </w:r>
      <w:r w:rsidRPr="00C67536">
        <w:rPr>
          <w:rFonts w:ascii="Arial" w:hAnsi="Arial" w:cs="Arial"/>
          <w:sz w:val="26"/>
          <w:szCs w:val="26"/>
        </w:rPr>
        <w:t>Obesidad</w:t>
      </w:r>
      <w:r w:rsidRPr="00C67536">
        <w:rPr>
          <w:rFonts w:ascii="Arial" w:hAnsi="Arial" w:cs="Arial"/>
          <w:spacing w:val="-8"/>
          <w:sz w:val="26"/>
          <w:szCs w:val="26"/>
        </w:rPr>
        <w:t xml:space="preserve"> </w:t>
      </w:r>
      <w:r w:rsidRPr="00C67536">
        <w:rPr>
          <w:rFonts w:ascii="Arial" w:hAnsi="Arial" w:cs="Arial"/>
          <w:sz w:val="26"/>
          <w:szCs w:val="26"/>
        </w:rPr>
        <w:t>y</w:t>
      </w:r>
      <w:r w:rsidRPr="00C67536">
        <w:rPr>
          <w:rFonts w:ascii="Arial" w:hAnsi="Arial" w:cs="Arial"/>
          <w:spacing w:val="-6"/>
          <w:sz w:val="26"/>
          <w:szCs w:val="26"/>
        </w:rPr>
        <w:t xml:space="preserve"> </w:t>
      </w:r>
      <w:r w:rsidRPr="00C67536">
        <w:rPr>
          <w:rFonts w:ascii="Arial" w:hAnsi="Arial" w:cs="Arial"/>
          <w:sz w:val="26"/>
          <w:szCs w:val="26"/>
        </w:rPr>
        <w:t>la Diabetes,</w:t>
      </w:r>
      <w:r w:rsidRPr="00C67536">
        <w:rPr>
          <w:rFonts w:ascii="Arial" w:hAnsi="Arial" w:cs="Arial"/>
          <w:spacing w:val="-14"/>
          <w:sz w:val="26"/>
          <w:szCs w:val="26"/>
        </w:rPr>
        <w:t xml:space="preserve"> </w:t>
      </w:r>
      <w:r w:rsidRPr="00C67536">
        <w:rPr>
          <w:rFonts w:ascii="Arial" w:hAnsi="Arial" w:cs="Arial"/>
          <w:sz w:val="26"/>
          <w:szCs w:val="26"/>
        </w:rPr>
        <w:t>permitió</w:t>
      </w:r>
      <w:r w:rsidRPr="00C67536">
        <w:rPr>
          <w:rFonts w:ascii="Arial" w:hAnsi="Arial" w:cs="Arial"/>
          <w:spacing w:val="-13"/>
          <w:sz w:val="26"/>
          <w:szCs w:val="26"/>
        </w:rPr>
        <w:t xml:space="preserve"> </w:t>
      </w:r>
      <w:r w:rsidRPr="00C67536">
        <w:rPr>
          <w:rFonts w:ascii="Arial" w:hAnsi="Arial" w:cs="Arial"/>
          <w:sz w:val="26"/>
          <w:szCs w:val="26"/>
        </w:rPr>
        <w:t>que</w:t>
      </w:r>
      <w:r w:rsidRPr="00C67536">
        <w:rPr>
          <w:rFonts w:ascii="Arial" w:hAnsi="Arial" w:cs="Arial"/>
          <w:spacing w:val="-15"/>
          <w:sz w:val="26"/>
          <w:szCs w:val="26"/>
        </w:rPr>
        <w:t xml:space="preserve"> </w:t>
      </w:r>
      <w:r w:rsidRPr="00C67536">
        <w:rPr>
          <w:rFonts w:ascii="Arial" w:hAnsi="Arial" w:cs="Arial"/>
          <w:sz w:val="26"/>
          <w:szCs w:val="26"/>
        </w:rPr>
        <w:t>en</w:t>
      </w:r>
      <w:r w:rsidRPr="00C67536">
        <w:rPr>
          <w:rFonts w:ascii="Arial" w:hAnsi="Arial" w:cs="Arial"/>
          <w:spacing w:val="-13"/>
          <w:sz w:val="26"/>
          <w:szCs w:val="26"/>
        </w:rPr>
        <w:t xml:space="preserve"> </w:t>
      </w:r>
      <w:r w:rsidRPr="00C67536">
        <w:rPr>
          <w:rFonts w:ascii="Arial" w:hAnsi="Arial" w:cs="Arial"/>
          <w:sz w:val="26"/>
          <w:szCs w:val="26"/>
        </w:rPr>
        <w:t>2015</w:t>
      </w:r>
      <w:r w:rsidRPr="00C67536">
        <w:rPr>
          <w:rFonts w:ascii="Arial" w:hAnsi="Arial" w:cs="Arial"/>
          <w:spacing w:val="-13"/>
          <w:sz w:val="26"/>
          <w:szCs w:val="26"/>
        </w:rPr>
        <w:t xml:space="preserve"> </w:t>
      </w:r>
      <w:r w:rsidRPr="00C67536">
        <w:rPr>
          <w:rFonts w:ascii="Arial" w:hAnsi="Arial" w:cs="Arial"/>
          <w:sz w:val="26"/>
          <w:szCs w:val="26"/>
        </w:rPr>
        <w:t>entrara</w:t>
      </w:r>
      <w:r w:rsidRPr="00C67536">
        <w:rPr>
          <w:rFonts w:ascii="Arial" w:hAnsi="Arial" w:cs="Arial"/>
          <w:spacing w:val="-14"/>
          <w:sz w:val="26"/>
          <w:szCs w:val="26"/>
        </w:rPr>
        <w:t xml:space="preserve"> </w:t>
      </w:r>
      <w:r w:rsidRPr="00C67536">
        <w:rPr>
          <w:rFonts w:ascii="Arial" w:hAnsi="Arial" w:cs="Arial"/>
          <w:sz w:val="26"/>
          <w:szCs w:val="26"/>
        </w:rPr>
        <w:t>en</w:t>
      </w:r>
      <w:r w:rsidRPr="00C67536">
        <w:rPr>
          <w:rFonts w:ascii="Arial" w:hAnsi="Arial" w:cs="Arial"/>
          <w:spacing w:val="-13"/>
          <w:sz w:val="26"/>
          <w:szCs w:val="26"/>
        </w:rPr>
        <w:t xml:space="preserve"> </w:t>
      </w:r>
      <w:r w:rsidRPr="00C67536">
        <w:rPr>
          <w:rFonts w:ascii="Arial" w:hAnsi="Arial" w:cs="Arial"/>
          <w:sz w:val="26"/>
          <w:szCs w:val="26"/>
        </w:rPr>
        <w:t>vigor</w:t>
      </w:r>
      <w:r w:rsidRPr="00C67536">
        <w:rPr>
          <w:rFonts w:ascii="Arial" w:hAnsi="Arial" w:cs="Arial"/>
          <w:spacing w:val="-12"/>
          <w:sz w:val="26"/>
          <w:szCs w:val="26"/>
        </w:rPr>
        <w:t xml:space="preserve"> </w:t>
      </w:r>
      <w:r w:rsidRPr="00C67536">
        <w:rPr>
          <w:rFonts w:ascii="Arial" w:hAnsi="Arial" w:cs="Arial"/>
          <w:sz w:val="26"/>
          <w:szCs w:val="26"/>
        </w:rPr>
        <w:t>una</w:t>
      </w:r>
      <w:r w:rsidRPr="00C67536">
        <w:rPr>
          <w:rFonts w:ascii="Arial" w:hAnsi="Arial" w:cs="Arial"/>
          <w:spacing w:val="-14"/>
          <w:sz w:val="26"/>
          <w:szCs w:val="26"/>
        </w:rPr>
        <w:t xml:space="preserve"> </w:t>
      </w:r>
      <w:r w:rsidRPr="00C67536">
        <w:rPr>
          <w:rFonts w:ascii="Arial" w:hAnsi="Arial" w:cs="Arial"/>
          <w:sz w:val="26"/>
          <w:szCs w:val="26"/>
        </w:rPr>
        <w:t>medida</w:t>
      </w:r>
      <w:r w:rsidRPr="00C67536">
        <w:rPr>
          <w:rFonts w:ascii="Arial" w:hAnsi="Arial" w:cs="Arial"/>
          <w:spacing w:val="-11"/>
          <w:sz w:val="26"/>
          <w:szCs w:val="26"/>
        </w:rPr>
        <w:t xml:space="preserve"> </w:t>
      </w:r>
      <w:r w:rsidRPr="00C67536">
        <w:rPr>
          <w:rFonts w:ascii="Arial" w:hAnsi="Arial" w:cs="Arial"/>
          <w:sz w:val="26"/>
          <w:szCs w:val="26"/>
        </w:rPr>
        <w:t>regulatoria</w:t>
      </w:r>
      <w:r w:rsidRPr="00C67536">
        <w:rPr>
          <w:rFonts w:ascii="Arial" w:hAnsi="Arial" w:cs="Arial"/>
          <w:spacing w:val="-11"/>
          <w:sz w:val="26"/>
          <w:szCs w:val="26"/>
        </w:rPr>
        <w:t xml:space="preserve"> </w:t>
      </w:r>
      <w:r w:rsidRPr="00C67536">
        <w:rPr>
          <w:rFonts w:ascii="Arial" w:hAnsi="Arial" w:cs="Arial"/>
          <w:sz w:val="26"/>
          <w:szCs w:val="26"/>
        </w:rPr>
        <w:t>que</w:t>
      </w:r>
      <w:r w:rsidRPr="00C67536">
        <w:rPr>
          <w:rFonts w:ascii="Arial" w:hAnsi="Arial" w:cs="Arial"/>
          <w:spacing w:val="-13"/>
          <w:sz w:val="26"/>
          <w:szCs w:val="26"/>
        </w:rPr>
        <w:t xml:space="preserve"> </w:t>
      </w:r>
      <w:r w:rsidRPr="00C67536">
        <w:rPr>
          <w:rFonts w:ascii="Arial" w:hAnsi="Arial" w:cs="Arial"/>
          <w:sz w:val="26"/>
          <w:szCs w:val="26"/>
        </w:rPr>
        <w:t>delimita a diversos productos alimenticios en el mercado para tener el SEFAB conocido como “Guías Diarias de Alimentación” o</w:t>
      </w:r>
      <w:r w:rsidRPr="00C67536">
        <w:rPr>
          <w:rFonts w:ascii="Arial" w:hAnsi="Arial" w:cs="Arial"/>
          <w:spacing w:val="-6"/>
          <w:sz w:val="26"/>
          <w:szCs w:val="26"/>
        </w:rPr>
        <w:t xml:space="preserve"> </w:t>
      </w:r>
      <w:r w:rsidRPr="00C67536">
        <w:rPr>
          <w:rFonts w:ascii="Arial" w:hAnsi="Arial" w:cs="Arial"/>
          <w:sz w:val="26"/>
          <w:szCs w:val="26"/>
        </w:rPr>
        <w:t>GDA.</w:t>
      </w:r>
    </w:p>
    <w:p w14:paraId="43AD59B1" w14:textId="7C321AEB"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Las GDA están basadas en un sistema propuesto en Europa, desarrollado en el Institute</w:t>
      </w:r>
      <w:r w:rsidRPr="00C67536">
        <w:rPr>
          <w:rFonts w:ascii="Arial" w:hAnsi="Arial" w:cs="Arial"/>
          <w:spacing w:val="-6"/>
          <w:sz w:val="26"/>
          <w:szCs w:val="26"/>
        </w:rPr>
        <w:t xml:space="preserve"> </w:t>
      </w:r>
      <w:r w:rsidRPr="00C67536">
        <w:rPr>
          <w:rFonts w:ascii="Arial" w:hAnsi="Arial" w:cs="Arial"/>
          <w:sz w:val="26"/>
          <w:szCs w:val="26"/>
        </w:rPr>
        <w:t>of</w:t>
      </w:r>
      <w:r w:rsidRPr="00C67536">
        <w:rPr>
          <w:rFonts w:ascii="Arial" w:hAnsi="Arial" w:cs="Arial"/>
          <w:spacing w:val="-6"/>
          <w:sz w:val="26"/>
          <w:szCs w:val="26"/>
        </w:rPr>
        <w:t xml:space="preserve"> </w:t>
      </w:r>
      <w:r w:rsidRPr="00C67536">
        <w:rPr>
          <w:rFonts w:ascii="Arial" w:hAnsi="Arial" w:cs="Arial"/>
          <w:sz w:val="26"/>
          <w:szCs w:val="26"/>
        </w:rPr>
        <w:t>Grocery</w:t>
      </w:r>
      <w:r w:rsidRPr="00C67536">
        <w:rPr>
          <w:rFonts w:ascii="Arial" w:hAnsi="Arial" w:cs="Arial"/>
          <w:spacing w:val="-6"/>
          <w:sz w:val="26"/>
          <w:szCs w:val="26"/>
        </w:rPr>
        <w:t xml:space="preserve"> </w:t>
      </w:r>
      <w:r w:rsidRPr="00C67536">
        <w:rPr>
          <w:rFonts w:ascii="Arial" w:hAnsi="Arial" w:cs="Arial"/>
          <w:sz w:val="26"/>
          <w:szCs w:val="26"/>
        </w:rPr>
        <w:t>Distribution,</w:t>
      </w:r>
      <w:r w:rsidRPr="00C67536">
        <w:rPr>
          <w:rFonts w:ascii="Arial" w:hAnsi="Arial" w:cs="Arial"/>
          <w:spacing w:val="-9"/>
          <w:sz w:val="26"/>
          <w:szCs w:val="26"/>
        </w:rPr>
        <w:t xml:space="preserve"> </w:t>
      </w:r>
      <w:r w:rsidRPr="00C67536">
        <w:rPr>
          <w:rFonts w:ascii="Arial" w:hAnsi="Arial" w:cs="Arial"/>
          <w:sz w:val="26"/>
          <w:szCs w:val="26"/>
        </w:rPr>
        <w:t>organización</w:t>
      </w:r>
      <w:r w:rsidRPr="00C67536">
        <w:rPr>
          <w:rFonts w:ascii="Arial" w:hAnsi="Arial" w:cs="Arial"/>
          <w:spacing w:val="-7"/>
          <w:sz w:val="26"/>
          <w:szCs w:val="26"/>
        </w:rPr>
        <w:t xml:space="preserve"> </w:t>
      </w:r>
      <w:r w:rsidRPr="00C67536">
        <w:rPr>
          <w:rFonts w:ascii="Arial" w:hAnsi="Arial" w:cs="Arial"/>
          <w:sz w:val="26"/>
          <w:szCs w:val="26"/>
        </w:rPr>
        <w:t>que</w:t>
      </w:r>
      <w:r w:rsidRPr="00C67536">
        <w:rPr>
          <w:rFonts w:ascii="Arial" w:hAnsi="Arial" w:cs="Arial"/>
          <w:spacing w:val="-6"/>
          <w:sz w:val="26"/>
          <w:szCs w:val="26"/>
        </w:rPr>
        <w:t xml:space="preserve"> </w:t>
      </w:r>
      <w:r w:rsidRPr="00C67536">
        <w:rPr>
          <w:rFonts w:ascii="Arial" w:hAnsi="Arial" w:cs="Arial"/>
          <w:sz w:val="26"/>
          <w:szCs w:val="26"/>
        </w:rPr>
        <w:t>hace</w:t>
      </w:r>
      <w:r w:rsidRPr="00C67536">
        <w:rPr>
          <w:rFonts w:ascii="Arial" w:hAnsi="Arial" w:cs="Arial"/>
          <w:spacing w:val="-5"/>
          <w:sz w:val="26"/>
          <w:szCs w:val="26"/>
        </w:rPr>
        <w:t xml:space="preserve"> </w:t>
      </w:r>
      <w:r w:rsidRPr="00C67536">
        <w:rPr>
          <w:rFonts w:ascii="Arial" w:hAnsi="Arial" w:cs="Arial"/>
          <w:sz w:val="26"/>
          <w:szCs w:val="26"/>
        </w:rPr>
        <w:t>investigación</w:t>
      </w:r>
      <w:r w:rsidRPr="00C67536">
        <w:rPr>
          <w:rFonts w:ascii="Arial" w:hAnsi="Arial" w:cs="Arial"/>
          <w:spacing w:val="-8"/>
          <w:sz w:val="26"/>
          <w:szCs w:val="26"/>
        </w:rPr>
        <w:t xml:space="preserve"> </w:t>
      </w:r>
      <w:r w:rsidRPr="00C67536">
        <w:rPr>
          <w:rFonts w:ascii="Arial" w:hAnsi="Arial" w:cs="Arial"/>
          <w:sz w:val="26"/>
          <w:szCs w:val="26"/>
        </w:rPr>
        <w:t>financiada</w:t>
      </w:r>
      <w:r w:rsidRPr="00C67536">
        <w:rPr>
          <w:rFonts w:ascii="Arial" w:hAnsi="Arial" w:cs="Arial"/>
          <w:spacing w:val="-5"/>
          <w:sz w:val="26"/>
          <w:szCs w:val="26"/>
        </w:rPr>
        <w:t xml:space="preserve"> </w:t>
      </w:r>
      <w:r w:rsidRPr="00C67536">
        <w:rPr>
          <w:rFonts w:ascii="Arial" w:hAnsi="Arial" w:cs="Arial"/>
          <w:sz w:val="26"/>
          <w:szCs w:val="26"/>
        </w:rPr>
        <w:t>por la industria de alimentos y bebidas y el sector de tiendas de autoservicio. Las GDA se</w:t>
      </w:r>
      <w:r w:rsidRPr="00C67536">
        <w:rPr>
          <w:rFonts w:ascii="Arial" w:hAnsi="Arial" w:cs="Arial"/>
          <w:spacing w:val="-14"/>
          <w:sz w:val="26"/>
          <w:szCs w:val="26"/>
        </w:rPr>
        <w:t xml:space="preserve"> </w:t>
      </w:r>
      <w:r w:rsidRPr="00C67536">
        <w:rPr>
          <w:rFonts w:ascii="Arial" w:hAnsi="Arial" w:cs="Arial"/>
          <w:sz w:val="26"/>
          <w:szCs w:val="26"/>
        </w:rPr>
        <w:t>definen</w:t>
      </w:r>
      <w:r w:rsidRPr="00C67536">
        <w:rPr>
          <w:rFonts w:ascii="Arial" w:hAnsi="Arial" w:cs="Arial"/>
          <w:spacing w:val="-15"/>
          <w:sz w:val="26"/>
          <w:szCs w:val="26"/>
        </w:rPr>
        <w:t xml:space="preserve"> </w:t>
      </w:r>
      <w:r w:rsidRPr="00C67536">
        <w:rPr>
          <w:rFonts w:ascii="Arial" w:hAnsi="Arial" w:cs="Arial"/>
          <w:sz w:val="26"/>
          <w:szCs w:val="26"/>
        </w:rPr>
        <w:t>como</w:t>
      </w:r>
      <w:r w:rsidRPr="00C67536">
        <w:rPr>
          <w:rFonts w:ascii="Arial" w:hAnsi="Arial" w:cs="Arial"/>
          <w:spacing w:val="-13"/>
          <w:sz w:val="26"/>
          <w:szCs w:val="26"/>
        </w:rPr>
        <w:t xml:space="preserve"> </w:t>
      </w:r>
      <w:r w:rsidRPr="00C67536">
        <w:rPr>
          <w:rFonts w:ascii="Arial" w:hAnsi="Arial" w:cs="Arial"/>
          <w:sz w:val="26"/>
          <w:szCs w:val="26"/>
        </w:rPr>
        <w:t>las</w:t>
      </w:r>
      <w:r w:rsidRPr="00C67536">
        <w:rPr>
          <w:rFonts w:ascii="Arial" w:hAnsi="Arial" w:cs="Arial"/>
          <w:spacing w:val="-14"/>
          <w:sz w:val="26"/>
          <w:szCs w:val="26"/>
        </w:rPr>
        <w:t xml:space="preserve"> </w:t>
      </w:r>
      <w:r w:rsidRPr="00C67536">
        <w:rPr>
          <w:rFonts w:ascii="Arial" w:hAnsi="Arial" w:cs="Arial"/>
          <w:sz w:val="26"/>
          <w:szCs w:val="26"/>
        </w:rPr>
        <w:t>guías</w:t>
      </w:r>
      <w:r w:rsidRPr="00C67536">
        <w:rPr>
          <w:rFonts w:ascii="Arial" w:hAnsi="Arial" w:cs="Arial"/>
          <w:spacing w:val="-14"/>
          <w:sz w:val="26"/>
          <w:szCs w:val="26"/>
        </w:rPr>
        <w:t xml:space="preserve"> </w:t>
      </w:r>
      <w:r w:rsidRPr="00C67536">
        <w:rPr>
          <w:rFonts w:ascii="Arial" w:hAnsi="Arial" w:cs="Arial"/>
          <w:sz w:val="26"/>
          <w:szCs w:val="26"/>
        </w:rPr>
        <w:t>que</w:t>
      </w:r>
      <w:r w:rsidRPr="00C67536">
        <w:rPr>
          <w:rFonts w:ascii="Arial" w:hAnsi="Arial" w:cs="Arial"/>
          <w:spacing w:val="-14"/>
          <w:sz w:val="26"/>
          <w:szCs w:val="26"/>
        </w:rPr>
        <w:t xml:space="preserve"> </w:t>
      </w:r>
      <w:r w:rsidRPr="00C67536">
        <w:rPr>
          <w:rFonts w:ascii="Arial" w:hAnsi="Arial" w:cs="Arial"/>
          <w:sz w:val="26"/>
          <w:szCs w:val="26"/>
        </w:rPr>
        <w:t>indican</w:t>
      </w:r>
      <w:r w:rsidRPr="00C67536">
        <w:rPr>
          <w:rFonts w:ascii="Arial" w:hAnsi="Arial" w:cs="Arial"/>
          <w:spacing w:val="-13"/>
          <w:sz w:val="26"/>
          <w:szCs w:val="26"/>
        </w:rPr>
        <w:t xml:space="preserve"> </w:t>
      </w:r>
      <w:r w:rsidRPr="00C67536">
        <w:rPr>
          <w:rFonts w:ascii="Arial" w:hAnsi="Arial" w:cs="Arial"/>
          <w:sz w:val="26"/>
          <w:szCs w:val="26"/>
        </w:rPr>
        <w:t>la</w:t>
      </w:r>
      <w:r w:rsidRPr="00C67536">
        <w:rPr>
          <w:rFonts w:ascii="Arial" w:hAnsi="Arial" w:cs="Arial"/>
          <w:spacing w:val="-13"/>
          <w:sz w:val="26"/>
          <w:szCs w:val="26"/>
        </w:rPr>
        <w:t xml:space="preserve"> </w:t>
      </w:r>
      <w:r w:rsidRPr="00C67536">
        <w:rPr>
          <w:rFonts w:ascii="Arial" w:hAnsi="Arial" w:cs="Arial"/>
          <w:sz w:val="26"/>
          <w:szCs w:val="26"/>
        </w:rPr>
        <w:t>cantidad</w:t>
      </w:r>
      <w:r w:rsidRPr="00C67536">
        <w:rPr>
          <w:rFonts w:ascii="Arial" w:hAnsi="Arial" w:cs="Arial"/>
          <w:spacing w:val="-13"/>
          <w:sz w:val="26"/>
          <w:szCs w:val="26"/>
        </w:rPr>
        <w:t xml:space="preserve"> </w:t>
      </w:r>
      <w:r w:rsidRPr="00C67536">
        <w:rPr>
          <w:rFonts w:ascii="Arial" w:hAnsi="Arial" w:cs="Arial"/>
          <w:sz w:val="26"/>
          <w:szCs w:val="26"/>
        </w:rPr>
        <w:t>y</w:t>
      </w:r>
      <w:r w:rsidRPr="00C67536">
        <w:rPr>
          <w:rFonts w:ascii="Arial" w:hAnsi="Arial" w:cs="Arial"/>
          <w:spacing w:val="-16"/>
          <w:sz w:val="26"/>
          <w:szCs w:val="26"/>
        </w:rPr>
        <w:t xml:space="preserve"> </w:t>
      </w:r>
      <w:r w:rsidRPr="00C67536">
        <w:rPr>
          <w:rFonts w:ascii="Arial" w:hAnsi="Arial" w:cs="Arial"/>
          <w:sz w:val="26"/>
          <w:szCs w:val="26"/>
        </w:rPr>
        <w:t>el</w:t>
      </w:r>
      <w:r w:rsidRPr="00C67536">
        <w:rPr>
          <w:rFonts w:ascii="Arial" w:hAnsi="Arial" w:cs="Arial"/>
          <w:spacing w:val="-14"/>
          <w:sz w:val="26"/>
          <w:szCs w:val="26"/>
        </w:rPr>
        <w:t xml:space="preserve"> </w:t>
      </w:r>
      <w:r w:rsidRPr="00C67536">
        <w:rPr>
          <w:rFonts w:ascii="Arial" w:hAnsi="Arial" w:cs="Arial"/>
          <w:sz w:val="26"/>
          <w:szCs w:val="26"/>
        </w:rPr>
        <w:t>porcentaje</w:t>
      </w:r>
      <w:r w:rsidRPr="00C67536">
        <w:rPr>
          <w:rFonts w:ascii="Arial" w:hAnsi="Arial" w:cs="Arial"/>
          <w:spacing w:val="-14"/>
          <w:sz w:val="26"/>
          <w:szCs w:val="26"/>
        </w:rPr>
        <w:t xml:space="preserve"> </w:t>
      </w:r>
      <w:r w:rsidRPr="00C67536">
        <w:rPr>
          <w:rFonts w:ascii="Arial" w:hAnsi="Arial" w:cs="Arial"/>
          <w:sz w:val="26"/>
          <w:szCs w:val="26"/>
        </w:rPr>
        <w:t>de</w:t>
      </w:r>
      <w:r w:rsidRPr="00C67536">
        <w:rPr>
          <w:rFonts w:ascii="Arial" w:hAnsi="Arial" w:cs="Arial"/>
          <w:spacing w:val="-16"/>
          <w:sz w:val="26"/>
          <w:szCs w:val="26"/>
        </w:rPr>
        <w:t xml:space="preserve"> </w:t>
      </w:r>
      <w:r w:rsidRPr="00C67536">
        <w:rPr>
          <w:rFonts w:ascii="Arial" w:hAnsi="Arial" w:cs="Arial"/>
          <w:sz w:val="26"/>
          <w:szCs w:val="26"/>
        </w:rPr>
        <w:t>grasa</w:t>
      </w:r>
      <w:r w:rsidRPr="00C67536">
        <w:rPr>
          <w:rFonts w:ascii="Arial" w:hAnsi="Arial" w:cs="Arial"/>
          <w:spacing w:val="-13"/>
          <w:sz w:val="26"/>
          <w:szCs w:val="26"/>
        </w:rPr>
        <w:t xml:space="preserve"> </w:t>
      </w:r>
      <w:r w:rsidRPr="00C67536">
        <w:rPr>
          <w:rFonts w:ascii="Arial" w:hAnsi="Arial" w:cs="Arial"/>
          <w:sz w:val="26"/>
          <w:szCs w:val="26"/>
        </w:rPr>
        <w:t>saturada, otras</w:t>
      </w:r>
      <w:r w:rsidRPr="00C67536">
        <w:rPr>
          <w:rFonts w:ascii="Arial" w:hAnsi="Arial" w:cs="Arial"/>
          <w:spacing w:val="11"/>
          <w:sz w:val="26"/>
          <w:szCs w:val="26"/>
        </w:rPr>
        <w:t xml:space="preserve"> </w:t>
      </w:r>
      <w:r w:rsidRPr="00C67536">
        <w:rPr>
          <w:rFonts w:ascii="Arial" w:hAnsi="Arial" w:cs="Arial"/>
          <w:sz w:val="26"/>
          <w:szCs w:val="26"/>
        </w:rPr>
        <w:t>grasas,</w:t>
      </w:r>
      <w:r w:rsidRPr="00C67536">
        <w:rPr>
          <w:rFonts w:ascii="Arial" w:hAnsi="Arial" w:cs="Arial"/>
          <w:spacing w:val="13"/>
          <w:sz w:val="26"/>
          <w:szCs w:val="26"/>
        </w:rPr>
        <w:t xml:space="preserve"> </w:t>
      </w:r>
      <w:r w:rsidRPr="00C67536">
        <w:rPr>
          <w:rFonts w:ascii="Arial" w:hAnsi="Arial" w:cs="Arial"/>
          <w:sz w:val="26"/>
          <w:szCs w:val="26"/>
        </w:rPr>
        <w:t>azúcares</w:t>
      </w:r>
      <w:r w:rsidRPr="00C67536">
        <w:rPr>
          <w:rFonts w:ascii="Arial" w:hAnsi="Arial" w:cs="Arial"/>
          <w:spacing w:val="12"/>
          <w:sz w:val="26"/>
          <w:szCs w:val="26"/>
        </w:rPr>
        <w:t xml:space="preserve"> </w:t>
      </w:r>
      <w:r w:rsidRPr="00C67536">
        <w:rPr>
          <w:rFonts w:ascii="Arial" w:hAnsi="Arial" w:cs="Arial"/>
          <w:sz w:val="26"/>
          <w:szCs w:val="26"/>
        </w:rPr>
        <w:t>totales,</w:t>
      </w:r>
      <w:r w:rsidRPr="00C67536">
        <w:rPr>
          <w:rFonts w:ascii="Arial" w:hAnsi="Arial" w:cs="Arial"/>
          <w:spacing w:val="16"/>
          <w:sz w:val="26"/>
          <w:szCs w:val="26"/>
        </w:rPr>
        <w:t xml:space="preserve"> </w:t>
      </w:r>
      <w:r w:rsidRPr="00C67536">
        <w:rPr>
          <w:rFonts w:ascii="Arial" w:hAnsi="Arial" w:cs="Arial"/>
          <w:sz w:val="26"/>
          <w:szCs w:val="26"/>
        </w:rPr>
        <w:t>sodio</w:t>
      </w:r>
      <w:r w:rsidRPr="00C67536">
        <w:rPr>
          <w:rFonts w:ascii="Arial" w:hAnsi="Arial" w:cs="Arial"/>
          <w:spacing w:val="13"/>
          <w:sz w:val="26"/>
          <w:szCs w:val="26"/>
        </w:rPr>
        <w:t xml:space="preserve"> </w:t>
      </w:r>
      <w:r w:rsidRPr="00C67536">
        <w:rPr>
          <w:rFonts w:ascii="Arial" w:hAnsi="Arial" w:cs="Arial"/>
          <w:sz w:val="26"/>
          <w:szCs w:val="26"/>
        </w:rPr>
        <w:t>y</w:t>
      </w:r>
      <w:r w:rsidRPr="00C67536">
        <w:rPr>
          <w:rFonts w:ascii="Arial" w:hAnsi="Arial" w:cs="Arial"/>
          <w:spacing w:val="12"/>
          <w:sz w:val="26"/>
          <w:szCs w:val="26"/>
        </w:rPr>
        <w:t xml:space="preserve"> </w:t>
      </w:r>
      <w:r w:rsidRPr="00C67536">
        <w:rPr>
          <w:rFonts w:ascii="Arial" w:hAnsi="Arial" w:cs="Arial"/>
          <w:sz w:val="26"/>
          <w:szCs w:val="26"/>
        </w:rPr>
        <w:t>energía</w:t>
      </w:r>
      <w:r w:rsidRPr="00C67536">
        <w:rPr>
          <w:rFonts w:ascii="Arial" w:hAnsi="Arial" w:cs="Arial"/>
          <w:spacing w:val="14"/>
          <w:sz w:val="26"/>
          <w:szCs w:val="26"/>
        </w:rPr>
        <w:t xml:space="preserve"> </w:t>
      </w:r>
      <w:r w:rsidRPr="00C67536">
        <w:rPr>
          <w:rFonts w:ascii="Arial" w:hAnsi="Arial" w:cs="Arial"/>
          <w:sz w:val="26"/>
          <w:szCs w:val="26"/>
        </w:rPr>
        <w:t>(en</w:t>
      </w:r>
      <w:r w:rsidRPr="00C67536">
        <w:rPr>
          <w:rFonts w:ascii="Arial" w:hAnsi="Arial" w:cs="Arial"/>
          <w:spacing w:val="13"/>
          <w:sz w:val="26"/>
          <w:szCs w:val="26"/>
        </w:rPr>
        <w:t xml:space="preserve"> </w:t>
      </w:r>
      <w:r w:rsidRPr="00C67536">
        <w:rPr>
          <w:rFonts w:ascii="Arial" w:hAnsi="Arial" w:cs="Arial"/>
          <w:sz w:val="26"/>
          <w:szCs w:val="26"/>
        </w:rPr>
        <w:t>kcal)</w:t>
      </w:r>
      <w:r w:rsidRPr="00C67536">
        <w:rPr>
          <w:rFonts w:ascii="Arial" w:hAnsi="Arial" w:cs="Arial"/>
          <w:spacing w:val="11"/>
          <w:sz w:val="26"/>
          <w:szCs w:val="26"/>
        </w:rPr>
        <w:t xml:space="preserve"> </w:t>
      </w:r>
      <w:r w:rsidRPr="00C67536">
        <w:rPr>
          <w:rFonts w:ascii="Arial" w:hAnsi="Arial" w:cs="Arial"/>
          <w:sz w:val="26"/>
          <w:szCs w:val="26"/>
        </w:rPr>
        <w:t>por</w:t>
      </w:r>
      <w:r w:rsidRPr="00C67536">
        <w:rPr>
          <w:rFonts w:ascii="Arial" w:hAnsi="Arial" w:cs="Arial"/>
          <w:spacing w:val="11"/>
          <w:sz w:val="26"/>
          <w:szCs w:val="26"/>
        </w:rPr>
        <w:t xml:space="preserve"> </w:t>
      </w:r>
      <w:r w:rsidRPr="00C67536">
        <w:rPr>
          <w:rFonts w:ascii="Arial" w:hAnsi="Arial" w:cs="Arial"/>
          <w:sz w:val="26"/>
          <w:szCs w:val="26"/>
        </w:rPr>
        <w:t>el</w:t>
      </w:r>
      <w:r w:rsidRPr="00C67536">
        <w:rPr>
          <w:rFonts w:ascii="Arial" w:hAnsi="Arial" w:cs="Arial"/>
          <w:spacing w:val="12"/>
          <w:sz w:val="26"/>
          <w:szCs w:val="26"/>
        </w:rPr>
        <w:t xml:space="preserve"> </w:t>
      </w:r>
      <w:r w:rsidRPr="00C67536">
        <w:rPr>
          <w:rFonts w:ascii="Arial" w:hAnsi="Arial" w:cs="Arial"/>
          <w:sz w:val="26"/>
          <w:szCs w:val="26"/>
        </w:rPr>
        <w:t>contenido</w:t>
      </w:r>
      <w:r w:rsidRPr="00C67536">
        <w:rPr>
          <w:rFonts w:ascii="Arial" w:hAnsi="Arial" w:cs="Arial"/>
          <w:spacing w:val="13"/>
          <w:sz w:val="26"/>
          <w:szCs w:val="26"/>
        </w:rPr>
        <w:t xml:space="preserve"> </w:t>
      </w:r>
      <w:r w:rsidRPr="00C67536">
        <w:rPr>
          <w:rFonts w:ascii="Arial" w:hAnsi="Arial" w:cs="Arial"/>
          <w:sz w:val="26"/>
          <w:szCs w:val="26"/>
        </w:rPr>
        <w:t>total</w:t>
      </w:r>
      <w:r w:rsidRPr="00C67536">
        <w:rPr>
          <w:rFonts w:ascii="Arial" w:hAnsi="Arial" w:cs="Arial"/>
          <w:spacing w:val="12"/>
          <w:sz w:val="26"/>
          <w:szCs w:val="26"/>
        </w:rPr>
        <w:t xml:space="preserve"> </w:t>
      </w:r>
      <w:r w:rsidRPr="00C67536">
        <w:rPr>
          <w:rFonts w:ascii="Arial" w:hAnsi="Arial" w:cs="Arial"/>
          <w:sz w:val="26"/>
          <w:szCs w:val="26"/>
        </w:rPr>
        <w:t>del envase, y por porción; además, contienen la imprecisa leyenda “por ciento de los nutrimentos diarios”.</w:t>
      </w:r>
    </w:p>
    <w:p w14:paraId="6C56B776"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 información que contienen corresponde a los componentes reconocidos como críticos desde la perspectiva de la salud pública, mientras que los valores de referencia que utiliza se desarrollaron con base en una dieta de 2000 kcal, que corresponde al consumo de energía para una mujer adulta sana que realiza actividad física moderada.</w:t>
      </w:r>
    </w:p>
    <w:p w14:paraId="55C913BD"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Este sistema de etiquetado ha sido objeto de distintas evaluaciones que han buscado</w:t>
      </w:r>
      <w:r w:rsidRPr="00C67536">
        <w:rPr>
          <w:rFonts w:ascii="Arial" w:hAnsi="Arial" w:cs="Arial"/>
          <w:spacing w:val="-11"/>
          <w:sz w:val="26"/>
          <w:szCs w:val="26"/>
        </w:rPr>
        <w:t xml:space="preserve"> </w:t>
      </w:r>
      <w:r w:rsidRPr="00C67536">
        <w:rPr>
          <w:rFonts w:ascii="Arial" w:hAnsi="Arial" w:cs="Arial"/>
          <w:sz w:val="26"/>
          <w:szCs w:val="26"/>
        </w:rPr>
        <w:t>identificar</w:t>
      </w:r>
      <w:r w:rsidRPr="00C67536">
        <w:rPr>
          <w:rFonts w:ascii="Arial" w:hAnsi="Arial" w:cs="Arial"/>
          <w:spacing w:val="-12"/>
          <w:sz w:val="26"/>
          <w:szCs w:val="26"/>
        </w:rPr>
        <w:t xml:space="preserve"> </w:t>
      </w:r>
      <w:r w:rsidRPr="00C67536">
        <w:rPr>
          <w:rFonts w:ascii="Arial" w:hAnsi="Arial" w:cs="Arial"/>
          <w:sz w:val="26"/>
          <w:szCs w:val="26"/>
        </w:rPr>
        <w:t>su</w:t>
      </w:r>
      <w:r w:rsidRPr="00C67536">
        <w:rPr>
          <w:rFonts w:ascii="Arial" w:hAnsi="Arial" w:cs="Arial"/>
          <w:spacing w:val="-13"/>
          <w:sz w:val="26"/>
          <w:szCs w:val="26"/>
        </w:rPr>
        <w:t xml:space="preserve"> </w:t>
      </w:r>
      <w:r w:rsidRPr="00C67536">
        <w:rPr>
          <w:rFonts w:ascii="Arial" w:hAnsi="Arial" w:cs="Arial"/>
          <w:sz w:val="26"/>
          <w:szCs w:val="26"/>
        </w:rPr>
        <w:t>uso,</w:t>
      </w:r>
      <w:r w:rsidRPr="00C67536">
        <w:rPr>
          <w:rFonts w:ascii="Arial" w:hAnsi="Arial" w:cs="Arial"/>
          <w:spacing w:val="-10"/>
          <w:sz w:val="26"/>
          <w:szCs w:val="26"/>
        </w:rPr>
        <w:t xml:space="preserve"> </w:t>
      </w:r>
      <w:r w:rsidRPr="00C67536">
        <w:rPr>
          <w:rFonts w:ascii="Arial" w:hAnsi="Arial" w:cs="Arial"/>
          <w:sz w:val="26"/>
          <w:szCs w:val="26"/>
        </w:rPr>
        <w:t>comprensión</w:t>
      </w:r>
      <w:r w:rsidRPr="00C67536">
        <w:rPr>
          <w:rFonts w:ascii="Arial" w:hAnsi="Arial" w:cs="Arial"/>
          <w:spacing w:val="-10"/>
          <w:sz w:val="26"/>
          <w:szCs w:val="26"/>
        </w:rPr>
        <w:t xml:space="preserve"> </w:t>
      </w:r>
      <w:r w:rsidRPr="00C67536">
        <w:rPr>
          <w:rFonts w:ascii="Arial" w:hAnsi="Arial" w:cs="Arial"/>
          <w:sz w:val="26"/>
          <w:szCs w:val="26"/>
        </w:rPr>
        <w:t>y</w:t>
      </w:r>
      <w:r w:rsidRPr="00C67536">
        <w:rPr>
          <w:rFonts w:ascii="Arial" w:hAnsi="Arial" w:cs="Arial"/>
          <w:spacing w:val="-14"/>
          <w:sz w:val="26"/>
          <w:szCs w:val="26"/>
        </w:rPr>
        <w:t xml:space="preserve"> </w:t>
      </w:r>
      <w:r w:rsidRPr="00C67536">
        <w:rPr>
          <w:rFonts w:ascii="Arial" w:hAnsi="Arial" w:cs="Arial"/>
          <w:sz w:val="26"/>
          <w:szCs w:val="26"/>
        </w:rPr>
        <w:t>utilidad</w:t>
      </w:r>
      <w:r w:rsidRPr="00C67536">
        <w:rPr>
          <w:rFonts w:ascii="Arial" w:hAnsi="Arial" w:cs="Arial"/>
          <w:spacing w:val="-10"/>
          <w:sz w:val="26"/>
          <w:szCs w:val="26"/>
        </w:rPr>
        <w:t xml:space="preserve"> </w:t>
      </w:r>
      <w:r w:rsidRPr="00C67536">
        <w:rPr>
          <w:rFonts w:ascii="Arial" w:hAnsi="Arial" w:cs="Arial"/>
          <w:sz w:val="26"/>
          <w:szCs w:val="26"/>
        </w:rPr>
        <w:t>como</w:t>
      </w:r>
      <w:r w:rsidRPr="00C67536">
        <w:rPr>
          <w:rFonts w:ascii="Arial" w:hAnsi="Arial" w:cs="Arial"/>
          <w:spacing w:val="-13"/>
          <w:sz w:val="26"/>
          <w:szCs w:val="26"/>
        </w:rPr>
        <w:t xml:space="preserve"> </w:t>
      </w:r>
      <w:r w:rsidRPr="00C67536">
        <w:rPr>
          <w:rFonts w:ascii="Arial" w:hAnsi="Arial" w:cs="Arial"/>
          <w:sz w:val="26"/>
          <w:szCs w:val="26"/>
        </w:rPr>
        <w:t>estrategia</w:t>
      </w:r>
      <w:r w:rsidRPr="00C67536">
        <w:rPr>
          <w:rFonts w:ascii="Arial" w:hAnsi="Arial" w:cs="Arial"/>
          <w:spacing w:val="-13"/>
          <w:sz w:val="26"/>
          <w:szCs w:val="26"/>
        </w:rPr>
        <w:t xml:space="preserve"> </w:t>
      </w:r>
      <w:r w:rsidRPr="00C67536">
        <w:rPr>
          <w:rFonts w:ascii="Arial" w:hAnsi="Arial" w:cs="Arial"/>
          <w:sz w:val="26"/>
          <w:szCs w:val="26"/>
        </w:rPr>
        <w:t>de</w:t>
      </w:r>
      <w:r w:rsidRPr="00C67536">
        <w:rPr>
          <w:rFonts w:ascii="Arial" w:hAnsi="Arial" w:cs="Arial"/>
          <w:spacing w:val="-11"/>
          <w:sz w:val="26"/>
          <w:szCs w:val="26"/>
        </w:rPr>
        <w:t xml:space="preserve"> </w:t>
      </w:r>
      <w:r w:rsidRPr="00C67536">
        <w:rPr>
          <w:rFonts w:ascii="Arial" w:hAnsi="Arial" w:cs="Arial"/>
          <w:sz w:val="26"/>
          <w:szCs w:val="26"/>
        </w:rPr>
        <w:t>salud</w:t>
      </w:r>
      <w:r w:rsidRPr="00C67536">
        <w:rPr>
          <w:rFonts w:ascii="Arial" w:hAnsi="Arial" w:cs="Arial"/>
          <w:spacing w:val="-12"/>
          <w:sz w:val="26"/>
          <w:szCs w:val="26"/>
        </w:rPr>
        <w:t xml:space="preserve"> </w:t>
      </w:r>
      <w:r w:rsidRPr="00C67536">
        <w:rPr>
          <w:rFonts w:ascii="Arial" w:hAnsi="Arial" w:cs="Arial"/>
          <w:sz w:val="26"/>
          <w:szCs w:val="26"/>
        </w:rPr>
        <w:t>pública; sin embargo, los resultados de estas evaluaciones han sido</w:t>
      </w:r>
      <w:r w:rsidRPr="00C67536">
        <w:rPr>
          <w:rFonts w:ascii="Arial" w:hAnsi="Arial" w:cs="Arial"/>
          <w:spacing w:val="-23"/>
          <w:sz w:val="26"/>
          <w:szCs w:val="26"/>
        </w:rPr>
        <w:t xml:space="preserve"> </w:t>
      </w:r>
      <w:r w:rsidRPr="00C67536">
        <w:rPr>
          <w:rFonts w:ascii="Arial" w:hAnsi="Arial" w:cs="Arial"/>
          <w:sz w:val="26"/>
          <w:szCs w:val="26"/>
        </w:rPr>
        <w:t>desalentadores.</w:t>
      </w:r>
    </w:p>
    <w:p w14:paraId="1E072CD4" w14:textId="77777777" w:rsidR="00D03349" w:rsidRPr="00C67536" w:rsidRDefault="00D03349" w:rsidP="00D03349">
      <w:pPr>
        <w:ind w:left="567" w:right="567"/>
        <w:jc w:val="both"/>
        <w:rPr>
          <w:rFonts w:ascii="Arial" w:hAnsi="Arial" w:cs="Arial"/>
          <w:sz w:val="26"/>
          <w:szCs w:val="26"/>
        </w:rPr>
      </w:pPr>
      <w:r w:rsidRPr="00C67536">
        <w:rPr>
          <w:rFonts w:ascii="Arial" w:hAnsi="Arial" w:cs="Arial"/>
          <w:sz w:val="26"/>
          <w:szCs w:val="26"/>
        </w:rPr>
        <w:t>Desde el año 2016, todos los productos alimenticios en el mercado —con algunas excepciones— deben contar con un etiquetado nutrimental frontal, de acuerdo con los Lineamientos que deben observar los productores de alimentos y bebidas no alcohólicas preenvasadas para efectos de la información que deberán ostentar en el área frontal de exhibición, publicados en el Diario Oficial de la Federación, el 14 de abril de 2014. Sin embargo, desde su diseño, esta regulación omite diversas recomendaciones nacionales e internacionales, mostrando un marcado interés en favor de la industria de bebidas y alimentos.</w:t>
      </w:r>
    </w:p>
    <w:p w14:paraId="144F7B76"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De las evaluaciones realizadas a este sistema de etiquetado frontal instrumentado desde el año 2014, se han derivado resultados que sugieren que aún después de mejorar</w:t>
      </w:r>
      <w:r w:rsidRPr="00C67536">
        <w:rPr>
          <w:rFonts w:ascii="Arial" w:hAnsi="Arial" w:cs="Arial"/>
          <w:spacing w:val="-19"/>
          <w:sz w:val="26"/>
          <w:szCs w:val="26"/>
        </w:rPr>
        <w:t xml:space="preserve"> </w:t>
      </w:r>
      <w:r w:rsidRPr="00C67536">
        <w:rPr>
          <w:rFonts w:ascii="Arial" w:hAnsi="Arial" w:cs="Arial"/>
          <w:sz w:val="26"/>
          <w:szCs w:val="26"/>
        </w:rPr>
        <w:t>el</w:t>
      </w:r>
      <w:r w:rsidRPr="00C67536">
        <w:rPr>
          <w:rFonts w:ascii="Arial" w:hAnsi="Arial" w:cs="Arial"/>
          <w:spacing w:val="-18"/>
          <w:sz w:val="26"/>
          <w:szCs w:val="26"/>
        </w:rPr>
        <w:t xml:space="preserve"> </w:t>
      </w:r>
      <w:r w:rsidRPr="00C67536">
        <w:rPr>
          <w:rFonts w:ascii="Arial" w:hAnsi="Arial" w:cs="Arial"/>
          <w:sz w:val="26"/>
          <w:szCs w:val="26"/>
        </w:rPr>
        <w:t>nivel</w:t>
      </w:r>
      <w:r w:rsidRPr="00C67536">
        <w:rPr>
          <w:rFonts w:ascii="Arial" w:hAnsi="Arial" w:cs="Arial"/>
          <w:spacing w:val="-18"/>
          <w:sz w:val="26"/>
          <w:szCs w:val="26"/>
        </w:rPr>
        <w:t xml:space="preserve"> </w:t>
      </w:r>
      <w:r w:rsidRPr="00C67536">
        <w:rPr>
          <w:rFonts w:ascii="Arial" w:hAnsi="Arial" w:cs="Arial"/>
          <w:sz w:val="26"/>
          <w:szCs w:val="26"/>
        </w:rPr>
        <w:t>educativo</w:t>
      </w:r>
      <w:r w:rsidRPr="00C67536">
        <w:rPr>
          <w:rFonts w:ascii="Arial" w:hAnsi="Arial" w:cs="Arial"/>
          <w:spacing w:val="-18"/>
          <w:sz w:val="26"/>
          <w:szCs w:val="26"/>
        </w:rPr>
        <w:t xml:space="preserve"> </w:t>
      </w:r>
      <w:r w:rsidRPr="00C67536">
        <w:rPr>
          <w:rFonts w:ascii="Arial" w:hAnsi="Arial" w:cs="Arial"/>
          <w:sz w:val="26"/>
          <w:szCs w:val="26"/>
        </w:rPr>
        <w:t>de</w:t>
      </w:r>
      <w:r w:rsidRPr="00C67536">
        <w:rPr>
          <w:rFonts w:ascii="Arial" w:hAnsi="Arial" w:cs="Arial"/>
          <w:spacing w:val="-17"/>
          <w:sz w:val="26"/>
          <w:szCs w:val="26"/>
        </w:rPr>
        <w:t xml:space="preserve"> </w:t>
      </w:r>
      <w:r w:rsidRPr="00C67536">
        <w:rPr>
          <w:rFonts w:ascii="Arial" w:hAnsi="Arial" w:cs="Arial"/>
          <w:sz w:val="26"/>
          <w:szCs w:val="26"/>
        </w:rPr>
        <w:t>la</w:t>
      </w:r>
      <w:r w:rsidRPr="00C67536">
        <w:rPr>
          <w:rFonts w:ascii="Arial" w:hAnsi="Arial" w:cs="Arial"/>
          <w:spacing w:val="-17"/>
          <w:sz w:val="26"/>
          <w:szCs w:val="26"/>
        </w:rPr>
        <w:t xml:space="preserve"> </w:t>
      </w:r>
      <w:r w:rsidRPr="00C67536">
        <w:rPr>
          <w:rFonts w:ascii="Arial" w:hAnsi="Arial" w:cs="Arial"/>
          <w:sz w:val="26"/>
          <w:szCs w:val="26"/>
        </w:rPr>
        <w:t>población,</w:t>
      </w:r>
      <w:r w:rsidRPr="00C67536">
        <w:rPr>
          <w:rFonts w:ascii="Arial" w:hAnsi="Arial" w:cs="Arial"/>
          <w:spacing w:val="-18"/>
          <w:sz w:val="26"/>
          <w:szCs w:val="26"/>
        </w:rPr>
        <w:t xml:space="preserve"> </w:t>
      </w:r>
      <w:r w:rsidRPr="00C67536">
        <w:rPr>
          <w:rFonts w:ascii="Arial" w:hAnsi="Arial" w:cs="Arial"/>
          <w:sz w:val="26"/>
          <w:szCs w:val="26"/>
        </w:rPr>
        <w:t>este</w:t>
      </w:r>
      <w:r w:rsidRPr="00C67536">
        <w:rPr>
          <w:rFonts w:ascii="Arial" w:hAnsi="Arial" w:cs="Arial"/>
          <w:spacing w:val="-17"/>
          <w:sz w:val="26"/>
          <w:szCs w:val="26"/>
        </w:rPr>
        <w:t xml:space="preserve"> </w:t>
      </w:r>
      <w:r w:rsidRPr="00C67536">
        <w:rPr>
          <w:rFonts w:ascii="Arial" w:hAnsi="Arial" w:cs="Arial"/>
          <w:sz w:val="26"/>
          <w:szCs w:val="26"/>
        </w:rPr>
        <w:t>sistema</w:t>
      </w:r>
      <w:r w:rsidRPr="00C67536">
        <w:rPr>
          <w:rFonts w:ascii="Arial" w:hAnsi="Arial" w:cs="Arial"/>
          <w:spacing w:val="-17"/>
          <w:sz w:val="26"/>
          <w:szCs w:val="26"/>
        </w:rPr>
        <w:t xml:space="preserve"> </w:t>
      </w:r>
      <w:r w:rsidRPr="00C67536">
        <w:rPr>
          <w:rFonts w:ascii="Arial" w:hAnsi="Arial" w:cs="Arial"/>
          <w:sz w:val="26"/>
          <w:szCs w:val="26"/>
        </w:rPr>
        <w:t>es</w:t>
      </w:r>
      <w:r w:rsidRPr="00C67536">
        <w:rPr>
          <w:rFonts w:ascii="Arial" w:hAnsi="Arial" w:cs="Arial"/>
          <w:spacing w:val="-18"/>
          <w:sz w:val="26"/>
          <w:szCs w:val="26"/>
        </w:rPr>
        <w:t xml:space="preserve"> </w:t>
      </w:r>
      <w:r w:rsidRPr="00C67536">
        <w:rPr>
          <w:rFonts w:ascii="Arial" w:hAnsi="Arial" w:cs="Arial"/>
          <w:sz w:val="26"/>
          <w:szCs w:val="26"/>
        </w:rPr>
        <w:t>muy</w:t>
      </w:r>
      <w:r w:rsidRPr="00C67536">
        <w:rPr>
          <w:rFonts w:ascii="Arial" w:hAnsi="Arial" w:cs="Arial"/>
          <w:spacing w:val="-19"/>
          <w:sz w:val="26"/>
          <w:szCs w:val="26"/>
        </w:rPr>
        <w:t xml:space="preserve"> </w:t>
      </w:r>
      <w:r w:rsidRPr="00C67536">
        <w:rPr>
          <w:rFonts w:ascii="Arial" w:hAnsi="Arial" w:cs="Arial"/>
          <w:sz w:val="26"/>
          <w:szCs w:val="26"/>
        </w:rPr>
        <w:t>limitado</w:t>
      </w:r>
      <w:r w:rsidRPr="00C67536">
        <w:rPr>
          <w:rFonts w:ascii="Arial" w:hAnsi="Arial" w:cs="Arial"/>
          <w:spacing w:val="-17"/>
          <w:sz w:val="26"/>
          <w:szCs w:val="26"/>
        </w:rPr>
        <w:t xml:space="preserve"> </w:t>
      </w:r>
      <w:r w:rsidRPr="00C67536">
        <w:rPr>
          <w:rFonts w:ascii="Arial" w:hAnsi="Arial" w:cs="Arial"/>
          <w:sz w:val="26"/>
          <w:szCs w:val="26"/>
        </w:rPr>
        <w:t>para</w:t>
      </w:r>
      <w:r w:rsidRPr="00C67536">
        <w:rPr>
          <w:rFonts w:ascii="Arial" w:hAnsi="Arial" w:cs="Arial"/>
          <w:spacing w:val="-20"/>
          <w:sz w:val="26"/>
          <w:szCs w:val="26"/>
        </w:rPr>
        <w:t xml:space="preserve"> </w:t>
      </w:r>
      <w:r w:rsidRPr="00C67536">
        <w:rPr>
          <w:rFonts w:ascii="Arial" w:hAnsi="Arial" w:cs="Arial"/>
          <w:sz w:val="26"/>
          <w:szCs w:val="26"/>
        </w:rPr>
        <w:t>orientar las decisiones de consumo de la población en general en nuestro</w:t>
      </w:r>
      <w:r w:rsidRPr="00C67536">
        <w:rPr>
          <w:rFonts w:ascii="Arial" w:hAnsi="Arial" w:cs="Arial"/>
          <w:spacing w:val="-15"/>
          <w:sz w:val="26"/>
          <w:szCs w:val="26"/>
        </w:rPr>
        <w:t xml:space="preserve"> </w:t>
      </w:r>
      <w:r w:rsidRPr="00C67536">
        <w:rPr>
          <w:rFonts w:ascii="Arial" w:hAnsi="Arial" w:cs="Arial"/>
          <w:sz w:val="26"/>
          <w:szCs w:val="26"/>
        </w:rPr>
        <w:t>país.</w:t>
      </w:r>
    </w:p>
    <w:p w14:paraId="48402B6B"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Entre</w:t>
      </w:r>
      <w:r w:rsidRPr="00C67536">
        <w:rPr>
          <w:rFonts w:ascii="Arial" w:hAnsi="Arial" w:cs="Arial"/>
          <w:spacing w:val="-17"/>
          <w:sz w:val="26"/>
          <w:szCs w:val="26"/>
        </w:rPr>
        <w:t xml:space="preserve"> </w:t>
      </w:r>
      <w:r w:rsidRPr="00C67536">
        <w:rPr>
          <w:rFonts w:ascii="Arial" w:hAnsi="Arial" w:cs="Arial"/>
          <w:sz w:val="26"/>
          <w:szCs w:val="26"/>
        </w:rPr>
        <w:t>las</w:t>
      </w:r>
      <w:r w:rsidRPr="00C67536">
        <w:rPr>
          <w:rFonts w:ascii="Arial" w:hAnsi="Arial" w:cs="Arial"/>
          <w:spacing w:val="-17"/>
          <w:sz w:val="26"/>
          <w:szCs w:val="26"/>
        </w:rPr>
        <w:t xml:space="preserve"> </w:t>
      </w:r>
      <w:r w:rsidRPr="00C67536">
        <w:rPr>
          <w:rFonts w:ascii="Arial" w:hAnsi="Arial" w:cs="Arial"/>
          <w:sz w:val="26"/>
          <w:szCs w:val="26"/>
        </w:rPr>
        <w:t>evaluaciones</w:t>
      </w:r>
      <w:r w:rsidRPr="00C67536">
        <w:rPr>
          <w:rFonts w:ascii="Arial" w:hAnsi="Arial" w:cs="Arial"/>
          <w:spacing w:val="-16"/>
          <w:sz w:val="26"/>
          <w:szCs w:val="26"/>
        </w:rPr>
        <w:t xml:space="preserve"> </w:t>
      </w:r>
      <w:r w:rsidRPr="00C67536">
        <w:rPr>
          <w:rFonts w:ascii="Arial" w:hAnsi="Arial" w:cs="Arial"/>
          <w:sz w:val="26"/>
          <w:szCs w:val="26"/>
        </w:rPr>
        <w:t>sobre</w:t>
      </w:r>
      <w:r w:rsidRPr="00C67536">
        <w:rPr>
          <w:rFonts w:ascii="Arial" w:hAnsi="Arial" w:cs="Arial"/>
          <w:spacing w:val="-15"/>
          <w:sz w:val="26"/>
          <w:szCs w:val="26"/>
        </w:rPr>
        <w:t xml:space="preserve"> </w:t>
      </w:r>
      <w:r w:rsidRPr="00C67536">
        <w:rPr>
          <w:rFonts w:ascii="Arial" w:hAnsi="Arial" w:cs="Arial"/>
          <w:sz w:val="26"/>
          <w:szCs w:val="26"/>
        </w:rPr>
        <w:t>la</w:t>
      </w:r>
      <w:r w:rsidRPr="00C67536">
        <w:rPr>
          <w:rFonts w:ascii="Arial" w:hAnsi="Arial" w:cs="Arial"/>
          <w:spacing w:val="-14"/>
          <w:sz w:val="26"/>
          <w:szCs w:val="26"/>
        </w:rPr>
        <w:t xml:space="preserve"> </w:t>
      </w:r>
      <w:r w:rsidRPr="00C67536">
        <w:rPr>
          <w:rFonts w:ascii="Arial" w:hAnsi="Arial" w:cs="Arial"/>
          <w:sz w:val="26"/>
          <w:szCs w:val="26"/>
        </w:rPr>
        <w:t>comprensión</w:t>
      </w:r>
      <w:r w:rsidRPr="00C67536">
        <w:rPr>
          <w:rFonts w:ascii="Arial" w:hAnsi="Arial" w:cs="Arial"/>
          <w:spacing w:val="-16"/>
          <w:sz w:val="26"/>
          <w:szCs w:val="26"/>
        </w:rPr>
        <w:t xml:space="preserve"> </w:t>
      </w:r>
      <w:r w:rsidRPr="00C67536">
        <w:rPr>
          <w:rFonts w:ascii="Arial" w:hAnsi="Arial" w:cs="Arial"/>
          <w:sz w:val="26"/>
          <w:szCs w:val="26"/>
        </w:rPr>
        <w:t>de</w:t>
      </w:r>
      <w:r w:rsidRPr="00C67536">
        <w:rPr>
          <w:rFonts w:ascii="Arial" w:hAnsi="Arial" w:cs="Arial"/>
          <w:spacing w:val="-14"/>
          <w:sz w:val="26"/>
          <w:szCs w:val="26"/>
        </w:rPr>
        <w:t xml:space="preserve"> </w:t>
      </w:r>
      <w:r w:rsidRPr="00C67536">
        <w:rPr>
          <w:rFonts w:ascii="Arial" w:hAnsi="Arial" w:cs="Arial"/>
          <w:sz w:val="26"/>
          <w:szCs w:val="26"/>
        </w:rPr>
        <w:t>etiquetado</w:t>
      </w:r>
      <w:r w:rsidRPr="00C67536">
        <w:rPr>
          <w:rFonts w:ascii="Arial" w:hAnsi="Arial" w:cs="Arial"/>
          <w:spacing w:val="-17"/>
          <w:sz w:val="26"/>
          <w:szCs w:val="26"/>
        </w:rPr>
        <w:t xml:space="preserve"> </w:t>
      </w:r>
      <w:r w:rsidRPr="00C67536">
        <w:rPr>
          <w:rFonts w:ascii="Arial" w:hAnsi="Arial" w:cs="Arial"/>
          <w:sz w:val="26"/>
          <w:szCs w:val="26"/>
        </w:rPr>
        <w:t>que</w:t>
      </w:r>
      <w:r w:rsidRPr="00C67536">
        <w:rPr>
          <w:rFonts w:ascii="Arial" w:hAnsi="Arial" w:cs="Arial"/>
          <w:spacing w:val="-13"/>
          <w:sz w:val="26"/>
          <w:szCs w:val="26"/>
        </w:rPr>
        <w:t xml:space="preserve"> </w:t>
      </w:r>
      <w:r w:rsidRPr="00C67536">
        <w:rPr>
          <w:rFonts w:ascii="Arial" w:hAnsi="Arial" w:cs="Arial"/>
          <w:sz w:val="26"/>
          <w:szCs w:val="26"/>
        </w:rPr>
        <w:t>se</w:t>
      </w:r>
      <w:r w:rsidRPr="00C67536">
        <w:rPr>
          <w:rFonts w:ascii="Arial" w:hAnsi="Arial" w:cs="Arial"/>
          <w:spacing w:val="-17"/>
          <w:sz w:val="26"/>
          <w:szCs w:val="26"/>
        </w:rPr>
        <w:t xml:space="preserve"> </w:t>
      </w:r>
      <w:r w:rsidRPr="00C67536">
        <w:rPr>
          <w:rFonts w:ascii="Arial" w:hAnsi="Arial" w:cs="Arial"/>
          <w:sz w:val="26"/>
          <w:szCs w:val="26"/>
        </w:rPr>
        <w:t>han</w:t>
      </w:r>
      <w:r w:rsidRPr="00C67536">
        <w:rPr>
          <w:rFonts w:ascii="Arial" w:hAnsi="Arial" w:cs="Arial"/>
          <w:spacing w:val="-14"/>
          <w:sz w:val="26"/>
          <w:szCs w:val="26"/>
        </w:rPr>
        <w:t xml:space="preserve"> </w:t>
      </w:r>
      <w:r w:rsidRPr="00C67536">
        <w:rPr>
          <w:rFonts w:ascii="Arial" w:hAnsi="Arial" w:cs="Arial"/>
          <w:sz w:val="26"/>
          <w:szCs w:val="26"/>
        </w:rPr>
        <w:t>hecho</w:t>
      </w:r>
      <w:r w:rsidRPr="00C67536">
        <w:rPr>
          <w:rFonts w:ascii="Arial" w:hAnsi="Arial" w:cs="Arial"/>
          <w:spacing w:val="-15"/>
          <w:sz w:val="26"/>
          <w:szCs w:val="26"/>
        </w:rPr>
        <w:t xml:space="preserve"> </w:t>
      </w:r>
      <w:r w:rsidRPr="00C67536">
        <w:rPr>
          <w:rFonts w:ascii="Arial" w:hAnsi="Arial" w:cs="Arial"/>
          <w:sz w:val="26"/>
          <w:szCs w:val="26"/>
        </w:rPr>
        <w:t>desde entonces, se encuentra la que llevó a cabo el Fondo de las Naciones Unidas para la Infancia (UNICEF) en colaboración con instituciones de diversos países de América</w:t>
      </w:r>
      <w:r w:rsidRPr="00C67536">
        <w:rPr>
          <w:rFonts w:ascii="Arial" w:hAnsi="Arial" w:cs="Arial"/>
          <w:spacing w:val="-19"/>
          <w:sz w:val="26"/>
          <w:szCs w:val="26"/>
        </w:rPr>
        <w:t xml:space="preserve"> </w:t>
      </w:r>
      <w:r w:rsidRPr="00C67536">
        <w:rPr>
          <w:rFonts w:ascii="Arial" w:hAnsi="Arial" w:cs="Arial"/>
          <w:sz w:val="26"/>
          <w:szCs w:val="26"/>
        </w:rPr>
        <w:t>Latina.</w:t>
      </w:r>
      <w:r w:rsidRPr="00C67536">
        <w:rPr>
          <w:rFonts w:ascii="Arial" w:hAnsi="Arial" w:cs="Arial"/>
          <w:spacing w:val="-19"/>
          <w:sz w:val="26"/>
          <w:szCs w:val="26"/>
        </w:rPr>
        <w:t xml:space="preserve"> </w:t>
      </w:r>
      <w:r w:rsidRPr="00C67536">
        <w:rPr>
          <w:rFonts w:ascii="Arial" w:hAnsi="Arial" w:cs="Arial"/>
          <w:sz w:val="26"/>
          <w:szCs w:val="26"/>
        </w:rPr>
        <w:t>En</w:t>
      </w:r>
      <w:r w:rsidRPr="00C67536">
        <w:rPr>
          <w:rFonts w:ascii="Arial" w:hAnsi="Arial" w:cs="Arial"/>
          <w:spacing w:val="-18"/>
          <w:sz w:val="26"/>
          <w:szCs w:val="26"/>
        </w:rPr>
        <w:t xml:space="preserve"> </w:t>
      </w:r>
      <w:r w:rsidRPr="00C67536">
        <w:rPr>
          <w:rFonts w:ascii="Arial" w:hAnsi="Arial" w:cs="Arial"/>
          <w:sz w:val="26"/>
          <w:szCs w:val="26"/>
        </w:rPr>
        <w:t>ésta,</w:t>
      </w:r>
      <w:r w:rsidRPr="00C67536">
        <w:rPr>
          <w:rFonts w:ascii="Arial" w:hAnsi="Arial" w:cs="Arial"/>
          <w:spacing w:val="-19"/>
          <w:sz w:val="26"/>
          <w:szCs w:val="26"/>
        </w:rPr>
        <w:t xml:space="preserve"> </w:t>
      </w:r>
      <w:r w:rsidRPr="00C67536">
        <w:rPr>
          <w:rFonts w:ascii="Arial" w:hAnsi="Arial" w:cs="Arial"/>
          <w:sz w:val="26"/>
          <w:szCs w:val="26"/>
        </w:rPr>
        <w:t>nuevamente,</w:t>
      </w:r>
      <w:r w:rsidRPr="00C67536">
        <w:rPr>
          <w:rFonts w:ascii="Arial" w:hAnsi="Arial" w:cs="Arial"/>
          <w:spacing w:val="-18"/>
          <w:sz w:val="26"/>
          <w:szCs w:val="26"/>
        </w:rPr>
        <w:t xml:space="preserve"> </w:t>
      </w:r>
      <w:r w:rsidRPr="00C67536">
        <w:rPr>
          <w:rFonts w:ascii="Arial" w:hAnsi="Arial" w:cs="Arial"/>
          <w:sz w:val="26"/>
          <w:szCs w:val="26"/>
        </w:rPr>
        <w:t>el</w:t>
      </w:r>
      <w:r w:rsidRPr="00C67536">
        <w:rPr>
          <w:rFonts w:ascii="Arial" w:hAnsi="Arial" w:cs="Arial"/>
          <w:spacing w:val="-20"/>
          <w:sz w:val="26"/>
          <w:szCs w:val="26"/>
        </w:rPr>
        <w:t xml:space="preserve"> </w:t>
      </w:r>
      <w:r w:rsidRPr="00C67536">
        <w:rPr>
          <w:rFonts w:ascii="Arial" w:hAnsi="Arial" w:cs="Arial"/>
          <w:sz w:val="26"/>
          <w:szCs w:val="26"/>
        </w:rPr>
        <w:t>etiquetado</w:t>
      </w:r>
      <w:r w:rsidRPr="00C67536">
        <w:rPr>
          <w:rFonts w:ascii="Arial" w:hAnsi="Arial" w:cs="Arial"/>
          <w:spacing w:val="-16"/>
          <w:sz w:val="26"/>
          <w:szCs w:val="26"/>
        </w:rPr>
        <w:t xml:space="preserve"> </w:t>
      </w:r>
      <w:r w:rsidRPr="00C67536">
        <w:rPr>
          <w:rFonts w:ascii="Arial" w:hAnsi="Arial" w:cs="Arial"/>
          <w:sz w:val="26"/>
          <w:szCs w:val="26"/>
        </w:rPr>
        <w:t>GDA</w:t>
      </w:r>
      <w:r w:rsidRPr="00C67536">
        <w:rPr>
          <w:rFonts w:ascii="Arial" w:hAnsi="Arial" w:cs="Arial"/>
          <w:spacing w:val="-19"/>
          <w:sz w:val="26"/>
          <w:szCs w:val="26"/>
        </w:rPr>
        <w:t xml:space="preserve"> </w:t>
      </w:r>
      <w:r w:rsidRPr="00C67536">
        <w:rPr>
          <w:rFonts w:ascii="Arial" w:hAnsi="Arial" w:cs="Arial"/>
          <w:sz w:val="26"/>
          <w:szCs w:val="26"/>
        </w:rPr>
        <w:t>mostró</w:t>
      </w:r>
      <w:r w:rsidRPr="00C67536">
        <w:rPr>
          <w:rFonts w:ascii="Arial" w:hAnsi="Arial" w:cs="Arial"/>
          <w:spacing w:val="-18"/>
          <w:sz w:val="26"/>
          <w:szCs w:val="26"/>
        </w:rPr>
        <w:t xml:space="preserve"> </w:t>
      </w:r>
      <w:r w:rsidRPr="00C67536">
        <w:rPr>
          <w:rFonts w:ascii="Arial" w:hAnsi="Arial" w:cs="Arial"/>
          <w:sz w:val="26"/>
          <w:szCs w:val="26"/>
        </w:rPr>
        <w:t>gran</w:t>
      </w:r>
      <w:r w:rsidRPr="00C67536">
        <w:rPr>
          <w:rFonts w:ascii="Arial" w:hAnsi="Arial" w:cs="Arial"/>
          <w:spacing w:val="-17"/>
          <w:sz w:val="26"/>
          <w:szCs w:val="26"/>
        </w:rPr>
        <w:t xml:space="preserve"> </w:t>
      </w:r>
      <w:r w:rsidRPr="00C67536">
        <w:rPr>
          <w:rFonts w:ascii="Arial" w:hAnsi="Arial" w:cs="Arial"/>
          <w:sz w:val="26"/>
          <w:szCs w:val="26"/>
        </w:rPr>
        <w:t>dificultad</w:t>
      </w:r>
      <w:r w:rsidRPr="00C67536">
        <w:rPr>
          <w:rFonts w:ascii="Arial" w:hAnsi="Arial" w:cs="Arial"/>
          <w:spacing w:val="-19"/>
          <w:sz w:val="26"/>
          <w:szCs w:val="26"/>
        </w:rPr>
        <w:t xml:space="preserve"> </w:t>
      </w:r>
      <w:r w:rsidRPr="00C67536">
        <w:rPr>
          <w:rFonts w:ascii="Arial" w:hAnsi="Arial" w:cs="Arial"/>
          <w:sz w:val="26"/>
          <w:szCs w:val="26"/>
        </w:rPr>
        <w:t>para ser adecuadamente comprendido.</w:t>
      </w:r>
    </w:p>
    <w:p w14:paraId="60CE81A2" w14:textId="77777777" w:rsidR="00D03349" w:rsidRPr="00C67536" w:rsidRDefault="00D03349" w:rsidP="00D03349">
      <w:pPr>
        <w:pStyle w:val="BodyText"/>
        <w:ind w:left="567" w:right="567"/>
        <w:jc w:val="both"/>
        <w:rPr>
          <w:rFonts w:ascii="Arial" w:hAnsi="Arial" w:cs="Arial"/>
          <w:b/>
          <w:bCs/>
          <w:sz w:val="26"/>
          <w:szCs w:val="26"/>
        </w:rPr>
      </w:pPr>
      <w:r w:rsidRPr="00C67536">
        <w:rPr>
          <w:rFonts w:ascii="Arial" w:hAnsi="Arial" w:cs="Arial"/>
          <w:b/>
          <w:bCs/>
          <w:sz w:val="26"/>
          <w:szCs w:val="26"/>
        </w:rPr>
        <w:t>De</w:t>
      </w:r>
      <w:r w:rsidRPr="00C67536">
        <w:rPr>
          <w:rFonts w:ascii="Arial" w:hAnsi="Arial" w:cs="Arial"/>
          <w:b/>
          <w:bCs/>
          <w:spacing w:val="-9"/>
          <w:sz w:val="26"/>
          <w:szCs w:val="26"/>
        </w:rPr>
        <w:t xml:space="preserve"> </w:t>
      </w:r>
      <w:r w:rsidRPr="00C67536">
        <w:rPr>
          <w:rFonts w:ascii="Arial" w:hAnsi="Arial" w:cs="Arial"/>
          <w:b/>
          <w:bCs/>
          <w:sz w:val="26"/>
          <w:szCs w:val="26"/>
        </w:rPr>
        <w:t>acuerdo</w:t>
      </w:r>
      <w:r w:rsidRPr="00C67536">
        <w:rPr>
          <w:rFonts w:ascii="Arial" w:hAnsi="Arial" w:cs="Arial"/>
          <w:b/>
          <w:bCs/>
          <w:spacing w:val="-7"/>
          <w:sz w:val="26"/>
          <w:szCs w:val="26"/>
        </w:rPr>
        <w:t xml:space="preserve"> </w:t>
      </w:r>
      <w:r w:rsidRPr="00C67536">
        <w:rPr>
          <w:rFonts w:ascii="Arial" w:hAnsi="Arial" w:cs="Arial"/>
          <w:b/>
          <w:bCs/>
          <w:sz w:val="26"/>
          <w:szCs w:val="26"/>
        </w:rPr>
        <w:t>con</w:t>
      </w:r>
      <w:r w:rsidRPr="00C67536">
        <w:rPr>
          <w:rFonts w:ascii="Arial" w:hAnsi="Arial" w:cs="Arial"/>
          <w:b/>
          <w:bCs/>
          <w:spacing w:val="-7"/>
          <w:sz w:val="26"/>
          <w:szCs w:val="26"/>
        </w:rPr>
        <w:t xml:space="preserve"> </w:t>
      </w:r>
      <w:r w:rsidRPr="00C67536">
        <w:rPr>
          <w:rFonts w:ascii="Arial" w:hAnsi="Arial" w:cs="Arial"/>
          <w:b/>
          <w:bCs/>
          <w:sz w:val="26"/>
          <w:szCs w:val="26"/>
        </w:rPr>
        <w:t>resultados</w:t>
      </w:r>
      <w:r w:rsidRPr="00C67536">
        <w:rPr>
          <w:rFonts w:ascii="Arial" w:hAnsi="Arial" w:cs="Arial"/>
          <w:b/>
          <w:bCs/>
          <w:spacing w:val="-9"/>
          <w:sz w:val="26"/>
          <w:szCs w:val="26"/>
        </w:rPr>
        <w:t xml:space="preserve"> </w:t>
      </w:r>
      <w:r w:rsidRPr="00C67536">
        <w:rPr>
          <w:rFonts w:ascii="Arial" w:hAnsi="Arial" w:cs="Arial"/>
          <w:b/>
          <w:bCs/>
          <w:sz w:val="26"/>
          <w:szCs w:val="26"/>
        </w:rPr>
        <w:t>de</w:t>
      </w:r>
      <w:r w:rsidRPr="00C67536">
        <w:rPr>
          <w:rFonts w:ascii="Arial" w:hAnsi="Arial" w:cs="Arial"/>
          <w:b/>
          <w:bCs/>
          <w:spacing w:val="-10"/>
          <w:sz w:val="26"/>
          <w:szCs w:val="26"/>
        </w:rPr>
        <w:t xml:space="preserve"> </w:t>
      </w:r>
      <w:r w:rsidRPr="00C67536">
        <w:rPr>
          <w:rFonts w:ascii="Arial" w:hAnsi="Arial" w:cs="Arial"/>
          <w:b/>
          <w:bCs/>
          <w:sz w:val="26"/>
          <w:szCs w:val="26"/>
        </w:rPr>
        <w:t>estudios</w:t>
      </w:r>
      <w:r w:rsidRPr="00C67536">
        <w:rPr>
          <w:rFonts w:ascii="Arial" w:hAnsi="Arial" w:cs="Arial"/>
          <w:b/>
          <w:bCs/>
          <w:spacing w:val="-8"/>
          <w:sz w:val="26"/>
          <w:szCs w:val="26"/>
        </w:rPr>
        <w:t xml:space="preserve"> </w:t>
      </w:r>
      <w:r w:rsidRPr="00C67536">
        <w:rPr>
          <w:rFonts w:ascii="Arial" w:hAnsi="Arial" w:cs="Arial"/>
          <w:b/>
          <w:bCs/>
          <w:sz w:val="26"/>
          <w:szCs w:val="26"/>
        </w:rPr>
        <w:t>y</w:t>
      </w:r>
      <w:r w:rsidRPr="00C67536">
        <w:rPr>
          <w:rFonts w:ascii="Arial" w:hAnsi="Arial" w:cs="Arial"/>
          <w:b/>
          <w:bCs/>
          <w:spacing w:val="-8"/>
          <w:sz w:val="26"/>
          <w:szCs w:val="26"/>
        </w:rPr>
        <w:t xml:space="preserve"> </w:t>
      </w:r>
      <w:r w:rsidRPr="00C67536">
        <w:rPr>
          <w:rFonts w:ascii="Arial" w:hAnsi="Arial" w:cs="Arial"/>
          <w:b/>
          <w:bCs/>
          <w:sz w:val="26"/>
          <w:szCs w:val="26"/>
        </w:rPr>
        <w:t>de</w:t>
      </w:r>
      <w:r w:rsidRPr="00C67536">
        <w:rPr>
          <w:rFonts w:ascii="Arial" w:hAnsi="Arial" w:cs="Arial"/>
          <w:b/>
          <w:bCs/>
          <w:spacing w:val="-10"/>
          <w:sz w:val="26"/>
          <w:szCs w:val="26"/>
        </w:rPr>
        <w:t xml:space="preserve"> </w:t>
      </w:r>
      <w:r w:rsidRPr="00C67536">
        <w:rPr>
          <w:rFonts w:ascii="Arial" w:hAnsi="Arial" w:cs="Arial"/>
          <w:b/>
          <w:bCs/>
          <w:sz w:val="26"/>
          <w:szCs w:val="26"/>
        </w:rPr>
        <w:t>organizaciones</w:t>
      </w:r>
      <w:r w:rsidRPr="00C67536">
        <w:rPr>
          <w:rFonts w:ascii="Arial" w:hAnsi="Arial" w:cs="Arial"/>
          <w:b/>
          <w:bCs/>
          <w:spacing w:val="-9"/>
          <w:sz w:val="26"/>
          <w:szCs w:val="26"/>
        </w:rPr>
        <w:t xml:space="preserve"> </w:t>
      </w:r>
      <w:r w:rsidRPr="00C67536">
        <w:rPr>
          <w:rFonts w:ascii="Arial" w:hAnsi="Arial" w:cs="Arial"/>
          <w:b/>
          <w:bCs/>
          <w:sz w:val="26"/>
          <w:szCs w:val="26"/>
        </w:rPr>
        <w:t>a</w:t>
      </w:r>
      <w:r w:rsidRPr="00C67536">
        <w:rPr>
          <w:rFonts w:ascii="Arial" w:hAnsi="Arial" w:cs="Arial"/>
          <w:b/>
          <w:bCs/>
          <w:spacing w:val="-7"/>
          <w:sz w:val="26"/>
          <w:szCs w:val="26"/>
        </w:rPr>
        <w:t xml:space="preserve"> </w:t>
      </w:r>
      <w:r w:rsidRPr="00C67536">
        <w:rPr>
          <w:rFonts w:ascii="Arial" w:hAnsi="Arial" w:cs="Arial"/>
          <w:b/>
          <w:bCs/>
          <w:sz w:val="26"/>
          <w:szCs w:val="26"/>
        </w:rPr>
        <w:t>favor</w:t>
      </w:r>
      <w:r w:rsidRPr="00C67536">
        <w:rPr>
          <w:rFonts w:ascii="Arial" w:hAnsi="Arial" w:cs="Arial"/>
          <w:b/>
          <w:bCs/>
          <w:spacing w:val="-9"/>
          <w:sz w:val="26"/>
          <w:szCs w:val="26"/>
        </w:rPr>
        <w:t xml:space="preserve"> </w:t>
      </w:r>
      <w:r w:rsidRPr="00C67536">
        <w:rPr>
          <w:rFonts w:ascii="Arial" w:hAnsi="Arial" w:cs="Arial"/>
          <w:b/>
          <w:bCs/>
          <w:sz w:val="26"/>
          <w:szCs w:val="26"/>
        </w:rPr>
        <w:t>del</w:t>
      </w:r>
      <w:r w:rsidRPr="00C67536">
        <w:rPr>
          <w:rFonts w:ascii="Arial" w:hAnsi="Arial" w:cs="Arial"/>
          <w:b/>
          <w:bCs/>
          <w:spacing w:val="-9"/>
          <w:sz w:val="26"/>
          <w:szCs w:val="26"/>
        </w:rPr>
        <w:t xml:space="preserve"> </w:t>
      </w:r>
      <w:r w:rsidRPr="00C67536">
        <w:rPr>
          <w:rFonts w:ascii="Arial" w:hAnsi="Arial" w:cs="Arial"/>
          <w:b/>
          <w:bCs/>
          <w:sz w:val="26"/>
          <w:szCs w:val="26"/>
        </w:rPr>
        <w:t>consumidor,</w:t>
      </w:r>
      <w:r w:rsidRPr="00C67536">
        <w:rPr>
          <w:rFonts w:ascii="Arial" w:hAnsi="Arial" w:cs="Arial"/>
          <w:b/>
          <w:bCs/>
          <w:spacing w:val="-12"/>
          <w:sz w:val="26"/>
          <w:szCs w:val="26"/>
        </w:rPr>
        <w:t xml:space="preserve"> </w:t>
      </w:r>
      <w:r w:rsidRPr="00C67536">
        <w:rPr>
          <w:rFonts w:ascii="Arial" w:hAnsi="Arial" w:cs="Arial"/>
          <w:b/>
          <w:bCs/>
          <w:sz w:val="26"/>
          <w:szCs w:val="26"/>
        </w:rPr>
        <w:t>el etiquetado</w:t>
      </w:r>
      <w:r w:rsidRPr="00C67536">
        <w:rPr>
          <w:rFonts w:ascii="Arial" w:hAnsi="Arial" w:cs="Arial"/>
          <w:b/>
          <w:bCs/>
          <w:spacing w:val="-6"/>
          <w:sz w:val="26"/>
          <w:szCs w:val="26"/>
        </w:rPr>
        <w:t xml:space="preserve"> </w:t>
      </w:r>
      <w:r w:rsidRPr="00C67536">
        <w:rPr>
          <w:rFonts w:ascii="Arial" w:hAnsi="Arial" w:cs="Arial"/>
          <w:b/>
          <w:bCs/>
          <w:sz w:val="26"/>
          <w:szCs w:val="26"/>
        </w:rPr>
        <w:t>frontal</w:t>
      </w:r>
      <w:r w:rsidRPr="00C67536">
        <w:rPr>
          <w:rFonts w:ascii="Arial" w:hAnsi="Arial" w:cs="Arial"/>
          <w:b/>
          <w:bCs/>
          <w:spacing w:val="-6"/>
          <w:sz w:val="26"/>
          <w:szCs w:val="26"/>
        </w:rPr>
        <w:t xml:space="preserve"> </w:t>
      </w:r>
      <w:r w:rsidRPr="00C67536">
        <w:rPr>
          <w:rFonts w:ascii="Arial" w:hAnsi="Arial" w:cs="Arial"/>
          <w:b/>
          <w:bCs/>
          <w:sz w:val="26"/>
          <w:szCs w:val="26"/>
        </w:rPr>
        <w:t>vigente</w:t>
      </w:r>
      <w:r w:rsidRPr="00C67536">
        <w:rPr>
          <w:rFonts w:ascii="Arial" w:hAnsi="Arial" w:cs="Arial"/>
          <w:b/>
          <w:bCs/>
          <w:spacing w:val="-6"/>
          <w:sz w:val="26"/>
          <w:szCs w:val="26"/>
        </w:rPr>
        <w:t xml:space="preserve"> </w:t>
      </w:r>
      <w:r w:rsidRPr="00C67536">
        <w:rPr>
          <w:rFonts w:ascii="Arial" w:hAnsi="Arial" w:cs="Arial"/>
          <w:b/>
          <w:bCs/>
          <w:sz w:val="26"/>
          <w:szCs w:val="26"/>
        </w:rPr>
        <w:t>en</w:t>
      </w:r>
      <w:r w:rsidRPr="00C67536">
        <w:rPr>
          <w:rFonts w:ascii="Arial" w:hAnsi="Arial" w:cs="Arial"/>
          <w:b/>
          <w:bCs/>
          <w:spacing w:val="-5"/>
          <w:sz w:val="26"/>
          <w:szCs w:val="26"/>
        </w:rPr>
        <w:t xml:space="preserve"> </w:t>
      </w:r>
      <w:r w:rsidRPr="00C67536">
        <w:rPr>
          <w:rFonts w:ascii="Arial" w:hAnsi="Arial" w:cs="Arial"/>
          <w:b/>
          <w:bCs/>
          <w:sz w:val="26"/>
          <w:szCs w:val="26"/>
        </w:rPr>
        <w:t>México</w:t>
      </w:r>
      <w:r w:rsidRPr="00C67536">
        <w:rPr>
          <w:rFonts w:ascii="Arial" w:hAnsi="Arial" w:cs="Arial"/>
          <w:b/>
          <w:bCs/>
          <w:spacing w:val="-7"/>
          <w:sz w:val="26"/>
          <w:szCs w:val="26"/>
        </w:rPr>
        <w:t xml:space="preserve"> </w:t>
      </w:r>
      <w:r w:rsidRPr="00C67536">
        <w:rPr>
          <w:rFonts w:ascii="Arial" w:hAnsi="Arial" w:cs="Arial"/>
          <w:b/>
          <w:bCs/>
          <w:sz w:val="26"/>
          <w:szCs w:val="26"/>
        </w:rPr>
        <w:t>tiene</w:t>
      </w:r>
      <w:r w:rsidRPr="00C67536">
        <w:rPr>
          <w:rFonts w:ascii="Arial" w:hAnsi="Arial" w:cs="Arial"/>
          <w:b/>
          <w:bCs/>
          <w:spacing w:val="-5"/>
          <w:sz w:val="26"/>
          <w:szCs w:val="26"/>
        </w:rPr>
        <w:t xml:space="preserve"> </w:t>
      </w:r>
      <w:r w:rsidRPr="00C67536">
        <w:rPr>
          <w:rFonts w:ascii="Arial" w:hAnsi="Arial" w:cs="Arial"/>
          <w:b/>
          <w:bCs/>
          <w:sz w:val="26"/>
          <w:szCs w:val="26"/>
        </w:rPr>
        <w:t>grandes</w:t>
      </w:r>
      <w:r w:rsidRPr="00C67536">
        <w:rPr>
          <w:rFonts w:ascii="Arial" w:hAnsi="Arial" w:cs="Arial"/>
          <w:b/>
          <w:bCs/>
          <w:spacing w:val="-6"/>
          <w:sz w:val="26"/>
          <w:szCs w:val="26"/>
        </w:rPr>
        <w:t xml:space="preserve"> </w:t>
      </w:r>
      <w:r w:rsidRPr="00C67536">
        <w:rPr>
          <w:rFonts w:ascii="Arial" w:hAnsi="Arial" w:cs="Arial"/>
          <w:b/>
          <w:bCs/>
          <w:sz w:val="26"/>
          <w:szCs w:val="26"/>
        </w:rPr>
        <w:t>deficiencias,</w:t>
      </w:r>
      <w:r w:rsidRPr="00C67536">
        <w:rPr>
          <w:rFonts w:ascii="Arial" w:hAnsi="Arial" w:cs="Arial"/>
          <w:b/>
          <w:bCs/>
          <w:spacing w:val="-6"/>
          <w:sz w:val="26"/>
          <w:szCs w:val="26"/>
        </w:rPr>
        <w:t xml:space="preserve"> </w:t>
      </w:r>
      <w:r w:rsidRPr="00C67536">
        <w:rPr>
          <w:rFonts w:ascii="Arial" w:hAnsi="Arial" w:cs="Arial"/>
          <w:b/>
          <w:bCs/>
          <w:sz w:val="26"/>
          <w:szCs w:val="26"/>
        </w:rPr>
        <w:t>principalmente</w:t>
      </w:r>
      <w:r w:rsidRPr="00C67536">
        <w:rPr>
          <w:rFonts w:ascii="Arial" w:hAnsi="Arial" w:cs="Arial"/>
          <w:b/>
          <w:bCs/>
          <w:spacing w:val="-6"/>
          <w:sz w:val="26"/>
          <w:szCs w:val="26"/>
        </w:rPr>
        <w:t xml:space="preserve"> </w:t>
      </w:r>
      <w:r w:rsidRPr="00C67536">
        <w:rPr>
          <w:rFonts w:ascii="Arial" w:hAnsi="Arial" w:cs="Arial"/>
          <w:b/>
          <w:bCs/>
          <w:sz w:val="26"/>
          <w:szCs w:val="26"/>
        </w:rPr>
        <w:t>que no cumple con el criterio fundamental de ser rápido y sencillo de entender, criterio recomendado por la Organización Panamericana de la Salud</w:t>
      </w:r>
      <w:r w:rsidRPr="00C67536">
        <w:rPr>
          <w:rFonts w:ascii="Arial" w:hAnsi="Arial" w:cs="Arial"/>
          <w:b/>
          <w:bCs/>
          <w:spacing w:val="-8"/>
          <w:sz w:val="26"/>
          <w:szCs w:val="26"/>
        </w:rPr>
        <w:t xml:space="preserve"> </w:t>
      </w:r>
      <w:r w:rsidRPr="00C67536">
        <w:rPr>
          <w:rFonts w:ascii="Arial" w:hAnsi="Arial" w:cs="Arial"/>
          <w:b/>
          <w:bCs/>
          <w:sz w:val="26"/>
          <w:szCs w:val="26"/>
        </w:rPr>
        <w:t>(OPS).</w:t>
      </w:r>
    </w:p>
    <w:p w14:paraId="6D5014EA"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 información se muestra en calorías, un concepto poco entendible por la población. De acuerdo con los resultados de la Encuesta Nacional sobre Obesidad 2015, solo el 12 por ciento de los encuestados tiene noción de su requerimiento calórico diario por lo que la información mostrada en el etiquetado no es interpretable.</w:t>
      </w:r>
    </w:p>
    <w:p w14:paraId="343F58E2"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Además, el tipo de formato asume y hasta se puede pensar que “recomienda” el consumo de cierta cantidad de azúcares, sodio y grasas, cuando en realidad estos son valores límite.</w:t>
      </w:r>
    </w:p>
    <w:p w14:paraId="7D41A3F3"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Por lo anterior se considera que el etiquetado actual:</w:t>
      </w:r>
    </w:p>
    <w:p w14:paraId="5A3B96EA" w14:textId="77777777" w:rsidR="00D03349" w:rsidRPr="00C67536" w:rsidRDefault="00D03349" w:rsidP="00B144AE">
      <w:pPr>
        <w:pStyle w:val="ListParagraph"/>
        <w:widowControl w:val="0"/>
        <w:numPr>
          <w:ilvl w:val="0"/>
          <w:numId w:val="13"/>
        </w:numPr>
        <w:tabs>
          <w:tab w:val="left" w:pos="628"/>
        </w:tabs>
        <w:autoSpaceDE w:val="0"/>
        <w:autoSpaceDN w:val="0"/>
        <w:ind w:left="567" w:right="567" w:firstLine="0"/>
        <w:jc w:val="both"/>
        <w:rPr>
          <w:rFonts w:ascii="Arial" w:hAnsi="Arial" w:cs="Arial"/>
          <w:sz w:val="26"/>
          <w:szCs w:val="26"/>
        </w:rPr>
      </w:pPr>
      <w:r w:rsidRPr="00C67536">
        <w:rPr>
          <w:rFonts w:ascii="Arial" w:hAnsi="Arial" w:cs="Arial"/>
          <w:sz w:val="26"/>
          <w:szCs w:val="26"/>
        </w:rPr>
        <w:t>No fue conformado por un grupo de trabajo de expertos y libre de conflicto de interés. Contrariamente, utiliza el etiquetado tipo GDA (Guías Diarias de Alimentación), un formato impulsado por la propia industria de</w:t>
      </w:r>
      <w:r w:rsidRPr="00C67536">
        <w:rPr>
          <w:rFonts w:ascii="Arial" w:hAnsi="Arial" w:cs="Arial"/>
          <w:spacing w:val="-17"/>
          <w:sz w:val="26"/>
          <w:szCs w:val="26"/>
        </w:rPr>
        <w:t xml:space="preserve"> </w:t>
      </w:r>
      <w:r w:rsidRPr="00C67536">
        <w:rPr>
          <w:rFonts w:ascii="Arial" w:hAnsi="Arial" w:cs="Arial"/>
          <w:sz w:val="26"/>
          <w:szCs w:val="26"/>
        </w:rPr>
        <w:t>alimentos.</w:t>
      </w:r>
    </w:p>
    <w:p w14:paraId="3B196FBE" w14:textId="77777777" w:rsidR="00D03349" w:rsidRPr="00C67536" w:rsidRDefault="00D03349" w:rsidP="00B144AE">
      <w:pPr>
        <w:pStyle w:val="ListParagraph"/>
        <w:widowControl w:val="0"/>
        <w:numPr>
          <w:ilvl w:val="0"/>
          <w:numId w:val="13"/>
        </w:numPr>
        <w:tabs>
          <w:tab w:val="left" w:pos="635"/>
        </w:tabs>
        <w:autoSpaceDE w:val="0"/>
        <w:autoSpaceDN w:val="0"/>
        <w:ind w:left="567" w:right="567" w:firstLine="0"/>
        <w:jc w:val="both"/>
        <w:rPr>
          <w:rFonts w:ascii="Arial" w:hAnsi="Arial" w:cs="Arial"/>
          <w:sz w:val="26"/>
          <w:szCs w:val="26"/>
        </w:rPr>
      </w:pPr>
      <w:r w:rsidRPr="00C67536">
        <w:rPr>
          <w:rFonts w:ascii="Arial" w:hAnsi="Arial" w:cs="Arial"/>
          <w:sz w:val="26"/>
          <w:szCs w:val="26"/>
        </w:rPr>
        <w:t>No partió de la evidencia científica. En respuesta a una solicitud de acceso a la información, la Comisión Federal para la Protección Contra Riesgos</w:t>
      </w:r>
      <w:r w:rsidRPr="00C67536">
        <w:rPr>
          <w:rFonts w:ascii="Arial" w:hAnsi="Arial" w:cs="Arial"/>
          <w:spacing w:val="-48"/>
          <w:sz w:val="26"/>
          <w:szCs w:val="26"/>
        </w:rPr>
        <w:t xml:space="preserve"> </w:t>
      </w:r>
      <w:r w:rsidRPr="00C67536">
        <w:rPr>
          <w:rFonts w:ascii="Arial" w:hAnsi="Arial" w:cs="Arial"/>
          <w:sz w:val="26"/>
          <w:szCs w:val="26"/>
        </w:rPr>
        <w:t>Sanitarios (Cofepris)</w:t>
      </w:r>
      <w:r w:rsidRPr="00C67536">
        <w:rPr>
          <w:rFonts w:ascii="Arial" w:hAnsi="Arial" w:cs="Arial"/>
          <w:spacing w:val="-9"/>
          <w:sz w:val="26"/>
          <w:szCs w:val="26"/>
        </w:rPr>
        <w:t xml:space="preserve"> </w:t>
      </w:r>
      <w:r w:rsidRPr="00C67536">
        <w:rPr>
          <w:rFonts w:ascii="Arial" w:hAnsi="Arial" w:cs="Arial"/>
          <w:sz w:val="26"/>
          <w:szCs w:val="26"/>
        </w:rPr>
        <w:t>señaló</w:t>
      </w:r>
      <w:r w:rsidRPr="00C67536">
        <w:rPr>
          <w:rFonts w:ascii="Arial" w:hAnsi="Arial" w:cs="Arial"/>
          <w:spacing w:val="-7"/>
          <w:sz w:val="26"/>
          <w:szCs w:val="26"/>
        </w:rPr>
        <w:t xml:space="preserve"> </w:t>
      </w:r>
      <w:r w:rsidRPr="00C67536">
        <w:rPr>
          <w:rFonts w:ascii="Arial" w:hAnsi="Arial" w:cs="Arial"/>
          <w:sz w:val="26"/>
          <w:szCs w:val="26"/>
        </w:rPr>
        <w:t>que</w:t>
      </w:r>
      <w:r w:rsidRPr="00C67536">
        <w:rPr>
          <w:rFonts w:ascii="Arial" w:hAnsi="Arial" w:cs="Arial"/>
          <w:spacing w:val="-10"/>
          <w:sz w:val="26"/>
          <w:szCs w:val="26"/>
        </w:rPr>
        <w:t xml:space="preserve"> </w:t>
      </w:r>
      <w:r w:rsidRPr="00C67536">
        <w:rPr>
          <w:rFonts w:ascii="Arial" w:hAnsi="Arial" w:cs="Arial"/>
          <w:sz w:val="26"/>
          <w:szCs w:val="26"/>
        </w:rPr>
        <w:t>no</w:t>
      </w:r>
      <w:r w:rsidRPr="00C67536">
        <w:rPr>
          <w:rFonts w:ascii="Arial" w:hAnsi="Arial" w:cs="Arial"/>
          <w:spacing w:val="-7"/>
          <w:sz w:val="26"/>
          <w:szCs w:val="26"/>
        </w:rPr>
        <w:t xml:space="preserve"> </w:t>
      </w:r>
      <w:r w:rsidRPr="00C67536">
        <w:rPr>
          <w:rFonts w:ascii="Arial" w:hAnsi="Arial" w:cs="Arial"/>
          <w:sz w:val="26"/>
          <w:szCs w:val="26"/>
        </w:rPr>
        <w:t>se</w:t>
      </w:r>
      <w:r w:rsidRPr="00C67536">
        <w:rPr>
          <w:rFonts w:ascii="Arial" w:hAnsi="Arial" w:cs="Arial"/>
          <w:spacing w:val="-10"/>
          <w:sz w:val="26"/>
          <w:szCs w:val="26"/>
        </w:rPr>
        <w:t xml:space="preserve"> </w:t>
      </w:r>
      <w:r w:rsidRPr="00C67536">
        <w:rPr>
          <w:rFonts w:ascii="Arial" w:hAnsi="Arial" w:cs="Arial"/>
          <w:sz w:val="26"/>
          <w:szCs w:val="26"/>
        </w:rPr>
        <w:t>realizó</w:t>
      </w:r>
      <w:r w:rsidRPr="00C67536">
        <w:rPr>
          <w:rFonts w:ascii="Arial" w:hAnsi="Arial" w:cs="Arial"/>
          <w:spacing w:val="-10"/>
          <w:sz w:val="26"/>
          <w:szCs w:val="26"/>
        </w:rPr>
        <w:t xml:space="preserve"> </w:t>
      </w:r>
      <w:r w:rsidRPr="00C67536">
        <w:rPr>
          <w:rFonts w:ascii="Arial" w:hAnsi="Arial" w:cs="Arial"/>
          <w:sz w:val="26"/>
          <w:szCs w:val="26"/>
        </w:rPr>
        <w:t>ningún</w:t>
      </w:r>
      <w:r w:rsidRPr="00C67536">
        <w:rPr>
          <w:rFonts w:ascii="Arial" w:hAnsi="Arial" w:cs="Arial"/>
          <w:spacing w:val="-10"/>
          <w:sz w:val="26"/>
          <w:szCs w:val="26"/>
        </w:rPr>
        <w:t xml:space="preserve"> </w:t>
      </w:r>
      <w:r w:rsidRPr="00C67536">
        <w:rPr>
          <w:rFonts w:ascii="Arial" w:hAnsi="Arial" w:cs="Arial"/>
          <w:sz w:val="26"/>
          <w:szCs w:val="26"/>
        </w:rPr>
        <w:t>estudio</w:t>
      </w:r>
      <w:r w:rsidRPr="00C67536">
        <w:rPr>
          <w:rFonts w:ascii="Arial" w:hAnsi="Arial" w:cs="Arial"/>
          <w:spacing w:val="-10"/>
          <w:sz w:val="26"/>
          <w:szCs w:val="26"/>
        </w:rPr>
        <w:t xml:space="preserve"> </w:t>
      </w:r>
      <w:r w:rsidRPr="00C67536">
        <w:rPr>
          <w:rFonts w:ascii="Arial" w:hAnsi="Arial" w:cs="Arial"/>
          <w:sz w:val="26"/>
          <w:szCs w:val="26"/>
        </w:rPr>
        <w:t>o</w:t>
      </w:r>
      <w:r w:rsidRPr="00C67536">
        <w:rPr>
          <w:rFonts w:ascii="Arial" w:hAnsi="Arial" w:cs="Arial"/>
          <w:spacing w:val="-7"/>
          <w:sz w:val="26"/>
          <w:szCs w:val="26"/>
        </w:rPr>
        <w:t xml:space="preserve"> </w:t>
      </w:r>
      <w:r w:rsidRPr="00C67536">
        <w:rPr>
          <w:rFonts w:ascii="Arial" w:hAnsi="Arial" w:cs="Arial"/>
          <w:sz w:val="26"/>
          <w:szCs w:val="26"/>
        </w:rPr>
        <w:t>evaluación</w:t>
      </w:r>
      <w:r w:rsidRPr="00C67536">
        <w:rPr>
          <w:rFonts w:ascii="Arial" w:hAnsi="Arial" w:cs="Arial"/>
          <w:spacing w:val="-10"/>
          <w:sz w:val="26"/>
          <w:szCs w:val="26"/>
        </w:rPr>
        <w:t xml:space="preserve"> </w:t>
      </w:r>
      <w:r w:rsidRPr="00C67536">
        <w:rPr>
          <w:rFonts w:ascii="Arial" w:hAnsi="Arial" w:cs="Arial"/>
          <w:sz w:val="26"/>
          <w:szCs w:val="26"/>
        </w:rPr>
        <w:t>que</w:t>
      </w:r>
      <w:r w:rsidRPr="00C67536">
        <w:rPr>
          <w:rFonts w:ascii="Arial" w:hAnsi="Arial" w:cs="Arial"/>
          <w:spacing w:val="-12"/>
          <w:sz w:val="26"/>
          <w:szCs w:val="26"/>
        </w:rPr>
        <w:t xml:space="preserve"> </w:t>
      </w:r>
      <w:r w:rsidRPr="00C67536">
        <w:rPr>
          <w:rFonts w:ascii="Arial" w:hAnsi="Arial" w:cs="Arial"/>
          <w:sz w:val="26"/>
          <w:szCs w:val="26"/>
        </w:rPr>
        <w:t>respaldara</w:t>
      </w:r>
      <w:r w:rsidRPr="00C67536">
        <w:rPr>
          <w:rFonts w:ascii="Arial" w:hAnsi="Arial" w:cs="Arial"/>
          <w:spacing w:val="-10"/>
          <w:sz w:val="26"/>
          <w:szCs w:val="26"/>
        </w:rPr>
        <w:t xml:space="preserve"> </w:t>
      </w:r>
      <w:r w:rsidRPr="00C67536">
        <w:rPr>
          <w:rFonts w:ascii="Arial" w:hAnsi="Arial" w:cs="Arial"/>
          <w:sz w:val="26"/>
          <w:szCs w:val="26"/>
        </w:rPr>
        <w:t>la elección del etiquetado tipo GDA. Contrariamente, ya existía evidencia del Instituto</w:t>
      </w:r>
      <w:r w:rsidRPr="00C67536">
        <w:rPr>
          <w:rFonts w:ascii="Arial" w:hAnsi="Arial" w:cs="Arial"/>
          <w:spacing w:val="-8"/>
          <w:sz w:val="26"/>
          <w:szCs w:val="26"/>
        </w:rPr>
        <w:t xml:space="preserve"> </w:t>
      </w:r>
      <w:r w:rsidRPr="00C67536">
        <w:rPr>
          <w:rFonts w:ascii="Arial" w:hAnsi="Arial" w:cs="Arial"/>
          <w:sz w:val="26"/>
          <w:szCs w:val="26"/>
        </w:rPr>
        <w:t>Nacional</w:t>
      </w:r>
      <w:r w:rsidRPr="00C67536">
        <w:rPr>
          <w:rFonts w:ascii="Arial" w:hAnsi="Arial" w:cs="Arial"/>
          <w:spacing w:val="-12"/>
          <w:sz w:val="26"/>
          <w:szCs w:val="26"/>
        </w:rPr>
        <w:t xml:space="preserve"> </w:t>
      </w:r>
      <w:r w:rsidRPr="00C67536">
        <w:rPr>
          <w:rFonts w:ascii="Arial" w:hAnsi="Arial" w:cs="Arial"/>
          <w:sz w:val="26"/>
          <w:szCs w:val="26"/>
        </w:rPr>
        <w:t>de</w:t>
      </w:r>
      <w:r w:rsidRPr="00C67536">
        <w:rPr>
          <w:rFonts w:ascii="Arial" w:hAnsi="Arial" w:cs="Arial"/>
          <w:spacing w:val="-8"/>
          <w:sz w:val="26"/>
          <w:szCs w:val="26"/>
        </w:rPr>
        <w:t xml:space="preserve"> </w:t>
      </w:r>
      <w:r w:rsidRPr="00C67536">
        <w:rPr>
          <w:rFonts w:ascii="Arial" w:hAnsi="Arial" w:cs="Arial"/>
          <w:sz w:val="26"/>
          <w:szCs w:val="26"/>
        </w:rPr>
        <w:t>Salud</w:t>
      </w:r>
      <w:r w:rsidRPr="00C67536">
        <w:rPr>
          <w:rFonts w:ascii="Arial" w:hAnsi="Arial" w:cs="Arial"/>
          <w:spacing w:val="-8"/>
          <w:sz w:val="26"/>
          <w:szCs w:val="26"/>
        </w:rPr>
        <w:t xml:space="preserve"> </w:t>
      </w:r>
      <w:r w:rsidRPr="00C67536">
        <w:rPr>
          <w:rFonts w:ascii="Arial" w:hAnsi="Arial" w:cs="Arial"/>
          <w:sz w:val="26"/>
          <w:szCs w:val="26"/>
        </w:rPr>
        <w:t>Pública</w:t>
      </w:r>
      <w:r w:rsidRPr="00C67536">
        <w:rPr>
          <w:rFonts w:ascii="Arial" w:hAnsi="Arial" w:cs="Arial"/>
          <w:spacing w:val="-11"/>
          <w:sz w:val="26"/>
          <w:szCs w:val="26"/>
        </w:rPr>
        <w:t xml:space="preserve"> </w:t>
      </w:r>
      <w:r w:rsidRPr="00C67536">
        <w:rPr>
          <w:rFonts w:ascii="Arial" w:hAnsi="Arial" w:cs="Arial"/>
          <w:sz w:val="26"/>
          <w:szCs w:val="26"/>
        </w:rPr>
        <w:t>que</w:t>
      </w:r>
      <w:r w:rsidRPr="00C67536">
        <w:rPr>
          <w:rFonts w:ascii="Arial" w:hAnsi="Arial" w:cs="Arial"/>
          <w:spacing w:val="-8"/>
          <w:sz w:val="26"/>
          <w:szCs w:val="26"/>
        </w:rPr>
        <w:t xml:space="preserve"> </w:t>
      </w:r>
      <w:r w:rsidRPr="00C67536">
        <w:rPr>
          <w:rFonts w:ascii="Arial" w:hAnsi="Arial" w:cs="Arial"/>
          <w:sz w:val="26"/>
          <w:szCs w:val="26"/>
        </w:rPr>
        <w:t>indicaba</w:t>
      </w:r>
      <w:r w:rsidRPr="00C67536">
        <w:rPr>
          <w:rFonts w:ascii="Arial" w:hAnsi="Arial" w:cs="Arial"/>
          <w:spacing w:val="-8"/>
          <w:sz w:val="26"/>
          <w:szCs w:val="26"/>
        </w:rPr>
        <w:t xml:space="preserve"> </w:t>
      </w:r>
      <w:r w:rsidRPr="00C67536">
        <w:rPr>
          <w:rFonts w:ascii="Arial" w:hAnsi="Arial" w:cs="Arial"/>
          <w:sz w:val="26"/>
          <w:szCs w:val="26"/>
        </w:rPr>
        <w:t>que</w:t>
      </w:r>
      <w:r w:rsidRPr="00C67536">
        <w:rPr>
          <w:rFonts w:ascii="Arial" w:hAnsi="Arial" w:cs="Arial"/>
          <w:spacing w:val="-11"/>
          <w:sz w:val="26"/>
          <w:szCs w:val="26"/>
        </w:rPr>
        <w:t xml:space="preserve"> </w:t>
      </w:r>
      <w:r w:rsidRPr="00C67536">
        <w:rPr>
          <w:rFonts w:ascii="Arial" w:hAnsi="Arial" w:cs="Arial"/>
          <w:sz w:val="26"/>
          <w:szCs w:val="26"/>
        </w:rPr>
        <w:t>únicamente</w:t>
      </w:r>
      <w:r w:rsidRPr="00C67536">
        <w:rPr>
          <w:rFonts w:ascii="Arial" w:hAnsi="Arial" w:cs="Arial"/>
          <w:spacing w:val="-10"/>
          <w:sz w:val="26"/>
          <w:szCs w:val="26"/>
        </w:rPr>
        <w:t xml:space="preserve"> </w:t>
      </w:r>
      <w:r w:rsidRPr="00C67536">
        <w:rPr>
          <w:rFonts w:ascii="Arial" w:hAnsi="Arial" w:cs="Arial"/>
          <w:sz w:val="26"/>
          <w:szCs w:val="26"/>
        </w:rPr>
        <w:t>el</w:t>
      </w:r>
      <w:r w:rsidRPr="00C67536">
        <w:rPr>
          <w:rFonts w:ascii="Arial" w:hAnsi="Arial" w:cs="Arial"/>
          <w:spacing w:val="-11"/>
          <w:sz w:val="26"/>
          <w:szCs w:val="26"/>
        </w:rPr>
        <w:t xml:space="preserve"> </w:t>
      </w:r>
      <w:r w:rsidRPr="00C67536">
        <w:rPr>
          <w:rFonts w:ascii="Arial" w:hAnsi="Arial" w:cs="Arial"/>
          <w:sz w:val="26"/>
          <w:szCs w:val="26"/>
        </w:rPr>
        <w:t>1.8</w:t>
      </w:r>
      <w:r w:rsidRPr="00C67536">
        <w:rPr>
          <w:rFonts w:ascii="Arial" w:hAnsi="Arial" w:cs="Arial"/>
          <w:spacing w:val="-10"/>
          <w:sz w:val="26"/>
          <w:szCs w:val="26"/>
        </w:rPr>
        <w:t xml:space="preserve"> </w:t>
      </w:r>
      <w:r w:rsidRPr="00C67536">
        <w:rPr>
          <w:rFonts w:ascii="Arial" w:hAnsi="Arial" w:cs="Arial"/>
          <w:sz w:val="26"/>
          <w:szCs w:val="26"/>
        </w:rPr>
        <w:t>por</w:t>
      </w:r>
      <w:r w:rsidRPr="00C67536">
        <w:rPr>
          <w:rFonts w:ascii="Arial" w:hAnsi="Arial" w:cs="Arial"/>
          <w:spacing w:val="-10"/>
          <w:sz w:val="26"/>
          <w:szCs w:val="26"/>
        </w:rPr>
        <w:t xml:space="preserve"> </w:t>
      </w:r>
      <w:r w:rsidRPr="00C67536">
        <w:rPr>
          <w:rFonts w:ascii="Arial" w:hAnsi="Arial" w:cs="Arial"/>
          <w:sz w:val="26"/>
          <w:szCs w:val="26"/>
        </w:rPr>
        <w:t>ciento de</w:t>
      </w:r>
      <w:r w:rsidRPr="00C67536">
        <w:rPr>
          <w:rFonts w:ascii="Arial" w:hAnsi="Arial" w:cs="Arial"/>
          <w:spacing w:val="-8"/>
          <w:sz w:val="26"/>
          <w:szCs w:val="26"/>
        </w:rPr>
        <w:t xml:space="preserve"> </w:t>
      </w:r>
      <w:r w:rsidRPr="00C67536">
        <w:rPr>
          <w:rFonts w:ascii="Arial" w:hAnsi="Arial" w:cs="Arial"/>
          <w:sz w:val="26"/>
          <w:szCs w:val="26"/>
        </w:rPr>
        <w:t>los</w:t>
      </w:r>
      <w:r w:rsidRPr="00C67536">
        <w:rPr>
          <w:rFonts w:ascii="Arial" w:hAnsi="Arial" w:cs="Arial"/>
          <w:spacing w:val="-8"/>
          <w:sz w:val="26"/>
          <w:szCs w:val="26"/>
        </w:rPr>
        <w:t xml:space="preserve"> </w:t>
      </w:r>
      <w:r w:rsidRPr="00C67536">
        <w:rPr>
          <w:rFonts w:ascii="Arial" w:hAnsi="Arial" w:cs="Arial"/>
          <w:sz w:val="26"/>
          <w:szCs w:val="26"/>
        </w:rPr>
        <w:t>estudiantes</w:t>
      </w:r>
      <w:r w:rsidRPr="00C67536">
        <w:rPr>
          <w:rFonts w:ascii="Arial" w:hAnsi="Arial" w:cs="Arial"/>
          <w:spacing w:val="-11"/>
          <w:sz w:val="26"/>
          <w:szCs w:val="26"/>
        </w:rPr>
        <w:t xml:space="preserve"> </w:t>
      </w:r>
      <w:r w:rsidRPr="00C67536">
        <w:rPr>
          <w:rFonts w:ascii="Arial" w:hAnsi="Arial" w:cs="Arial"/>
          <w:sz w:val="26"/>
          <w:szCs w:val="26"/>
        </w:rPr>
        <w:t>de</w:t>
      </w:r>
      <w:r w:rsidRPr="00C67536">
        <w:rPr>
          <w:rFonts w:ascii="Arial" w:hAnsi="Arial" w:cs="Arial"/>
          <w:spacing w:val="-8"/>
          <w:sz w:val="26"/>
          <w:szCs w:val="26"/>
        </w:rPr>
        <w:t xml:space="preserve"> </w:t>
      </w:r>
      <w:r w:rsidRPr="00C67536">
        <w:rPr>
          <w:rFonts w:ascii="Arial" w:hAnsi="Arial" w:cs="Arial"/>
          <w:sz w:val="26"/>
          <w:szCs w:val="26"/>
        </w:rPr>
        <w:t>la</w:t>
      </w:r>
      <w:r w:rsidRPr="00C67536">
        <w:rPr>
          <w:rFonts w:ascii="Arial" w:hAnsi="Arial" w:cs="Arial"/>
          <w:spacing w:val="-7"/>
          <w:sz w:val="26"/>
          <w:szCs w:val="26"/>
        </w:rPr>
        <w:t xml:space="preserve"> </w:t>
      </w:r>
      <w:r w:rsidRPr="00C67536">
        <w:rPr>
          <w:rFonts w:ascii="Arial" w:hAnsi="Arial" w:cs="Arial"/>
          <w:sz w:val="26"/>
          <w:szCs w:val="26"/>
        </w:rPr>
        <w:t>carrera</w:t>
      </w:r>
      <w:r w:rsidRPr="00C67536">
        <w:rPr>
          <w:rFonts w:ascii="Arial" w:hAnsi="Arial" w:cs="Arial"/>
          <w:spacing w:val="-8"/>
          <w:sz w:val="26"/>
          <w:szCs w:val="26"/>
        </w:rPr>
        <w:t xml:space="preserve"> </w:t>
      </w:r>
      <w:r w:rsidRPr="00C67536">
        <w:rPr>
          <w:rFonts w:ascii="Arial" w:hAnsi="Arial" w:cs="Arial"/>
          <w:sz w:val="26"/>
          <w:szCs w:val="26"/>
        </w:rPr>
        <w:t>de</w:t>
      </w:r>
      <w:r w:rsidRPr="00C67536">
        <w:rPr>
          <w:rFonts w:ascii="Arial" w:hAnsi="Arial" w:cs="Arial"/>
          <w:spacing w:val="-11"/>
          <w:sz w:val="26"/>
          <w:szCs w:val="26"/>
        </w:rPr>
        <w:t xml:space="preserve"> </w:t>
      </w:r>
      <w:r w:rsidRPr="00C67536">
        <w:rPr>
          <w:rFonts w:ascii="Arial" w:hAnsi="Arial" w:cs="Arial"/>
          <w:sz w:val="26"/>
          <w:szCs w:val="26"/>
        </w:rPr>
        <w:t>nutrición</w:t>
      </w:r>
      <w:r w:rsidRPr="00C67536">
        <w:rPr>
          <w:rFonts w:ascii="Arial" w:hAnsi="Arial" w:cs="Arial"/>
          <w:spacing w:val="-9"/>
          <w:sz w:val="26"/>
          <w:szCs w:val="26"/>
        </w:rPr>
        <w:t xml:space="preserve"> </w:t>
      </w:r>
      <w:r w:rsidRPr="00C67536">
        <w:rPr>
          <w:rFonts w:ascii="Arial" w:hAnsi="Arial" w:cs="Arial"/>
          <w:sz w:val="26"/>
          <w:szCs w:val="26"/>
        </w:rPr>
        <w:t>tuvo</w:t>
      </w:r>
      <w:r w:rsidRPr="00C67536">
        <w:rPr>
          <w:rFonts w:ascii="Arial" w:hAnsi="Arial" w:cs="Arial"/>
          <w:spacing w:val="-7"/>
          <w:sz w:val="26"/>
          <w:szCs w:val="26"/>
        </w:rPr>
        <w:t xml:space="preserve"> </w:t>
      </w:r>
      <w:r w:rsidRPr="00C67536">
        <w:rPr>
          <w:rFonts w:ascii="Arial" w:hAnsi="Arial" w:cs="Arial"/>
          <w:sz w:val="26"/>
          <w:szCs w:val="26"/>
        </w:rPr>
        <w:t>una</w:t>
      </w:r>
      <w:r w:rsidRPr="00C67536">
        <w:rPr>
          <w:rFonts w:ascii="Arial" w:hAnsi="Arial" w:cs="Arial"/>
          <w:spacing w:val="-8"/>
          <w:sz w:val="26"/>
          <w:szCs w:val="26"/>
        </w:rPr>
        <w:t xml:space="preserve"> </w:t>
      </w:r>
      <w:r w:rsidRPr="00C67536">
        <w:rPr>
          <w:rFonts w:ascii="Arial" w:hAnsi="Arial" w:cs="Arial"/>
          <w:sz w:val="26"/>
          <w:szCs w:val="26"/>
        </w:rPr>
        <w:t>interpretación</w:t>
      </w:r>
      <w:r w:rsidRPr="00C67536">
        <w:rPr>
          <w:rFonts w:ascii="Arial" w:hAnsi="Arial" w:cs="Arial"/>
          <w:spacing w:val="-10"/>
          <w:sz w:val="26"/>
          <w:szCs w:val="26"/>
        </w:rPr>
        <w:t xml:space="preserve"> </w:t>
      </w:r>
      <w:r w:rsidRPr="00C67536">
        <w:rPr>
          <w:rFonts w:ascii="Arial" w:hAnsi="Arial" w:cs="Arial"/>
          <w:sz w:val="26"/>
          <w:szCs w:val="26"/>
        </w:rPr>
        <w:t>correcta</w:t>
      </w:r>
      <w:r w:rsidRPr="00C67536">
        <w:rPr>
          <w:rFonts w:ascii="Arial" w:hAnsi="Arial" w:cs="Arial"/>
          <w:spacing w:val="-7"/>
          <w:sz w:val="26"/>
          <w:szCs w:val="26"/>
        </w:rPr>
        <w:t xml:space="preserve"> </w:t>
      </w:r>
      <w:r w:rsidRPr="00C67536">
        <w:rPr>
          <w:rFonts w:ascii="Arial" w:hAnsi="Arial" w:cs="Arial"/>
          <w:sz w:val="26"/>
          <w:szCs w:val="26"/>
        </w:rPr>
        <w:t>de</w:t>
      </w:r>
      <w:r w:rsidRPr="00C67536">
        <w:rPr>
          <w:rFonts w:ascii="Arial" w:hAnsi="Arial" w:cs="Arial"/>
          <w:spacing w:val="-7"/>
          <w:sz w:val="26"/>
          <w:szCs w:val="26"/>
        </w:rPr>
        <w:t xml:space="preserve"> </w:t>
      </w:r>
      <w:r w:rsidRPr="00C67536">
        <w:rPr>
          <w:rFonts w:ascii="Arial" w:hAnsi="Arial" w:cs="Arial"/>
          <w:sz w:val="26"/>
          <w:szCs w:val="26"/>
        </w:rPr>
        <w:t>la información presentada en este formato</w:t>
      </w:r>
      <w:r w:rsidRPr="00C67536">
        <w:rPr>
          <w:rFonts w:ascii="Arial" w:hAnsi="Arial" w:cs="Arial"/>
          <w:spacing w:val="-5"/>
          <w:sz w:val="26"/>
          <w:szCs w:val="26"/>
        </w:rPr>
        <w:t xml:space="preserve"> </w:t>
      </w:r>
      <w:r w:rsidRPr="00C67536">
        <w:rPr>
          <w:rFonts w:ascii="Arial" w:hAnsi="Arial" w:cs="Arial"/>
          <w:sz w:val="26"/>
          <w:szCs w:val="26"/>
        </w:rPr>
        <w:t>GDA.</w:t>
      </w:r>
    </w:p>
    <w:p w14:paraId="59E0929B" w14:textId="77777777" w:rsidR="00D03349" w:rsidRPr="00C67536" w:rsidRDefault="00D03349" w:rsidP="00B144AE">
      <w:pPr>
        <w:pStyle w:val="ListParagraph"/>
        <w:widowControl w:val="0"/>
        <w:numPr>
          <w:ilvl w:val="0"/>
          <w:numId w:val="13"/>
        </w:numPr>
        <w:tabs>
          <w:tab w:val="left" w:pos="728"/>
        </w:tabs>
        <w:autoSpaceDE w:val="0"/>
        <w:autoSpaceDN w:val="0"/>
        <w:spacing w:before="1"/>
        <w:ind w:left="567" w:right="567" w:firstLine="0"/>
        <w:jc w:val="both"/>
        <w:rPr>
          <w:rFonts w:ascii="Arial" w:hAnsi="Arial" w:cs="Arial"/>
          <w:sz w:val="26"/>
          <w:szCs w:val="26"/>
        </w:rPr>
      </w:pPr>
      <w:r w:rsidRPr="00C67536">
        <w:rPr>
          <w:rFonts w:ascii="Arial" w:hAnsi="Arial" w:cs="Arial"/>
          <w:sz w:val="26"/>
          <w:szCs w:val="26"/>
        </w:rPr>
        <w:t>Utiliza un formato y conceptos incomprensibles. Existen estudios que concluyen</w:t>
      </w:r>
      <w:r w:rsidRPr="00C67536">
        <w:rPr>
          <w:rFonts w:ascii="Arial" w:hAnsi="Arial" w:cs="Arial"/>
          <w:spacing w:val="-17"/>
          <w:sz w:val="26"/>
          <w:szCs w:val="26"/>
        </w:rPr>
        <w:t xml:space="preserve"> </w:t>
      </w:r>
      <w:r w:rsidRPr="00C67536">
        <w:rPr>
          <w:rFonts w:ascii="Arial" w:hAnsi="Arial" w:cs="Arial"/>
          <w:sz w:val="26"/>
          <w:szCs w:val="26"/>
        </w:rPr>
        <w:t>que</w:t>
      </w:r>
      <w:r w:rsidRPr="00C67536">
        <w:rPr>
          <w:rFonts w:ascii="Arial" w:hAnsi="Arial" w:cs="Arial"/>
          <w:spacing w:val="-15"/>
          <w:sz w:val="26"/>
          <w:szCs w:val="26"/>
        </w:rPr>
        <w:t xml:space="preserve"> </w:t>
      </w:r>
      <w:r w:rsidRPr="00C67536">
        <w:rPr>
          <w:rFonts w:ascii="Arial" w:hAnsi="Arial" w:cs="Arial"/>
          <w:sz w:val="26"/>
          <w:szCs w:val="26"/>
        </w:rPr>
        <w:t>las</w:t>
      </w:r>
      <w:r w:rsidRPr="00C67536">
        <w:rPr>
          <w:rFonts w:ascii="Arial" w:hAnsi="Arial" w:cs="Arial"/>
          <w:spacing w:val="-16"/>
          <w:sz w:val="26"/>
          <w:szCs w:val="26"/>
        </w:rPr>
        <w:t xml:space="preserve"> </w:t>
      </w:r>
      <w:r w:rsidRPr="00C67536">
        <w:rPr>
          <w:rFonts w:ascii="Arial" w:hAnsi="Arial" w:cs="Arial"/>
          <w:sz w:val="26"/>
          <w:szCs w:val="26"/>
        </w:rPr>
        <w:t>personas</w:t>
      </w:r>
      <w:r w:rsidRPr="00C67536">
        <w:rPr>
          <w:rFonts w:ascii="Arial" w:hAnsi="Arial" w:cs="Arial"/>
          <w:spacing w:val="-16"/>
          <w:sz w:val="26"/>
          <w:szCs w:val="26"/>
        </w:rPr>
        <w:t xml:space="preserve"> </w:t>
      </w:r>
      <w:r w:rsidRPr="00C67536">
        <w:rPr>
          <w:rFonts w:ascii="Arial" w:hAnsi="Arial" w:cs="Arial"/>
          <w:sz w:val="26"/>
          <w:szCs w:val="26"/>
        </w:rPr>
        <w:t>prefieren</w:t>
      </w:r>
      <w:r w:rsidRPr="00C67536">
        <w:rPr>
          <w:rFonts w:ascii="Arial" w:hAnsi="Arial" w:cs="Arial"/>
          <w:spacing w:val="-15"/>
          <w:sz w:val="26"/>
          <w:szCs w:val="26"/>
        </w:rPr>
        <w:t xml:space="preserve"> </w:t>
      </w:r>
      <w:r w:rsidRPr="00C67536">
        <w:rPr>
          <w:rFonts w:ascii="Arial" w:hAnsi="Arial" w:cs="Arial"/>
          <w:sz w:val="26"/>
          <w:szCs w:val="26"/>
        </w:rPr>
        <w:t>el</w:t>
      </w:r>
      <w:r w:rsidRPr="00C67536">
        <w:rPr>
          <w:rFonts w:ascii="Arial" w:hAnsi="Arial" w:cs="Arial"/>
          <w:spacing w:val="-17"/>
          <w:sz w:val="26"/>
          <w:szCs w:val="26"/>
        </w:rPr>
        <w:t xml:space="preserve"> </w:t>
      </w:r>
      <w:r w:rsidRPr="00C67536">
        <w:rPr>
          <w:rFonts w:ascii="Arial" w:hAnsi="Arial" w:cs="Arial"/>
          <w:sz w:val="26"/>
          <w:szCs w:val="26"/>
        </w:rPr>
        <w:t>etiquetado</w:t>
      </w:r>
      <w:r w:rsidRPr="00C67536">
        <w:rPr>
          <w:rFonts w:ascii="Arial" w:hAnsi="Arial" w:cs="Arial"/>
          <w:spacing w:val="-16"/>
          <w:sz w:val="26"/>
          <w:szCs w:val="26"/>
        </w:rPr>
        <w:t xml:space="preserve"> </w:t>
      </w:r>
      <w:r w:rsidRPr="00C67536">
        <w:rPr>
          <w:rFonts w:ascii="Arial" w:hAnsi="Arial" w:cs="Arial"/>
          <w:sz w:val="26"/>
          <w:szCs w:val="26"/>
        </w:rPr>
        <w:t>tipo</w:t>
      </w:r>
      <w:r w:rsidRPr="00C67536">
        <w:rPr>
          <w:rFonts w:ascii="Arial" w:hAnsi="Arial" w:cs="Arial"/>
          <w:spacing w:val="-15"/>
          <w:sz w:val="26"/>
          <w:szCs w:val="26"/>
        </w:rPr>
        <w:t xml:space="preserve"> </w:t>
      </w:r>
      <w:r w:rsidRPr="00C67536">
        <w:rPr>
          <w:rFonts w:ascii="Arial" w:hAnsi="Arial" w:cs="Arial"/>
          <w:sz w:val="26"/>
          <w:szCs w:val="26"/>
        </w:rPr>
        <w:t>GDA</w:t>
      </w:r>
      <w:r w:rsidRPr="00C67536">
        <w:rPr>
          <w:rFonts w:ascii="Arial" w:hAnsi="Arial" w:cs="Arial"/>
          <w:spacing w:val="-16"/>
          <w:sz w:val="26"/>
          <w:szCs w:val="26"/>
        </w:rPr>
        <w:t xml:space="preserve"> </w:t>
      </w:r>
      <w:r w:rsidRPr="00C67536">
        <w:rPr>
          <w:rFonts w:ascii="Arial" w:hAnsi="Arial" w:cs="Arial"/>
          <w:sz w:val="26"/>
          <w:szCs w:val="26"/>
        </w:rPr>
        <w:t>porque</w:t>
      </w:r>
      <w:r w:rsidRPr="00C67536">
        <w:rPr>
          <w:rFonts w:ascii="Arial" w:hAnsi="Arial" w:cs="Arial"/>
          <w:spacing w:val="-15"/>
          <w:sz w:val="26"/>
          <w:szCs w:val="26"/>
        </w:rPr>
        <w:t xml:space="preserve"> </w:t>
      </w:r>
      <w:r w:rsidRPr="00C67536">
        <w:rPr>
          <w:rFonts w:ascii="Arial" w:hAnsi="Arial" w:cs="Arial"/>
          <w:sz w:val="26"/>
          <w:szCs w:val="26"/>
        </w:rPr>
        <w:t>perciben</w:t>
      </w:r>
      <w:r w:rsidRPr="00C67536">
        <w:rPr>
          <w:rFonts w:ascii="Arial" w:hAnsi="Arial" w:cs="Arial"/>
          <w:spacing w:val="-16"/>
          <w:sz w:val="26"/>
          <w:szCs w:val="26"/>
        </w:rPr>
        <w:t xml:space="preserve"> </w:t>
      </w:r>
      <w:r w:rsidRPr="00C67536">
        <w:rPr>
          <w:rFonts w:ascii="Arial" w:hAnsi="Arial" w:cs="Arial"/>
          <w:sz w:val="26"/>
          <w:szCs w:val="26"/>
        </w:rPr>
        <w:t>que tienen más información, sin embargo, no saben interpretarla. Además, la regulación adoptó términos engañosos e incomprensibles para el consumidor como “azúcares totales” y “otras grasas” en lugar de “azúcares añadidos” y “grasas</w:t>
      </w:r>
      <w:r w:rsidRPr="00C67536">
        <w:rPr>
          <w:rFonts w:ascii="Arial" w:hAnsi="Arial" w:cs="Arial"/>
          <w:spacing w:val="-1"/>
          <w:sz w:val="26"/>
          <w:szCs w:val="26"/>
        </w:rPr>
        <w:t xml:space="preserve"> </w:t>
      </w:r>
      <w:r w:rsidRPr="00C67536">
        <w:rPr>
          <w:rFonts w:ascii="Arial" w:hAnsi="Arial" w:cs="Arial"/>
          <w:sz w:val="26"/>
          <w:szCs w:val="26"/>
        </w:rPr>
        <w:t>totales”.</w:t>
      </w:r>
    </w:p>
    <w:p w14:paraId="17652232" w14:textId="3E967A4B" w:rsidR="00D03349" w:rsidRPr="00C67536" w:rsidRDefault="000114A2" w:rsidP="00B144AE">
      <w:pPr>
        <w:pStyle w:val="ListParagraph"/>
        <w:widowControl w:val="0"/>
        <w:numPr>
          <w:ilvl w:val="0"/>
          <w:numId w:val="13"/>
        </w:numPr>
        <w:tabs>
          <w:tab w:val="left" w:pos="688"/>
        </w:tabs>
        <w:autoSpaceDE w:val="0"/>
        <w:autoSpaceDN w:val="0"/>
        <w:ind w:left="567" w:right="567" w:firstLine="0"/>
        <w:jc w:val="both"/>
        <w:rPr>
          <w:rFonts w:ascii="Arial" w:hAnsi="Arial" w:cs="Arial"/>
          <w:sz w:val="26"/>
          <w:szCs w:val="26"/>
        </w:rPr>
      </w:pPr>
      <w:r>
        <w:rPr>
          <w:rFonts w:ascii="Arial" w:hAnsi="Arial" w:cs="Arial"/>
          <w:sz w:val="26"/>
          <w:szCs w:val="26"/>
        </w:rPr>
        <w:t xml:space="preserve"> </w:t>
      </w:r>
      <w:r w:rsidR="00D03349" w:rsidRPr="00C67536">
        <w:rPr>
          <w:rFonts w:ascii="Arial" w:hAnsi="Arial" w:cs="Arial"/>
          <w:sz w:val="26"/>
          <w:szCs w:val="26"/>
        </w:rPr>
        <w:t>Utiliza un valor de referencia de azúcares que induce un alto consumo. Inicialmente la Estrategia Nacional para la Prevención y Control del Sobrepeso, Obesidad y Diabetes, consideró utilizar el concepto de “azúcares agregados” y tomar</w:t>
      </w:r>
      <w:r w:rsidR="00D03349" w:rsidRPr="00C67536">
        <w:rPr>
          <w:rFonts w:ascii="Arial" w:hAnsi="Arial" w:cs="Arial"/>
          <w:spacing w:val="-5"/>
          <w:sz w:val="26"/>
          <w:szCs w:val="26"/>
        </w:rPr>
        <w:t xml:space="preserve"> </w:t>
      </w:r>
      <w:r w:rsidR="00D03349" w:rsidRPr="00C67536">
        <w:rPr>
          <w:rFonts w:ascii="Arial" w:hAnsi="Arial" w:cs="Arial"/>
          <w:sz w:val="26"/>
          <w:szCs w:val="26"/>
        </w:rPr>
        <w:t>como</w:t>
      </w:r>
      <w:r w:rsidR="00D03349" w:rsidRPr="00C67536">
        <w:rPr>
          <w:rFonts w:ascii="Arial" w:hAnsi="Arial" w:cs="Arial"/>
          <w:spacing w:val="-3"/>
          <w:sz w:val="26"/>
          <w:szCs w:val="26"/>
        </w:rPr>
        <w:t xml:space="preserve"> </w:t>
      </w:r>
      <w:r w:rsidR="00D03349" w:rsidRPr="00C67536">
        <w:rPr>
          <w:rFonts w:ascii="Arial" w:hAnsi="Arial" w:cs="Arial"/>
          <w:sz w:val="26"/>
          <w:szCs w:val="26"/>
        </w:rPr>
        <w:t>referencia</w:t>
      </w:r>
      <w:r w:rsidR="00D03349" w:rsidRPr="00C67536">
        <w:rPr>
          <w:rFonts w:ascii="Arial" w:hAnsi="Arial" w:cs="Arial"/>
          <w:spacing w:val="-5"/>
          <w:sz w:val="26"/>
          <w:szCs w:val="26"/>
        </w:rPr>
        <w:t xml:space="preserve"> </w:t>
      </w:r>
      <w:r w:rsidR="00D03349" w:rsidRPr="00C67536">
        <w:rPr>
          <w:rFonts w:ascii="Arial" w:hAnsi="Arial" w:cs="Arial"/>
          <w:sz w:val="26"/>
          <w:szCs w:val="26"/>
        </w:rPr>
        <w:t>un</w:t>
      </w:r>
      <w:r w:rsidR="00D03349" w:rsidRPr="00C67536">
        <w:rPr>
          <w:rFonts w:ascii="Arial" w:hAnsi="Arial" w:cs="Arial"/>
          <w:spacing w:val="-4"/>
          <w:sz w:val="26"/>
          <w:szCs w:val="26"/>
        </w:rPr>
        <w:t xml:space="preserve"> </w:t>
      </w:r>
      <w:r w:rsidR="00D03349" w:rsidRPr="00C67536">
        <w:rPr>
          <w:rFonts w:ascii="Arial" w:hAnsi="Arial" w:cs="Arial"/>
          <w:sz w:val="26"/>
          <w:szCs w:val="26"/>
        </w:rPr>
        <w:t>valor</w:t>
      </w:r>
      <w:r w:rsidR="00D03349" w:rsidRPr="00C67536">
        <w:rPr>
          <w:rFonts w:ascii="Arial" w:hAnsi="Arial" w:cs="Arial"/>
          <w:spacing w:val="-4"/>
          <w:sz w:val="26"/>
          <w:szCs w:val="26"/>
        </w:rPr>
        <w:t xml:space="preserve"> </w:t>
      </w:r>
      <w:r w:rsidR="00D03349" w:rsidRPr="00C67536">
        <w:rPr>
          <w:rFonts w:ascii="Arial" w:hAnsi="Arial" w:cs="Arial"/>
          <w:sz w:val="26"/>
          <w:szCs w:val="26"/>
        </w:rPr>
        <w:t>de</w:t>
      </w:r>
      <w:r w:rsidR="00D03349" w:rsidRPr="00C67536">
        <w:rPr>
          <w:rFonts w:ascii="Arial" w:hAnsi="Arial" w:cs="Arial"/>
          <w:spacing w:val="-5"/>
          <w:sz w:val="26"/>
          <w:szCs w:val="26"/>
        </w:rPr>
        <w:t xml:space="preserve"> </w:t>
      </w:r>
      <w:r w:rsidR="00D03349" w:rsidRPr="00C67536">
        <w:rPr>
          <w:rFonts w:ascii="Arial" w:hAnsi="Arial" w:cs="Arial"/>
          <w:sz w:val="26"/>
          <w:szCs w:val="26"/>
        </w:rPr>
        <w:t>200</w:t>
      </w:r>
      <w:r w:rsidR="00D03349" w:rsidRPr="00C67536">
        <w:rPr>
          <w:rFonts w:ascii="Arial" w:hAnsi="Arial" w:cs="Arial"/>
          <w:spacing w:val="-3"/>
          <w:sz w:val="26"/>
          <w:szCs w:val="26"/>
        </w:rPr>
        <w:t xml:space="preserve"> </w:t>
      </w:r>
      <w:r w:rsidR="00D03349" w:rsidRPr="00C67536">
        <w:rPr>
          <w:rFonts w:ascii="Arial" w:hAnsi="Arial" w:cs="Arial"/>
          <w:sz w:val="26"/>
          <w:szCs w:val="26"/>
        </w:rPr>
        <w:t>kcal</w:t>
      </w:r>
      <w:r w:rsidR="00D03349" w:rsidRPr="00C67536">
        <w:rPr>
          <w:rFonts w:ascii="Arial" w:hAnsi="Arial" w:cs="Arial"/>
          <w:spacing w:val="-5"/>
          <w:sz w:val="26"/>
          <w:szCs w:val="26"/>
        </w:rPr>
        <w:t xml:space="preserve"> </w:t>
      </w:r>
      <w:r w:rsidR="00D03349" w:rsidRPr="00C67536">
        <w:rPr>
          <w:rFonts w:ascii="Arial" w:hAnsi="Arial" w:cs="Arial"/>
          <w:sz w:val="26"/>
          <w:szCs w:val="26"/>
        </w:rPr>
        <w:t>equivalentes</w:t>
      </w:r>
      <w:r w:rsidR="00D03349" w:rsidRPr="00C67536">
        <w:rPr>
          <w:rFonts w:ascii="Arial" w:hAnsi="Arial" w:cs="Arial"/>
          <w:spacing w:val="-3"/>
          <w:sz w:val="26"/>
          <w:szCs w:val="26"/>
        </w:rPr>
        <w:t xml:space="preserve"> </w:t>
      </w:r>
      <w:r w:rsidR="00D03349" w:rsidRPr="00C67536">
        <w:rPr>
          <w:rFonts w:ascii="Arial" w:hAnsi="Arial" w:cs="Arial"/>
          <w:sz w:val="26"/>
          <w:szCs w:val="26"/>
        </w:rPr>
        <w:t>a</w:t>
      </w:r>
      <w:r w:rsidR="00D03349" w:rsidRPr="00C67536">
        <w:rPr>
          <w:rFonts w:ascii="Arial" w:hAnsi="Arial" w:cs="Arial"/>
          <w:spacing w:val="-5"/>
          <w:sz w:val="26"/>
          <w:szCs w:val="26"/>
        </w:rPr>
        <w:t xml:space="preserve"> </w:t>
      </w:r>
      <w:r w:rsidR="00D03349" w:rsidRPr="00C67536">
        <w:rPr>
          <w:rFonts w:ascii="Arial" w:hAnsi="Arial" w:cs="Arial"/>
          <w:sz w:val="26"/>
          <w:szCs w:val="26"/>
        </w:rPr>
        <w:t>50</w:t>
      </w:r>
      <w:r w:rsidR="00D03349" w:rsidRPr="00C67536">
        <w:rPr>
          <w:rFonts w:ascii="Arial" w:hAnsi="Arial" w:cs="Arial"/>
          <w:spacing w:val="-4"/>
          <w:sz w:val="26"/>
          <w:szCs w:val="26"/>
        </w:rPr>
        <w:t xml:space="preserve"> </w:t>
      </w:r>
      <w:r w:rsidR="00D03349" w:rsidRPr="00C67536">
        <w:rPr>
          <w:rFonts w:ascii="Arial" w:hAnsi="Arial" w:cs="Arial"/>
          <w:sz w:val="26"/>
          <w:szCs w:val="26"/>
        </w:rPr>
        <w:t>gramos</w:t>
      </w:r>
      <w:r w:rsidR="00D03349" w:rsidRPr="00C67536">
        <w:rPr>
          <w:rFonts w:ascii="Arial" w:hAnsi="Arial" w:cs="Arial"/>
          <w:spacing w:val="-3"/>
          <w:sz w:val="26"/>
          <w:szCs w:val="26"/>
        </w:rPr>
        <w:t xml:space="preserve"> </w:t>
      </w:r>
      <w:r w:rsidR="00D03349" w:rsidRPr="00C67536">
        <w:rPr>
          <w:rFonts w:ascii="Arial" w:hAnsi="Arial" w:cs="Arial"/>
          <w:sz w:val="26"/>
          <w:szCs w:val="26"/>
        </w:rPr>
        <w:t>de</w:t>
      </w:r>
      <w:r w:rsidR="00D03349" w:rsidRPr="00C67536">
        <w:rPr>
          <w:rFonts w:ascii="Arial" w:hAnsi="Arial" w:cs="Arial"/>
          <w:spacing w:val="-3"/>
          <w:sz w:val="26"/>
          <w:szCs w:val="26"/>
        </w:rPr>
        <w:t xml:space="preserve"> </w:t>
      </w:r>
      <w:r w:rsidR="00D03349" w:rsidRPr="00C67536">
        <w:rPr>
          <w:rFonts w:ascii="Arial" w:hAnsi="Arial" w:cs="Arial"/>
          <w:sz w:val="26"/>
          <w:szCs w:val="26"/>
        </w:rPr>
        <w:t>azúcar, tal y como lo recomienda la Organización Mundial de la Salud (OMS). Sin embargo, tras su publicación en Diario Oficial de la Federación se modificó y se utilizó el concepto de “azúcares totales”, permitiendo que se tome un valor de referencia de 360 kcal equivalentes a 90 gramos de</w:t>
      </w:r>
      <w:r w:rsidR="00D03349" w:rsidRPr="00C67536">
        <w:rPr>
          <w:rFonts w:ascii="Arial" w:hAnsi="Arial" w:cs="Arial"/>
          <w:spacing w:val="-16"/>
          <w:sz w:val="26"/>
          <w:szCs w:val="26"/>
        </w:rPr>
        <w:t xml:space="preserve"> </w:t>
      </w:r>
      <w:r w:rsidR="00D03349" w:rsidRPr="00C67536">
        <w:rPr>
          <w:rFonts w:ascii="Arial" w:hAnsi="Arial" w:cs="Arial"/>
          <w:sz w:val="26"/>
          <w:szCs w:val="26"/>
        </w:rPr>
        <w:t>azúcar.</w:t>
      </w:r>
    </w:p>
    <w:p w14:paraId="1DDDA27F"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A finales de 2014, la Organización Panamericana de la Salud (OPS) en su Plan de Acción para la prevención de la obesidad en la niñez y la adolescencia, aprobado por</w:t>
      </w:r>
      <w:r w:rsidRPr="00C67536">
        <w:rPr>
          <w:rFonts w:ascii="Arial" w:hAnsi="Arial" w:cs="Arial"/>
          <w:spacing w:val="-17"/>
          <w:sz w:val="26"/>
          <w:szCs w:val="26"/>
        </w:rPr>
        <w:t xml:space="preserve"> </w:t>
      </w:r>
      <w:r w:rsidRPr="00C67536">
        <w:rPr>
          <w:rFonts w:ascii="Arial" w:hAnsi="Arial" w:cs="Arial"/>
          <w:sz w:val="26"/>
          <w:szCs w:val="26"/>
        </w:rPr>
        <w:t>los</w:t>
      </w:r>
      <w:r w:rsidRPr="00C67536">
        <w:rPr>
          <w:rFonts w:ascii="Arial" w:hAnsi="Arial" w:cs="Arial"/>
          <w:spacing w:val="-16"/>
          <w:sz w:val="26"/>
          <w:szCs w:val="26"/>
        </w:rPr>
        <w:t xml:space="preserve"> </w:t>
      </w:r>
      <w:r w:rsidRPr="00C67536">
        <w:rPr>
          <w:rFonts w:ascii="Arial" w:hAnsi="Arial" w:cs="Arial"/>
          <w:sz w:val="26"/>
          <w:szCs w:val="26"/>
        </w:rPr>
        <w:t>países</w:t>
      </w:r>
      <w:r w:rsidRPr="00C67536">
        <w:rPr>
          <w:rFonts w:ascii="Arial" w:hAnsi="Arial" w:cs="Arial"/>
          <w:spacing w:val="-19"/>
          <w:sz w:val="26"/>
          <w:szCs w:val="26"/>
        </w:rPr>
        <w:t xml:space="preserve"> </w:t>
      </w:r>
      <w:r w:rsidRPr="00C67536">
        <w:rPr>
          <w:rFonts w:ascii="Arial" w:hAnsi="Arial" w:cs="Arial"/>
          <w:sz w:val="26"/>
          <w:szCs w:val="26"/>
        </w:rPr>
        <w:t>miembros</w:t>
      </w:r>
      <w:r w:rsidRPr="00C67536">
        <w:rPr>
          <w:rFonts w:ascii="Arial" w:hAnsi="Arial" w:cs="Arial"/>
          <w:spacing w:val="-16"/>
          <w:sz w:val="26"/>
          <w:szCs w:val="26"/>
        </w:rPr>
        <w:t xml:space="preserve"> </w:t>
      </w:r>
      <w:r w:rsidRPr="00C67536">
        <w:rPr>
          <w:rFonts w:ascii="Arial" w:hAnsi="Arial" w:cs="Arial"/>
          <w:sz w:val="26"/>
          <w:szCs w:val="26"/>
        </w:rPr>
        <w:t>de</w:t>
      </w:r>
      <w:r w:rsidRPr="00C67536">
        <w:rPr>
          <w:rFonts w:ascii="Arial" w:hAnsi="Arial" w:cs="Arial"/>
          <w:spacing w:val="-15"/>
          <w:sz w:val="26"/>
          <w:szCs w:val="26"/>
        </w:rPr>
        <w:t xml:space="preserve"> </w:t>
      </w:r>
      <w:r w:rsidRPr="00C67536">
        <w:rPr>
          <w:rFonts w:ascii="Arial" w:hAnsi="Arial" w:cs="Arial"/>
          <w:sz w:val="26"/>
          <w:szCs w:val="26"/>
        </w:rPr>
        <w:t>la</w:t>
      </w:r>
      <w:r w:rsidRPr="00C67536">
        <w:rPr>
          <w:rFonts w:ascii="Arial" w:hAnsi="Arial" w:cs="Arial"/>
          <w:spacing w:val="-16"/>
          <w:sz w:val="26"/>
          <w:szCs w:val="26"/>
        </w:rPr>
        <w:t xml:space="preserve"> </w:t>
      </w:r>
      <w:r w:rsidRPr="00C67536">
        <w:rPr>
          <w:rFonts w:ascii="Arial" w:hAnsi="Arial" w:cs="Arial"/>
          <w:sz w:val="26"/>
          <w:szCs w:val="26"/>
        </w:rPr>
        <w:t>región,</w:t>
      </w:r>
      <w:r w:rsidRPr="00C67536">
        <w:rPr>
          <w:rFonts w:ascii="Arial" w:hAnsi="Arial" w:cs="Arial"/>
          <w:spacing w:val="-18"/>
          <w:sz w:val="26"/>
          <w:szCs w:val="26"/>
        </w:rPr>
        <w:t xml:space="preserve"> </w:t>
      </w:r>
      <w:r w:rsidRPr="00C67536">
        <w:rPr>
          <w:rFonts w:ascii="Arial" w:hAnsi="Arial" w:cs="Arial"/>
          <w:sz w:val="26"/>
          <w:szCs w:val="26"/>
        </w:rPr>
        <w:t>no</w:t>
      </w:r>
      <w:r w:rsidRPr="00C67536">
        <w:rPr>
          <w:rFonts w:ascii="Arial" w:hAnsi="Arial" w:cs="Arial"/>
          <w:spacing w:val="-16"/>
          <w:sz w:val="26"/>
          <w:szCs w:val="26"/>
        </w:rPr>
        <w:t xml:space="preserve"> </w:t>
      </w:r>
      <w:r w:rsidRPr="00C67536">
        <w:rPr>
          <w:rFonts w:ascii="Arial" w:hAnsi="Arial" w:cs="Arial"/>
          <w:sz w:val="26"/>
          <w:szCs w:val="26"/>
        </w:rPr>
        <w:t>reconoció</w:t>
      </w:r>
      <w:r w:rsidRPr="00C67536">
        <w:rPr>
          <w:rFonts w:ascii="Arial" w:hAnsi="Arial" w:cs="Arial"/>
          <w:spacing w:val="-16"/>
          <w:sz w:val="26"/>
          <w:szCs w:val="26"/>
        </w:rPr>
        <w:t xml:space="preserve"> </w:t>
      </w:r>
      <w:r w:rsidRPr="00C67536">
        <w:rPr>
          <w:rFonts w:ascii="Arial" w:hAnsi="Arial" w:cs="Arial"/>
          <w:sz w:val="26"/>
          <w:szCs w:val="26"/>
        </w:rPr>
        <w:t>el</w:t>
      </w:r>
      <w:r w:rsidRPr="00C67536">
        <w:rPr>
          <w:rFonts w:ascii="Arial" w:hAnsi="Arial" w:cs="Arial"/>
          <w:spacing w:val="-16"/>
          <w:sz w:val="26"/>
          <w:szCs w:val="26"/>
        </w:rPr>
        <w:t xml:space="preserve"> </w:t>
      </w:r>
      <w:r w:rsidRPr="00C67536">
        <w:rPr>
          <w:rFonts w:ascii="Arial" w:hAnsi="Arial" w:cs="Arial"/>
          <w:sz w:val="26"/>
          <w:szCs w:val="26"/>
        </w:rPr>
        <w:t>etiquetado</w:t>
      </w:r>
      <w:r w:rsidRPr="00C67536">
        <w:rPr>
          <w:rFonts w:ascii="Arial" w:hAnsi="Arial" w:cs="Arial"/>
          <w:spacing w:val="-16"/>
          <w:sz w:val="26"/>
          <w:szCs w:val="26"/>
        </w:rPr>
        <w:t xml:space="preserve"> </w:t>
      </w:r>
      <w:r w:rsidRPr="00C67536">
        <w:rPr>
          <w:rFonts w:ascii="Arial" w:hAnsi="Arial" w:cs="Arial"/>
          <w:sz w:val="26"/>
          <w:szCs w:val="26"/>
        </w:rPr>
        <w:t>frontal</w:t>
      </w:r>
      <w:r w:rsidRPr="00C67536">
        <w:rPr>
          <w:rFonts w:ascii="Arial" w:hAnsi="Arial" w:cs="Arial"/>
          <w:spacing w:val="-17"/>
          <w:sz w:val="26"/>
          <w:szCs w:val="26"/>
        </w:rPr>
        <w:t xml:space="preserve"> </w:t>
      </w:r>
      <w:r w:rsidRPr="00C67536">
        <w:rPr>
          <w:rFonts w:ascii="Arial" w:hAnsi="Arial" w:cs="Arial"/>
          <w:sz w:val="26"/>
          <w:szCs w:val="26"/>
        </w:rPr>
        <w:t>desarrollado en México como una acción que cumpla con el objetivo 3.3 de ese Plan que establece que los países deben: “Elaborar y establecer normas para el etiquetado del</w:t>
      </w:r>
      <w:r w:rsidRPr="00C67536">
        <w:rPr>
          <w:rFonts w:ascii="Arial" w:hAnsi="Arial" w:cs="Arial"/>
          <w:spacing w:val="-14"/>
          <w:sz w:val="26"/>
          <w:szCs w:val="26"/>
        </w:rPr>
        <w:t xml:space="preserve"> </w:t>
      </w:r>
      <w:r w:rsidRPr="00C67536">
        <w:rPr>
          <w:rFonts w:ascii="Arial" w:hAnsi="Arial" w:cs="Arial"/>
          <w:sz w:val="26"/>
          <w:szCs w:val="26"/>
        </w:rPr>
        <w:t>frente</w:t>
      </w:r>
      <w:r w:rsidRPr="00C67536">
        <w:rPr>
          <w:rFonts w:ascii="Arial" w:hAnsi="Arial" w:cs="Arial"/>
          <w:spacing w:val="-13"/>
          <w:sz w:val="26"/>
          <w:szCs w:val="26"/>
        </w:rPr>
        <w:t xml:space="preserve"> </w:t>
      </w:r>
      <w:r w:rsidRPr="00C67536">
        <w:rPr>
          <w:rFonts w:ascii="Arial" w:hAnsi="Arial" w:cs="Arial"/>
          <w:sz w:val="26"/>
          <w:szCs w:val="26"/>
        </w:rPr>
        <w:t>del</w:t>
      </w:r>
      <w:r w:rsidRPr="00C67536">
        <w:rPr>
          <w:rFonts w:ascii="Arial" w:hAnsi="Arial" w:cs="Arial"/>
          <w:spacing w:val="-14"/>
          <w:sz w:val="26"/>
          <w:szCs w:val="26"/>
        </w:rPr>
        <w:t xml:space="preserve"> </w:t>
      </w:r>
      <w:r w:rsidRPr="00C67536">
        <w:rPr>
          <w:rFonts w:ascii="Arial" w:hAnsi="Arial" w:cs="Arial"/>
          <w:sz w:val="26"/>
          <w:szCs w:val="26"/>
        </w:rPr>
        <w:t>envase</w:t>
      </w:r>
      <w:r w:rsidRPr="00C67536">
        <w:rPr>
          <w:rFonts w:ascii="Arial" w:hAnsi="Arial" w:cs="Arial"/>
          <w:spacing w:val="-13"/>
          <w:sz w:val="26"/>
          <w:szCs w:val="26"/>
        </w:rPr>
        <w:t xml:space="preserve"> </w:t>
      </w:r>
      <w:r w:rsidRPr="00C67536">
        <w:rPr>
          <w:rFonts w:ascii="Arial" w:hAnsi="Arial" w:cs="Arial"/>
          <w:sz w:val="26"/>
          <w:szCs w:val="26"/>
        </w:rPr>
        <w:t>que</w:t>
      </w:r>
      <w:r w:rsidRPr="00C67536">
        <w:rPr>
          <w:rFonts w:ascii="Arial" w:hAnsi="Arial" w:cs="Arial"/>
          <w:spacing w:val="-13"/>
          <w:sz w:val="26"/>
          <w:szCs w:val="26"/>
        </w:rPr>
        <w:t xml:space="preserve"> </w:t>
      </w:r>
      <w:r w:rsidRPr="00C67536">
        <w:rPr>
          <w:rFonts w:ascii="Arial" w:hAnsi="Arial" w:cs="Arial"/>
          <w:sz w:val="26"/>
          <w:szCs w:val="26"/>
        </w:rPr>
        <w:t>promuevan</w:t>
      </w:r>
      <w:r w:rsidRPr="00C67536">
        <w:rPr>
          <w:rFonts w:ascii="Arial" w:hAnsi="Arial" w:cs="Arial"/>
          <w:spacing w:val="-13"/>
          <w:sz w:val="26"/>
          <w:szCs w:val="26"/>
        </w:rPr>
        <w:t xml:space="preserve"> </w:t>
      </w:r>
      <w:r w:rsidRPr="00C67536">
        <w:rPr>
          <w:rFonts w:ascii="Arial" w:hAnsi="Arial" w:cs="Arial"/>
          <w:sz w:val="26"/>
          <w:szCs w:val="26"/>
        </w:rPr>
        <w:t>las</w:t>
      </w:r>
      <w:r w:rsidRPr="00C67536">
        <w:rPr>
          <w:rFonts w:ascii="Arial" w:hAnsi="Arial" w:cs="Arial"/>
          <w:spacing w:val="-14"/>
          <w:sz w:val="26"/>
          <w:szCs w:val="26"/>
        </w:rPr>
        <w:t xml:space="preserve"> </w:t>
      </w:r>
      <w:r w:rsidRPr="00C67536">
        <w:rPr>
          <w:rFonts w:ascii="Arial" w:hAnsi="Arial" w:cs="Arial"/>
          <w:sz w:val="26"/>
          <w:szCs w:val="26"/>
        </w:rPr>
        <w:t>elecciones</w:t>
      </w:r>
      <w:r w:rsidRPr="00C67536">
        <w:rPr>
          <w:rFonts w:ascii="Arial" w:hAnsi="Arial" w:cs="Arial"/>
          <w:spacing w:val="-14"/>
          <w:sz w:val="26"/>
          <w:szCs w:val="26"/>
        </w:rPr>
        <w:t xml:space="preserve"> </w:t>
      </w:r>
      <w:r w:rsidRPr="00C67536">
        <w:rPr>
          <w:rFonts w:ascii="Arial" w:hAnsi="Arial" w:cs="Arial"/>
          <w:sz w:val="26"/>
          <w:szCs w:val="26"/>
        </w:rPr>
        <w:t>saludables</w:t>
      </w:r>
      <w:r w:rsidRPr="00C67536">
        <w:rPr>
          <w:rFonts w:ascii="Arial" w:hAnsi="Arial" w:cs="Arial"/>
          <w:spacing w:val="-13"/>
          <w:sz w:val="26"/>
          <w:szCs w:val="26"/>
        </w:rPr>
        <w:t xml:space="preserve"> </w:t>
      </w:r>
      <w:r w:rsidRPr="00C67536">
        <w:rPr>
          <w:rFonts w:ascii="Arial" w:hAnsi="Arial" w:cs="Arial"/>
          <w:sz w:val="26"/>
          <w:szCs w:val="26"/>
        </w:rPr>
        <w:t>al</w:t>
      </w:r>
      <w:r w:rsidRPr="00C67536">
        <w:rPr>
          <w:rFonts w:ascii="Arial" w:hAnsi="Arial" w:cs="Arial"/>
          <w:spacing w:val="-14"/>
          <w:sz w:val="26"/>
          <w:szCs w:val="26"/>
        </w:rPr>
        <w:t xml:space="preserve"> </w:t>
      </w:r>
      <w:r w:rsidRPr="00C67536">
        <w:rPr>
          <w:rFonts w:ascii="Arial" w:hAnsi="Arial" w:cs="Arial"/>
          <w:sz w:val="26"/>
          <w:szCs w:val="26"/>
        </w:rPr>
        <w:t>permitir</w:t>
      </w:r>
      <w:r w:rsidRPr="00C67536">
        <w:rPr>
          <w:rFonts w:ascii="Arial" w:hAnsi="Arial" w:cs="Arial"/>
          <w:spacing w:val="-15"/>
          <w:sz w:val="26"/>
          <w:szCs w:val="26"/>
        </w:rPr>
        <w:t xml:space="preserve"> </w:t>
      </w:r>
      <w:r w:rsidRPr="00C67536">
        <w:rPr>
          <w:rFonts w:ascii="Arial" w:hAnsi="Arial" w:cs="Arial"/>
          <w:sz w:val="26"/>
          <w:szCs w:val="26"/>
        </w:rPr>
        <w:t>identificar los alimentos de alto contenido calórico y bajo valor nutricional de manera rápida y sencilla”.</w:t>
      </w:r>
    </w:p>
    <w:p w14:paraId="5AAF9CCE"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 Cofepris en su Manual de Etiquetado Nutrimental Frontal menciona que la información del etiquetado se presenta siguiendo las mejores prácticas internacionales,</w:t>
      </w:r>
      <w:r w:rsidRPr="00C67536">
        <w:rPr>
          <w:rFonts w:ascii="Arial" w:hAnsi="Arial" w:cs="Arial"/>
          <w:spacing w:val="-10"/>
          <w:sz w:val="26"/>
          <w:szCs w:val="26"/>
        </w:rPr>
        <w:t xml:space="preserve"> </w:t>
      </w:r>
      <w:r w:rsidRPr="00C67536">
        <w:rPr>
          <w:rFonts w:ascii="Arial" w:hAnsi="Arial" w:cs="Arial"/>
          <w:sz w:val="26"/>
          <w:szCs w:val="26"/>
        </w:rPr>
        <w:t>pero,</w:t>
      </w:r>
      <w:r w:rsidRPr="00C67536">
        <w:rPr>
          <w:rFonts w:ascii="Arial" w:hAnsi="Arial" w:cs="Arial"/>
          <w:spacing w:val="-10"/>
          <w:sz w:val="26"/>
          <w:szCs w:val="26"/>
        </w:rPr>
        <w:t xml:space="preserve"> </w:t>
      </w:r>
      <w:r w:rsidRPr="00C67536">
        <w:rPr>
          <w:rFonts w:ascii="Arial" w:hAnsi="Arial" w:cs="Arial"/>
          <w:sz w:val="26"/>
          <w:szCs w:val="26"/>
        </w:rPr>
        <w:t>por</w:t>
      </w:r>
      <w:r w:rsidRPr="00C67536">
        <w:rPr>
          <w:rFonts w:ascii="Arial" w:hAnsi="Arial" w:cs="Arial"/>
          <w:spacing w:val="-10"/>
          <w:sz w:val="26"/>
          <w:szCs w:val="26"/>
        </w:rPr>
        <w:t xml:space="preserve"> </w:t>
      </w:r>
      <w:r w:rsidRPr="00C67536">
        <w:rPr>
          <w:rFonts w:ascii="Arial" w:hAnsi="Arial" w:cs="Arial"/>
          <w:sz w:val="26"/>
          <w:szCs w:val="26"/>
        </w:rPr>
        <w:t>lo</w:t>
      </w:r>
      <w:r w:rsidRPr="00C67536">
        <w:rPr>
          <w:rFonts w:ascii="Arial" w:hAnsi="Arial" w:cs="Arial"/>
          <w:spacing w:val="-9"/>
          <w:sz w:val="26"/>
          <w:szCs w:val="26"/>
        </w:rPr>
        <w:t xml:space="preserve"> </w:t>
      </w:r>
      <w:r w:rsidRPr="00C67536">
        <w:rPr>
          <w:rFonts w:ascii="Arial" w:hAnsi="Arial" w:cs="Arial"/>
          <w:sz w:val="26"/>
          <w:szCs w:val="26"/>
        </w:rPr>
        <w:t>que</w:t>
      </w:r>
      <w:r w:rsidRPr="00C67536">
        <w:rPr>
          <w:rFonts w:ascii="Arial" w:hAnsi="Arial" w:cs="Arial"/>
          <w:spacing w:val="-9"/>
          <w:sz w:val="26"/>
          <w:szCs w:val="26"/>
        </w:rPr>
        <w:t xml:space="preserve"> </w:t>
      </w:r>
      <w:r w:rsidRPr="00C67536">
        <w:rPr>
          <w:rFonts w:ascii="Arial" w:hAnsi="Arial" w:cs="Arial"/>
          <w:sz w:val="26"/>
          <w:szCs w:val="26"/>
        </w:rPr>
        <w:t>se</w:t>
      </w:r>
      <w:r w:rsidRPr="00C67536">
        <w:rPr>
          <w:rFonts w:ascii="Arial" w:hAnsi="Arial" w:cs="Arial"/>
          <w:spacing w:val="-8"/>
          <w:sz w:val="26"/>
          <w:szCs w:val="26"/>
        </w:rPr>
        <w:t xml:space="preserve"> </w:t>
      </w:r>
      <w:r w:rsidRPr="00C67536">
        <w:rPr>
          <w:rFonts w:ascii="Arial" w:hAnsi="Arial" w:cs="Arial"/>
          <w:sz w:val="26"/>
          <w:szCs w:val="26"/>
        </w:rPr>
        <w:t>ha</w:t>
      </w:r>
      <w:r w:rsidRPr="00C67536">
        <w:rPr>
          <w:rFonts w:ascii="Arial" w:hAnsi="Arial" w:cs="Arial"/>
          <w:spacing w:val="-11"/>
          <w:sz w:val="26"/>
          <w:szCs w:val="26"/>
        </w:rPr>
        <w:t xml:space="preserve"> </w:t>
      </w:r>
      <w:r w:rsidRPr="00C67536">
        <w:rPr>
          <w:rFonts w:ascii="Arial" w:hAnsi="Arial" w:cs="Arial"/>
          <w:sz w:val="26"/>
          <w:szCs w:val="26"/>
        </w:rPr>
        <w:t>mencionado</w:t>
      </w:r>
      <w:r w:rsidRPr="00C67536">
        <w:rPr>
          <w:rFonts w:ascii="Arial" w:hAnsi="Arial" w:cs="Arial"/>
          <w:spacing w:val="-8"/>
          <w:sz w:val="26"/>
          <w:szCs w:val="26"/>
        </w:rPr>
        <w:t xml:space="preserve"> </w:t>
      </w:r>
      <w:r w:rsidRPr="00C67536">
        <w:rPr>
          <w:rFonts w:ascii="Arial" w:hAnsi="Arial" w:cs="Arial"/>
          <w:sz w:val="26"/>
          <w:szCs w:val="26"/>
        </w:rPr>
        <w:t>antes,</w:t>
      </w:r>
      <w:r w:rsidRPr="00C67536">
        <w:rPr>
          <w:rFonts w:ascii="Arial" w:hAnsi="Arial" w:cs="Arial"/>
          <w:spacing w:val="-9"/>
          <w:sz w:val="26"/>
          <w:szCs w:val="26"/>
        </w:rPr>
        <w:t xml:space="preserve"> </w:t>
      </w:r>
      <w:r w:rsidRPr="00C67536">
        <w:rPr>
          <w:rFonts w:ascii="Arial" w:hAnsi="Arial" w:cs="Arial"/>
          <w:sz w:val="26"/>
          <w:szCs w:val="26"/>
        </w:rPr>
        <w:t>no</w:t>
      </w:r>
      <w:r w:rsidRPr="00C67536">
        <w:rPr>
          <w:rFonts w:ascii="Arial" w:hAnsi="Arial" w:cs="Arial"/>
          <w:spacing w:val="-8"/>
          <w:sz w:val="26"/>
          <w:szCs w:val="26"/>
        </w:rPr>
        <w:t xml:space="preserve"> </w:t>
      </w:r>
      <w:r w:rsidRPr="00C67536">
        <w:rPr>
          <w:rFonts w:ascii="Arial" w:hAnsi="Arial" w:cs="Arial"/>
          <w:sz w:val="26"/>
          <w:szCs w:val="26"/>
        </w:rPr>
        <w:t>es</w:t>
      </w:r>
      <w:r w:rsidRPr="00C67536">
        <w:rPr>
          <w:rFonts w:ascii="Arial" w:hAnsi="Arial" w:cs="Arial"/>
          <w:spacing w:val="-9"/>
          <w:sz w:val="26"/>
          <w:szCs w:val="26"/>
        </w:rPr>
        <w:t xml:space="preserve"> </w:t>
      </w:r>
      <w:r w:rsidRPr="00C67536">
        <w:rPr>
          <w:rFonts w:ascii="Arial" w:hAnsi="Arial" w:cs="Arial"/>
          <w:sz w:val="26"/>
          <w:szCs w:val="26"/>
        </w:rPr>
        <w:t>así,</w:t>
      </w:r>
      <w:r w:rsidRPr="00C67536">
        <w:rPr>
          <w:rFonts w:ascii="Arial" w:hAnsi="Arial" w:cs="Arial"/>
          <w:spacing w:val="-9"/>
          <w:sz w:val="26"/>
          <w:szCs w:val="26"/>
        </w:rPr>
        <w:t xml:space="preserve"> </w:t>
      </w:r>
      <w:r w:rsidRPr="00C67536">
        <w:rPr>
          <w:rFonts w:ascii="Arial" w:hAnsi="Arial" w:cs="Arial"/>
          <w:sz w:val="26"/>
          <w:szCs w:val="26"/>
        </w:rPr>
        <w:t>principalmente cuando se habla de azúcares</w:t>
      </w:r>
      <w:r w:rsidRPr="00C67536">
        <w:rPr>
          <w:rFonts w:ascii="Arial" w:hAnsi="Arial" w:cs="Arial"/>
          <w:spacing w:val="-6"/>
          <w:sz w:val="26"/>
          <w:szCs w:val="26"/>
        </w:rPr>
        <w:t xml:space="preserve"> </w:t>
      </w:r>
      <w:r w:rsidRPr="00C67536">
        <w:rPr>
          <w:rFonts w:ascii="Arial" w:hAnsi="Arial" w:cs="Arial"/>
          <w:sz w:val="26"/>
          <w:szCs w:val="26"/>
        </w:rPr>
        <w:t>añadidos.</w:t>
      </w:r>
    </w:p>
    <w:p w14:paraId="1E1F6D4B"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Desde el año 2006 la OMS recomendaba limitar el consumo de azúcares libres — entendidos</w:t>
      </w:r>
      <w:r w:rsidRPr="00C67536">
        <w:rPr>
          <w:rFonts w:ascii="Arial" w:hAnsi="Arial" w:cs="Arial"/>
          <w:spacing w:val="-12"/>
          <w:sz w:val="26"/>
          <w:szCs w:val="26"/>
        </w:rPr>
        <w:t xml:space="preserve"> </w:t>
      </w:r>
      <w:r w:rsidRPr="00C67536">
        <w:rPr>
          <w:rFonts w:ascii="Arial" w:hAnsi="Arial" w:cs="Arial"/>
          <w:sz w:val="26"/>
          <w:szCs w:val="26"/>
        </w:rPr>
        <w:t>como</w:t>
      </w:r>
      <w:r w:rsidRPr="00C67536">
        <w:rPr>
          <w:rFonts w:ascii="Arial" w:hAnsi="Arial" w:cs="Arial"/>
          <w:spacing w:val="-12"/>
          <w:sz w:val="26"/>
          <w:szCs w:val="26"/>
        </w:rPr>
        <w:t xml:space="preserve"> </w:t>
      </w:r>
      <w:r w:rsidRPr="00C67536">
        <w:rPr>
          <w:rFonts w:ascii="Arial" w:hAnsi="Arial" w:cs="Arial"/>
          <w:sz w:val="26"/>
          <w:szCs w:val="26"/>
        </w:rPr>
        <w:t>azúcares</w:t>
      </w:r>
      <w:r w:rsidRPr="00C67536">
        <w:rPr>
          <w:rFonts w:ascii="Arial" w:hAnsi="Arial" w:cs="Arial"/>
          <w:spacing w:val="-10"/>
          <w:sz w:val="26"/>
          <w:szCs w:val="26"/>
        </w:rPr>
        <w:t xml:space="preserve"> </w:t>
      </w:r>
      <w:r w:rsidRPr="00C67536">
        <w:rPr>
          <w:rFonts w:ascii="Arial" w:hAnsi="Arial" w:cs="Arial"/>
          <w:sz w:val="26"/>
          <w:szCs w:val="26"/>
        </w:rPr>
        <w:t>añadidos—</w:t>
      </w:r>
      <w:r w:rsidRPr="00C67536">
        <w:rPr>
          <w:rFonts w:ascii="Arial" w:hAnsi="Arial" w:cs="Arial"/>
          <w:spacing w:val="-11"/>
          <w:sz w:val="26"/>
          <w:szCs w:val="26"/>
        </w:rPr>
        <w:t xml:space="preserve"> </w:t>
      </w:r>
      <w:r w:rsidRPr="00C67536">
        <w:rPr>
          <w:rFonts w:ascii="Arial" w:hAnsi="Arial" w:cs="Arial"/>
          <w:sz w:val="26"/>
          <w:szCs w:val="26"/>
        </w:rPr>
        <w:t>al</w:t>
      </w:r>
      <w:r w:rsidRPr="00C67536">
        <w:rPr>
          <w:rFonts w:ascii="Arial" w:hAnsi="Arial" w:cs="Arial"/>
          <w:spacing w:val="-13"/>
          <w:sz w:val="26"/>
          <w:szCs w:val="26"/>
        </w:rPr>
        <w:t xml:space="preserve"> </w:t>
      </w:r>
      <w:r w:rsidRPr="00C67536">
        <w:rPr>
          <w:rFonts w:ascii="Arial" w:hAnsi="Arial" w:cs="Arial"/>
          <w:sz w:val="26"/>
          <w:szCs w:val="26"/>
        </w:rPr>
        <w:t>10</w:t>
      </w:r>
      <w:r w:rsidRPr="00C67536">
        <w:rPr>
          <w:rFonts w:ascii="Arial" w:hAnsi="Arial" w:cs="Arial"/>
          <w:spacing w:val="-14"/>
          <w:sz w:val="26"/>
          <w:szCs w:val="26"/>
        </w:rPr>
        <w:t xml:space="preserve"> </w:t>
      </w:r>
      <w:r w:rsidRPr="00C67536">
        <w:rPr>
          <w:rFonts w:ascii="Arial" w:hAnsi="Arial" w:cs="Arial"/>
          <w:sz w:val="26"/>
          <w:szCs w:val="26"/>
        </w:rPr>
        <w:t>por</w:t>
      </w:r>
      <w:r w:rsidRPr="00C67536">
        <w:rPr>
          <w:rFonts w:ascii="Arial" w:hAnsi="Arial" w:cs="Arial"/>
          <w:spacing w:val="-11"/>
          <w:sz w:val="26"/>
          <w:szCs w:val="26"/>
        </w:rPr>
        <w:t xml:space="preserve"> </w:t>
      </w:r>
      <w:r w:rsidRPr="00C67536">
        <w:rPr>
          <w:rFonts w:ascii="Arial" w:hAnsi="Arial" w:cs="Arial"/>
          <w:sz w:val="26"/>
          <w:szCs w:val="26"/>
        </w:rPr>
        <w:t>ciento</w:t>
      </w:r>
      <w:r w:rsidRPr="00C67536">
        <w:rPr>
          <w:rFonts w:ascii="Arial" w:hAnsi="Arial" w:cs="Arial"/>
          <w:spacing w:val="-13"/>
          <w:sz w:val="26"/>
          <w:szCs w:val="26"/>
        </w:rPr>
        <w:t xml:space="preserve"> </w:t>
      </w:r>
      <w:r w:rsidRPr="00C67536">
        <w:rPr>
          <w:rFonts w:ascii="Arial" w:hAnsi="Arial" w:cs="Arial"/>
          <w:sz w:val="26"/>
          <w:szCs w:val="26"/>
        </w:rPr>
        <w:t>de</w:t>
      </w:r>
      <w:r w:rsidRPr="00C67536">
        <w:rPr>
          <w:rFonts w:ascii="Arial" w:hAnsi="Arial" w:cs="Arial"/>
          <w:spacing w:val="-10"/>
          <w:sz w:val="26"/>
          <w:szCs w:val="26"/>
        </w:rPr>
        <w:t xml:space="preserve"> </w:t>
      </w:r>
      <w:r w:rsidRPr="00C67536">
        <w:rPr>
          <w:rFonts w:ascii="Arial" w:hAnsi="Arial" w:cs="Arial"/>
          <w:sz w:val="26"/>
          <w:szCs w:val="26"/>
        </w:rPr>
        <w:t>las</w:t>
      </w:r>
      <w:r w:rsidRPr="00C67536">
        <w:rPr>
          <w:rFonts w:ascii="Arial" w:hAnsi="Arial" w:cs="Arial"/>
          <w:spacing w:val="-12"/>
          <w:sz w:val="26"/>
          <w:szCs w:val="26"/>
        </w:rPr>
        <w:t xml:space="preserve"> </w:t>
      </w:r>
      <w:r w:rsidRPr="00C67536">
        <w:rPr>
          <w:rFonts w:ascii="Arial" w:hAnsi="Arial" w:cs="Arial"/>
          <w:sz w:val="26"/>
          <w:szCs w:val="26"/>
        </w:rPr>
        <w:t>calorías</w:t>
      </w:r>
      <w:r w:rsidRPr="00C67536">
        <w:rPr>
          <w:rFonts w:ascii="Arial" w:hAnsi="Arial" w:cs="Arial"/>
          <w:spacing w:val="-11"/>
          <w:sz w:val="26"/>
          <w:szCs w:val="26"/>
        </w:rPr>
        <w:t xml:space="preserve"> </w:t>
      </w:r>
      <w:r w:rsidRPr="00C67536">
        <w:rPr>
          <w:rFonts w:ascii="Arial" w:hAnsi="Arial" w:cs="Arial"/>
          <w:sz w:val="26"/>
          <w:szCs w:val="26"/>
        </w:rPr>
        <w:t>totales</w:t>
      </w:r>
      <w:r w:rsidRPr="00C67536">
        <w:rPr>
          <w:rFonts w:ascii="Arial" w:hAnsi="Arial" w:cs="Arial"/>
          <w:spacing w:val="-12"/>
          <w:sz w:val="26"/>
          <w:szCs w:val="26"/>
        </w:rPr>
        <w:t xml:space="preserve"> </w:t>
      </w:r>
      <w:r w:rsidRPr="00C67536">
        <w:rPr>
          <w:rFonts w:ascii="Arial" w:hAnsi="Arial" w:cs="Arial"/>
          <w:sz w:val="26"/>
          <w:szCs w:val="26"/>
        </w:rPr>
        <w:t>al</w:t>
      </w:r>
      <w:r w:rsidRPr="00C67536">
        <w:rPr>
          <w:rFonts w:ascii="Arial" w:hAnsi="Arial" w:cs="Arial"/>
          <w:spacing w:val="-11"/>
          <w:sz w:val="26"/>
          <w:szCs w:val="26"/>
        </w:rPr>
        <w:t xml:space="preserve"> </w:t>
      </w:r>
      <w:r w:rsidRPr="00C67536">
        <w:rPr>
          <w:rFonts w:ascii="Arial" w:hAnsi="Arial" w:cs="Arial"/>
          <w:sz w:val="26"/>
          <w:szCs w:val="26"/>
        </w:rPr>
        <w:t>día, lo que, para un promedio poblacional, se traduce en 50 gramos al</w:t>
      </w:r>
      <w:r w:rsidRPr="00C67536">
        <w:rPr>
          <w:rFonts w:ascii="Arial" w:hAnsi="Arial" w:cs="Arial"/>
          <w:spacing w:val="-16"/>
          <w:sz w:val="26"/>
          <w:szCs w:val="26"/>
        </w:rPr>
        <w:t xml:space="preserve"> </w:t>
      </w:r>
      <w:r w:rsidRPr="00C67536">
        <w:rPr>
          <w:rFonts w:ascii="Arial" w:hAnsi="Arial" w:cs="Arial"/>
          <w:sz w:val="26"/>
          <w:szCs w:val="26"/>
        </w:rPr>
        <w:t>día.</w:t>
      </w:r>
    </w:p>
    <w:p w14:paraId="36B0A3A6" w14:textId="77777777" w:rsidR="00D03349" w:rsidRPr="00C67536" w:rsidRDefault="00D03349" w:rsidP="00D03349">
      <w:pPr>
        <w:pStyle w:val="BodyText"/>
        <w:spacing w:before="77"/>
        <w:ind w:left="567" w:right="567"/>
        <w:jc w:val="both"/>
        <w:rPr>
          <w:rFonts w:ascii="Arial" w:hAnsi="Arial" w:cs="Arial"/>
          <w:sz w:val="26"/>
          <w:szCs w:val="26"/>
        </w:rPr>
      </w:pPr>
      <w:r w:rsidRPr="00C67536">
        <w:rPr>
          <w:rFonts w:ascii="Arial" w:hAnsi="Arial" w:cs="Arial"/>
          <w:sz w:val="26"/>
          <w:szCs w:val="26"/>
        </w:rPr>
        <w:t>Durante</w:t>
      </w:r>
      <w:r w:rsidRPr="00C67536">
        <w:rPr>
          <w:rFonts w:ascii="Arial" w:hAnsi="Arial" w:cs="Arial"/>
          <w:spacing w:val="-14"/>
          <w:sz w:val="26"/>
          <w:szCs w:val="26"/>
        </w:rPr>
        <w:t xml:space="preserve"> </w:t>
      </w:r>
      <w:r w:rsidRPr="00C67536">
        <w:rPr>
          <w:rFonts w:ascii="Arial" w:hAnsi="Arial" w:cs="Arial"/>
          <w:sz w:val="26"/>
          <w:szCs w:val="26"/>
        </w:rPr>
        <w:t>los</w:t>
      </w:r>
      <w:r w:rsidRPr="00C67536">
        <w:rPr>
          <w:rFonts w:ascii="Arial" w:hAnsi="Arial" w:cs="Arial"/>
          <w:spacing w:val="-14"/>
          <w:sz w:val="26"/>
          <w:szCs w:val="26"/>
        </w:rPr>
        <w:t xml:space="preserve"> </w:t>
      </w:r>
      <w:r w:rsidRPr="00C67536">
        <w:rPr>
          <w:rFonts w:ascii="Arial" w:hAnsi="Arial" w:cs="Arial"/>
          <w:sz w:val="26"/>
          <w:szCs w:val="26"/>
        </w:rPr>
        <w:t>10</w:t>
      </w:r>
      <w:r w:rsidRPr="00C67536">
        <w:rPr>
          <w:rFonts w:ascii="Arial" w:hAnsi="Arial" w:cs="Arial"/>
          <w:spacing w:val="-14"/>
          <w:sz w:val="26"/>
          <w:szCs w:val="26"/>
        </w:rPr>
        <w:t xml:space="preserve"> </w:t>
      </w:r>
      <w:r w:rsidRPr="00C67536">
        <w:rPr>
          <w:rFonts w:ascii="Arial" w:hAnsi="Arial" w:cs="Arial"/>
          <w:sz w:val="26"/>
          <w:szCs w:val="26"/>
        </w:rPr>
        <w:t>años</w:t>
      </w:r>
      <w:r w:rsidRPr="00C67536">
        <w:rPr>
          <w:rFonts w:ascii="Arial" w:hAnsi="Arial" w:cs="Arial"/>
          <w:spacing w:val="-14"/>
          <w:sz w:val="26"/>
          <w:szCs w:val="26"/>
        </w:rPr>
        <w:t xml:space="preserve"> </w:t>
      </w:r>
      <w:r w:rsidRPr="00C67536">
        <w:rPr>
          <w:rFonts w:ascii="Arial" w:hAnsi="Arial" w:cs="Arial"/>
          <w:sz w:val="26"/>
          <w:szCs w:val="26"/>
        </w:rPr>
        <w:t>posteriores,</w:t>
      </w:r>
      <w:r w:rsidRPr="00C67536">
        <w:rPr>
          <w:rFonts w:ascii="Arial" w:hAnsi="Arial" w:cs="Arial"/>
          <w:spacing w:val="-12"/>
          <w:sz w:val="26"/>
          <w:szCs w:val="26"/>
        </w:rPr>
        <w:t xml:space="preserve"> </w:t>
      </w:r>
      <w:r w:rsidRPr="00C67536">
        <w:rPr>
          <w:rFonts w:ascii="Arial" w:hAnsi="Arial" w:cs="Arial"/>
          <w:sz w:val="26"/>
          <w:szCs w:val="26"/>
        </w:rPr>
        <w:t>se</w:t>
      </w:r>
      <w:r w:rsidRPr="00C67536">
        <w:rPr>
          <w:rFonts w:ascii="Arial" w:hAnsi="Arial" w:cs="Arial"/>
          <w:spacing w:val="-14"/>
          <w:sz w:val="26"/>
          <w:szCs w:val="26"/>
        </w:rPr>
        <w:t xml:space="preserve"> </w:t>
      </w:r>
      <w:r w:rsidRPr="00C67536">
        <w:rPr>
          <w:rFonts w:ascii="Arial" w:hAnsi="Arial" w:cs="Arial"/>
          <w:sz w:val="26"/>
          <w:szCs w:val="26"/>
        </w:rPr>
        <w:t>generó</w:t>
      </w:r>
      <w:r w:rsidRPr="00C67536">
        <w:rPr>
          <w:rFonts w:ascii="Arial" w:hAnsi="Arial" w:cs="Arial"/>
          <w:spacing w:val="-15"/>
          <w:sz w:val="26"/>
          <w:szCs w:val="26"/>
        </w:rPr>
        <w:t xml:space="preserve"> </w:t>
      </w:r>
      <w:r w:rsidRPr="00C67536">
        <w:rPr>
          <w:rFonts w:ascii="Arial" w:hAnsi="Arial" w:cs="Arial"/>
          <w:sz w:val="26"/>
          <w:szCs w:val="26"/>
        </w:rPr>
        <w:t>numerosa</w:t>
      </w:r>
      <w:r w:rsidRPr="00C67536">
        <w:rPr>
          <w:rFonts w:ascii="Arial" w:hAnsi="Arial" w:cs="Arial"/>
          <w:spacing w:val="-11"/>
          <w:sz w:val="26"/>
          <w:szCs w:val="26"/>
        </w:rPr>
        <w:t xml:space="preserve"> </w:t>
      </w:r>
      <w:r w:rsidRPr="00C67536">
        <w:rPr>
          <w:rFonts w:ascii="Arial" w:hAnsi="Arial" w:cs="Arial"/>
          <w:sz w:val="26"/>
          <w:szCs w:val="26"/>
        </w:rPr>
        <w:t>evidencia</w:t>
      </w:r>
      <w:r w:rsidRPr="00C67536">
        <w:rPr>
          <w:rFonts w:ascii="Arial" w:hAnsi="Arial" w:cs="Arial"/>
          <w:spacing w:val="-12"/>
          <w:sz w:val="26"/>
          <w:szCs w:val="26"/>
        </w:rPr>
        <w:t xml:space="preserve"> </w:t>
      </w:r>
      <w:r w:rsidRPr="00C67536">
        <w:rPr>
          <w:rFonts w:ascii="Arial" w:hAnsi="Arial" w:cs="Arial"/>
          <w:sz w:val="26"/>
          <w:szCs w:val="26"/>
        </w:rPr>
        <w:t>que</w:t>
      </w:r>
      <w:r w:rsidRPr="00C67536">
        <w:rPr>
          <w:rFonts w:ascii="Arial" w:hAnsi="Arial" w:cs="Arial"/>
          <w:spacing w:val="-16"/>
          <w:sz w:val="26"/>
          <w:szCs w:val="26"/>
        </w:rPr>
        <w:t xml:space="preserve"> </w:t>
      </w:r>
      <w:r w:rsidRPr="00C67536">
        <w:rPr>
          <w:rFonts w:ascii="Arial" w:hAnsi="Arial" w:cs="Arial"/>
          <w:sz w:val="26"/>
          <w:szCs w:val="26"/>
        </w:rPr>
        <w:t>demuestra</w:t>
      </w:r>
      <w:r w:rsidRPr="00C67536">
        <w:rPr>
          <w:rFonts w:ascii="Arial" w:hAnsi="Arial" w:cs="Arial"/>
          <w:spacing w:val="-12"/>
          <w:sz w:val="26"/>
          <w:szCs w:val="26"/>
        </w:rPr>
        <w:t xml:space="preserve"> </w:t>
      </w:r>
      <w:r w:rsidRPr="00C67536">
        <w:rPr>
          <w:rFonts w:ascii="Arial" w:hAnsi="Arial" w:cs="Arial"/>
          <w:sz w:val="26"/>
          <w:szCs w:val="26"/>
        </w:rPr>
        <w:t>que las poblaciones están consumiendo altas cantidades de estos azúcares, principalmente a través de bebidas azucaradas y que son un factor de riesgo importante para desarrollar caries, obesidad, diabetes e incluso enfermedades cardiovasculares.</w:t>
      </w:r>
    </w:p>
    <w:p w14:paraId="3182E322"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Así, y considerando estudios y experiencias internacionales en el tema, un etiquetado realmente eficaz se considera eficaz si se permite a los consumidores tomar decisiones informadas respecto a su alimentación, esto implica reducir las brechas</w:t>
      </w:r>
      <w:r w:rsidRPr="00C67536">
        <w:rPr>
          <w:rFonts w:ascii="Arial" w:hAnsi="Arial" w:cs="Arial"/>
          <w:spacing w:val="-7"/>
          <w:sz w:val="26"/>
          <w:szCs w:val="26"/>
        </w:rPr>
        <w:t xml:space="preserve"> </w:t>
      </w:r>
      <w:r w:rsidRPr="00C67536">
        <w:rPr>
          <w:rFonts w:ascii="Arial" w:hAnsi="Arial" w:cs="Arial"/>
          <w:sz w:val="26"/>
          <w:szCs w:val="26"/>
        </w:rPr>
        <w:t>en</w:t>
      </w:r>
      <w:r w:rsidRPr="00C67536">
        <w:rPr>
          <w:rFonts w:ascii="Arial" w:hAnsi="Arial" w:cs="Arial"/>
          <w:spacing w:val="-6"/>
          <w:sz w:val="26"/>
          <w:szCs w:val="26"/>
        </w:rPr>
        <w:t xml:space="preserve"> </w:t>
      </w:r>
      <w:r w:rsidRPr="00C67536">
        <w:rPr>
          <w:rFonts w:ascii="Arial" w:hAnsi="Arial" w:cs="Arial"/>
          <w:sz w:val="26"/>
          <w:szCs w:val="26"/>
        </w:rPr>
        <w:t>el</w:t>
      </w:r>
      <w:r w:rsidRPr="00C67536">
        <w:rPr>
          <w:rFonts w:ascii="Arial" w:hAnsi="Arial" w:cs="Arial"/>
          <w:spacing w:val="-7"/>
          <w:sz w:val="26"/>
          <w:szCs w:val="26"/>
        </w:rPr>
        <w:t xml:space="preserve"> </w:t>
      </w:r>
      <w:r w:rsidRPr="00C67536">
        <w:rPr>
          <w:rFonts w:ascii="Arial" w:hAnsi="Arial" w:cs="Arial"/>
          <w:sz w:val="26"/>
          <w:szCs w:val="26"/>
        </w:rPr>
        <w:t>acceso</w:t>
      </w:r>
      <w:r w:rsidRPr="00C67536">
        <w:rPr>
          <w:rFonts w:ascii="Arial" w:hAnsi="Arial" w:cs="Arial"/>
          <w:spacing w:val="-7"/>
          <w:sz w:val="26"/>
          <w:szCs w:val="26"/>
        </w:rPr>
        <w:t xml:space="preserve"> </w:t>
      </w:r>
      <w:r w:rsidRPr="00C67536">
        <w:rPr>
          <w:rFonts w:ascii="Arial" w:hAnsi="Arial" w:cs="Arial"/>
          <w:sz w:val="26"/>
          <w:szCs w:val="26"/>
        </w:rPr>
        <w:t>a</w:t>
      </w:r>
      <w:r w:rsidRPr="00C67536">
        <w:rPr>
          <w:rFonts w:ascii="Arial" w:hAnsi="Arial" w:cs="Arial"/>
          <w:spacing w:val="-4"/>
          <w:sz w:val="26"/>
          <w:szCs w:val="26"/>
        </w:rPr>
        <w:t xml:space="preserve"> </w:t>
      </w:r>
      <w:r w:rsidRPr="00C67536">
        <w:rPr>
          <w:rFonts w:ascii="Arial" w:hAnsi="Arial" w:cs="Arial"/>
          <w:sz w:val="26"/>
          <w:szCs w:val="26"/>
        </w:rPr>
        <w:t>la</w:t>
      </w:r>
      <w:r w:rsidRPr="00C67536">
        <w:rPr>
          <w:rFonts w:ascii="Arial" w:hAnsi="Arial" w:cs="Arial"/>
          <w:spacing w:val="-4"/>
          <w:sz w:val="26"/>
          <w:szCs w:val="26"/>
        </w:rPr>
        <w:t xml:space="preserve"> </w:t>
      </w:r>
      <w:r w:rsidRPr="00C67536">
        <w:rPr>
          <w:rFonts w:ascii="Arial" w:hAnsi="Arial" w:cs="Arial"/>
          <w:sz w:val="26"/>
          <w:szCs w:val="26"/>
        </w:rPr>
        <w:t>información</w:t>
      </w:r>
      <w:r w:rsidRPr="00C67536">
        <w:rPr>
          <w:rFonts w:ascii="Arial" w:hAnsi="Arial" w:cs="Arial"/>
          <w:spacing w:val="-5"/>
          <w:sz w:val="26"/>
          <w:szCs w:val="26"/>
        </w:rPr>
        <w:t xml:space="preserve"> </w:t>
      </w:r>
      <w:r w:rsidRPr="00C67536">
        <w:rPr>
          <w:rFonts w:ascii="Arial" w:hAnsi="Arial" w:cs="Arial"/>
          <w:sz w:val="26"/>
          <w:szCs w:val="26"/>
        </w:rPr>
        <w:t>entre</w:t>
      </w:r>
      <w:r w:rsidRPr="00C67536">
        <w:rPr>
          <w:rFonts w:ascii="Arial" w:hAnsi="Arial" w:cs="Arial"/>
          <w:spacing w:val="-3"/>
          <w:sz w:val="26"/>
          <w:szCs w:val="26"/>
        </w:rPr>
        <w:t xml:space="preserve"> </w:t>
      </w:r>
      <w:r w:rsidRPr="00C67536">
        <w:rPr>
          <w:rFonts w:ascii="Arial" w:hAnsi="Arial" w:cs="Arial"/>
          <w:sz w:val="26"/>
          <w:szCs w:val="26"/>
        </w:rPr>
        <w:t>los</w:t>
      </w:r>
      <w:r w:rsidRPr="00C67536">
        <w:rPr>
          <w:rFonts w:ascii="Arial" w:hAnsi="Arial" w:cs="Arial"/>
          <w:spacing w:val="-4"/>
          <w:sz w:val="26"/>
          <w:szCs w:val="26"/>
        </w:rPr>
        <w:t xml:space="preserve"> </w:t>
      </w:r>
      <w:r w:rsidRPr="00C67536">
        <w:rPr>
          <w:rFonts w:ascii="Arial" w:hAnsi="Arial" w:cs="Arial"/>
          <w:sz w:val="26"/>
          <w:szCs w:val="26"/>
        </w:rPr>
        <w:t>diversos</w:t>
      </w:r>
      <w:r w:rsidRPr="00C67536">
        <w:rPr>
          <w:rFonts w:ascii="Arial" w:hAnsi="Arial" w:cs="Arial"/>
          <w:spacing w:val="-7"/>
          <w:sz w:val="26"/>
          <w:szCs w:val="26"/>
        </w:rPr>
        <w:t xml:space="preserve"> </w:t>
      </w:r>
      <w:r w:rsidRPr="00C67536">
        <w:rPr>
          <w:rFonts w:ascii="Arial" w:hAnsi="Arial" w:cs="Arial"/>
          <w:sz w:val="26"/>
          <w:szCs w:val="26"/>
        </w:rPr>
        <w:t>grupos</w:t>
      </w:r>
      <w:r w:rsidRPr="00C67536">
        <w:rPr>
          <w:rFonts w:ascii="Arial" w:hAnsi="Arial" w:cs="Arial"/>
          <w:spacing w:val="-4"/>
          <w:sz w:val="26"/>
          <w:szCs w:val="26"/>
        </w:rPr>
        <w:t xml:space="preserve"> </w:t>
      </w:r>
      <w:r w:rsidRPr="00C67536">
        <w:rPr>
          <w:rFonts w:ascii="Arial" w:hAnsi="Arial" w:cs="Arial"/>
          <w:sz w:val="26"/>
          <w:szCs w:val="26"/>
        </w:rPr>
        <w:t>socioeconómicos</w:t>
      </w:r>
      <w:r w:rsidRPr="00C67536">
        <w:rPr>
          <w:rFonts w:ascii="Arial" w:hAnsi="Arial" w:cs="Arial"/>
          <w:spacing w:val="-3"/>
          <w:sz w:val="26"/>
          <w:szCs w:val="26"/>
        </w:rPr>
        <w:t xml:space="preserve"> </w:t>
      </w:r>
      <w:r w:rsidRPr="00C67536">
        <w:rPr>
          <w:rFonts w:ascii="Arial" w:hAnsi="Arial" w:cs="Arial"/>
          <w:sz w:val="26"/>
          <w:szCs w:val="26"/>
        </w:rPr>
        <w:t>y estar en posibilidades de poder comparar entre productos alimenticios de una misma categoría y elegir la o las opciones más</w:t>
      </w:r>
      <w:r w:rsidRPr="00C67536">
        <w:rPr>
          <w:rFonts w:ascii="Arial" w:hAnsi="Arial" w:cs="Arial"/>
          <w:spacing w:val="-10"/>
          <w:sz w:val="26"/>
          <w:szCs w:val="26"/>
        </w:rPr>
        <w:t xml:space="preserve"> </w:t>
      </w:r>
      <w:r w:rsidRPr="00C67536">
        <w:rPr>
          <w:rFonts w:ascii="Arial" w:hAnsi="Arial" w:cs="Arial"/>
          <w:sz w:val="26"/>
          <w:szCs w:val="26"/>
        </w:rPr>
        <w:t>saludables.</w:t>
      </w:r>
    </w:p>
    <w:p w14:paraId="0550624D" w14:textId="77777777" w:rsidR="00D03349" w:rsidRPr="00C67536" w:rsidRDefault="00D03349" w:rsidP="00D03349">
      <w:pPr>
        <w:pStyle w:val="BodyText"/>
        <w:ind w:left="567" w:right="567"/>
        <w:jc w:val="both"/>
        <w:rPr>
          <w:rFonts w:ascii="Arial" w:hAnsi="Arial" w:cs="Arial"/>
          <w:b/>
          <w:bCs/>
          <w:sz w:val="26"/>
          <w:szCs w:val="26"/>
        </w:rPr>
      </w:pPr>
      <w:r w:rsidRPr="00C67536">
        <w:rPr>
          <w:rFonts w:ascii="Arial" w:hAnsi="Arial" w:cs="Arial"/>
          <w:b/>
          <w:bCs/>
          <w:sz w:val="26"/>
          <w:szCs w:val="26"/>
        </w:rPr>
        <w:t>Partiendo</w:t>
      </w:r>
      <w:r w:rsidRPr="00C67536">
        <w:rPr>
          <w:rFonts w:ascii="Arial" w:hAnsi="Arial" w:cs="Arial"/>
          <w:b/>
          <w:bCs/>
          <w:spacing w:val="-18"/>
          <w:sz w:val="26"/>
          <w:szCs w:val="26"/>
        </w:rPr>
        <w:t xml:space="preserve"> </w:t>
      </w:r>
      <w:r w:rsidRPr="00C67536">
        <w:rPr>
          <w:rFonts w:ascii="Arial" w:hAnsi="Arial" w:cs="Arial"/>
          <w:b/>
          <w:bCs/>
          <w:sz w:val="26"/>
          <w:szCs w:val="26"/>
        </w:rPr>
        <w:t>de</w:t>
      </w:r>
      <w:r w:rsidRPr="00C67536">
        <w:rPr>
          <w:rFonts w:ascii="Arial" w:hAnsi="Arial" w:cs="Arial"/>
          <w:b/>
          <w:bCs/>
          <w:spacing w:val="-17"/>
          <w:sz w:val="26"/>
          <w:szCs w:val="26"/>
        </w:rPr>
        <w:t xml:space="preserve"> </w:t>
      </w:r>
      <w:r w:rsidRPr="00C67536">
        <w:rPr>
          <w:rFonts w:ascii="Arial" w:hAnsi="Arial" w:cs="Arial"/>
          <w:b/>
          <w:bCs/>
          <w:sz w:val="26"/>
          <w:szCs w:val="26"/>
        </w:rPr>
        <w:t>la</w:t>
      </w:r>
      <w:r w:rsidRPr="00C67536">
        <w:rPr>
          <w:rFonts w:ascii="Arial" w:hAnsi="Arial" w:cs="Arial"/>
          <w:b/>
          <w:bCs/>
          <w:spacing w:val="-17"/>
          <w:sz w:val="26"/>
          <w:szCs w:val="26"/>
        </w:rPr>
        <w:t xml:space="preserve"> </w:t>
      </w:r>
      <w:r w:rsidRPr="00C67536">
        <w:rPr>
          <w:rFonts w:ascii="Arial" w:hAnsi="Arial" w:cs="Arial"/>
          <w:b/>
          <w:bCs/>
          <w:sz w:val="26"/>
          <w:szCs w:val="26"/>
        </w:rPr>
        <w:t>experiencia</w:t>
      </w:r>
      <w:r w:rsidRPr="00C67536">
        <w:rPr>
          <w:rFonts w:ascii="Arial" w:hAnsi="Arial" w:cs="Arial"/>
          <w:b/>
          <w:bCs/>
          <w:spacing w:val="-17"/>
          <w:sz w:val="26"/>
          <w:szCs w:val="26"/>
        </w:rPr>
        <w:t xml:space="preserve"> </w:t>
      </w:r>
      <w:r w:rsidRPr="00C67536">
        <w:rPr>
          <w:rFonts w:ascii="Arial" w:hAnsi="Arial" w:cs="Arial"/>
          <w:b/>
          <w:bCs/>
          <w:sz w:val="26"/>
          <w:szCs w:val="26"/>
        </w:rPr>
        <w:t>Internacional,</w:t>
      </w:r>
      <w:r w:rsidRPr="00C67536">
        <w:rPr>
          <w:rFonts w:ascii="Arial" w:hAnsi="Arial" w:cs="Arial"/>
          <w:b/>
          <w:bCs/>
          <w:spacing w:val="-17"/>
          <w:sz w:val="26"/>
          <w:szCs w:val="26"/>
        </w:rPr>
        <w:t xml:space="preserve"> </w:t>
      </w:r>
      <w:r w:rsidRPr="00C67536">
        <w:rPr>
          <w:rFonts w:ascii="Arial" w:hAnsi="Arial" w:cs="Arial"/>
          <w:b/>
          <w:bCs/>
          <w:sz w:val="26"/>
          <w:szCs w:val="26"/>
        </w:rPr>
        <w:t>recientemente</w:t>
      </w:r>
      <w:r w:rsidRPr="00C67536">
        <w:rPr>
          <w:rFonts w:ascii="Arial" w:hAnsi="Arial" w:cs="Arial"/>
          <w:b/>
          <w:bCs/>
          <w:spacing w:val="-19"/>
          <w:sz w:val="26"/>
          <w:szCs w:val="26"/>
        </w:rPr>
        <w:t xml:space="preserve"> </w:t>
      </w:r>
      <w:r w:rsidRPr="00C67536">
        <w:rPr>
          <w:rFonts w:ascii="Arial" w:hAnsi="Arial" w:cs="Arial"/>
          <w:b/>
          <w:bCs/>
          <w:sz w:val="26"/>
          <w:szCs w:val="26"/>
        </w:rPr>
        <w:t>Chile</w:t>
      </w:r>
      <w:r w:rsidRPr="00C67536">
        <w:rPr>
          <w:rFonts w:ascii="Arial" w:hAnsi="Arial" w:cs="Arial"/>
          <w:b/>
          <w:bCs/>
          <w:spacing w:val="-17"/>
          <w:sz w:val="26"/>
          <w:szCs w:val="26"/>
        </w:rPr>
        <w:t xml:space="preserve"> </w:t>
      </w:r>
      <w:r w:rsidRPr="00C67536">
        <w:rPr>
          <w:rFonts w:ascii="Arial" w:hAnsi="Arial" w:cs="Arial"/>
          <w:b/>
          <w:bCs/>
          <w:sz w:val="26"/>
          <w:szCs w:val="26"/>
        </w:rPr>
        <w:t>desarrolló</w:t>
      </w:r>
      <w:r w:rsidRPr="00C67536">
        <w:rPr>
          <w:rFonts w:ascii="Arial" w:hAnsi="Arial" w:cs="Arial"/>
          <w:b/>
          <w:bCs/>
          <w:spacing w:val="-17"/>
          <w:sz w:val="26"/>
          <w:szCs w:val="26"/>
        </w:rPr>
        <w:t xml:space="preserve"> </w:t>
      </w:r>
      <w:r w:rsidRPr="00C67536">
        <w:rPr>
          <w:rFonts w:ascii="Arial" w:hAnsi="Arial" w:cs="Arial"/>
          <w:b/>
          <w:bCs/>
          <w:sz w:val="26"/>
          <w:szCs w:val="26"/>
        </w:rPr>
        <w:t>un</w:t>
      </w:r>
      <w:r w:rsidRPr="00C67536">
        <w:rPr>
          <w:rFonts w:ascii="Arial" w:hAnsi="Arial" w:cs="Arial"/>
          <w:b/>
          <w:bCs/>
          <w:spacing w:val="-17"/>
          <w:sz w:val="26"/>
          <w:szCs w:val="26"/>
        </w:rPr>
        <w:t xml:space="preserve"> </w:t>
      </w:r>
      <w:r w:rsidRPr="00C67536">
        <w:rPr>
          <w:rFonts w:ascii="Arial" w:hAnsi="Arial" w:cs="Arial"/>
          <w:b/>
          <w:bCs/>
          <w:sz w:val="26"/>
          <w:szCs w:val="26"/>
        </w:rPr>
        <w:t>sistema de etiquetado fácil de comprender que ha mostrado muy buenos resultados en las primeras evaluaciones. Este etiquetado es conocido como etiquetado de advertencia, debido a que de una forma simple informa al consumidor sobre el contenido excesivo de energía, nutrimentos e ingredientes en los alimentos cuyo consumo excesivo se asocia con varias</w:t>
      </w:r>
      <w:r w:rsidRPr="00C67536">
        <w:rPr>
          <w:rFonts w:ascii="Arial" w:hAnsi="Arial" w:cs="Arial"/>
          <w:b/>
          <w:bCs/>
          <w:spacing w:val="-7"/>
          <w:sz w:val="26"/>
          <w:szCs w:val="26"/>
        </w:rPr>
        <w:t xml:space="preserve"> </w:t>
      </w:r>
      <w:r w:rsidRPr="00C67536">
        <w:rPr>
          <w:rFonts w:ascii="Arial" w:hAnsi="Arial" w:cs="Arial"/>
          <w:b/>
          <w:bCs/>
          <w:sz w:val="26"/>
          <w:szCs w:val="26"/>
        </w:rPr>
        <w:t>ECNT.</w:t>
      </w:r>
    </w:p>
    <w:p w14:paraId="77D7DA5E"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Otros países se han sumado a este enfoque y están desarrollando sus propios sistemas de etiquetado de advertencia; entre ellos se encuentran Brasil, Perú y Canadá.</w:t>
      </w:r>
      <w:r w:rsidRPr="00C67536">
        <w:rPr>
          <w:rFonts w:ascii="Arial" w:hAnsi="Arial" w:cs="Arial"/>
          <w:spacing w:val="-9"/>
          <w:sz w:val="26"/>
          <w:szCs w:val="26"/>
        </w:rPr>
        <w:t xml:space="preserve"> </w:t>
      </w:r>
      <w:r w:rsidRPr="00C67536">
        <w:rPr>
          <w:rFonts w:ascii="Arial" w:hAnsi="Arial" w:cs="Arial"/>
          <w:sz w:val="26"/>
          <w:szCs w:val="26"/>
        </w:rPr>
        <w:t>Además,</w:t>
      </w:r>
      <w:r w:rsidRPr="00C67536">
        <w:rPr>
          <w:rFonts w:ascii="Arial" w:hAnsi="Arial" w:cs="Arial"/>
          <w:spacing w:val="-9"/>
          <w:sz w:val="26"/>
          <w:szCs w:val="26"/>
        </w:rPr>
        <w:t xml:space="preserve"> </w:t>
      </w:r>
      <w:r w:rsidRPr="00C67536">
        <w:rPr>
          <w:rFonts w:ascii="Arial" w:hAnsi="Arial" w:cs="Arial"/>
          <w:sz w:val="26"/>
          <w:szCs w:val="26"/>
        </w:rPr>
        <w:t>la</w:t>
      </w:r>
      <w:r w:rsidRPr="00C67536">
        <w:rPr>
          <w:rFonts w:ascii="Arial" w:hAnsi="Arial" w:cs="Arial"/>
          <w:spacing w:val="-10"/>
          <w:sz w:val="26"/>
          <w:szCs w:val="26"/>
        </w:rPr>
        <w:t xml:space="preserve"> </w:t>
      </w:r>
      <w:r w:rsidRPr="00C67536">
        <w:rPr>
          <w:rFonts w:ascii="Arial" w:hAnsi="Arial" w:cs="Arial"/>
          <w:sz w:val="26"/>
          <w:szCs w:val="26"/>
        </w:rPr>
        <w:t>Organización</w:t>
      </w:r>
      <w:r w:rsidRPr="00C67536">
        <w:rPr>
          <w:rFonts w:ascii="Arial" w:hAnsi="Arial" w:cs="Arial"/>
          <w:spacing w:val="-8"/>
          <w:sz w:val="26"/>
          <w:szCs w:val="26"/>
        </w:rPr>
        <w:t xml:space="preserve"> </w:t>
      </w:r>
      <w:r w:rsidRPr="00C67536">
        <w:rPr>
          <w:rFonts w:ascii="Arial" w:hAnsi="Arial" w:cs="Arial"/>
          <w:sz w:val="26"/>
          <w:szCs w:val="26"/>
        </w:rPr>
        <w:t>Panamericana</w:t>
      </w:r>
      <w:r w:rsidRPr="00C67536">
        <w:rPr>
          <w:rFonts w:ascii="Arial" w:hAnsi="Arial" w:cs="Arial"/>
          <w:spacing w:val="-11"/>
          <w:sz w:val="26"/>
          <w:szCs w:val="26"/>
        </w:rPr>
        <w:t xml:space="preserve"> </w:t>
      </w:r>
      <w:r w:rsidRPr="00C67536">
        <w:rPr>
          <w:rFonts w:ascii="Arial" w:hAnsi="Arial" w:cs="Arial"/>
          <w:sz w:val="26"/>
          <w:szCs w:val="26"/>
        </w:rPr>
        <w:t>de</w:t>
      </w:r>
      <w:r w:rsidRPr="00C67536">
        <w:rPr>
          <w:rFonts w:ascii="Arial" w:hAnsi="Arial" w:cs="Arial"/>
          <w:spacing w:val="-7"/>
          <w:sz w:val="26"/>
          <w:szCs w:val="26"/>
        </w:rPr>
        <w:t xml:space="preserve"> </w:t>
      </w:r>
      <w:r w:rsidRPr="00C67536">
        <w:rPr>
          <w:rFonts w:ascii="Arial" w:hAnsi="Arial" w:cs="Arial"/>
          <w:sz w:val="26"/>
          <w:szCs w:val="26"/>
        </w:rPr>
        <w:t>la</w:t>
      </w:r>
      <w:r w:rsidRPr="00C67536">
        <w:rPr>
          <w:rFonts w:ascii="Arial" w:hAnsi="Arial" w:cs="Arial"/>
          <w:spacing w:val="-9"/>
          <w:sz w:val="26"/>
          <w:szCs w:val="26"/>
        </w:rPr>
        <w:t xml:space="preserve"> </w:t>
      </w:r>
      <w:r w:rsidRPr="00C67536">
        <w:rPr>
          <w:rFonts w:ascii="Arial" w:hAnsi="Arial" w:cs="Arial"/>
          <w:sz w:val="26"/>
          <w:szCs w:val="26"/>
        </w:rPr>
        <w:t>Salud</w:t>
      </w:r>
      <w:r w:rsidRPr="00C67536">
        <w:rPr>
          <w:rFonts w:ascii="Arial" w:hAnsi="Arial" w:cs="Arial"/>
          <w:spacing w:val="-9"/>
          <w:sz w:val="26"/>
          <w:szCs w:val="26"/>
        </w:rPr>
        <w:t xml:space="preserve"> </w:t>
      </w:r>
      <w:r w:rsidRPr="00C67536">
        <w:rPr>
          <w:rFonts w:ascii="Arial" w:hAnsi="Arial" w:cs="Arial"/>
          <w:sz w:val="26"/>
          <w:szCs w:val="26"/>
        </w:rPr>
        <w:t>ha</w:t>
      </w:r>
      <w:r w:rsidRPr="00C67536">
        <w:rPr>
          <w:rFonts w:ascii="Arial" w:hAnsi="Arial" w:cs="Arial"/>
          <w:spacing w:val="-11"/>
          <w:sz w:val="26"/>
          <w:szCs w:val="26"/>
        </w:rPr>
        <w:t xml:space="preserve"> </w:t>
      </w:r>
      <w:r w:rsidRPr="00C67536">
        <w:rPr>
          <w:rFonts w:ascii="Arial" w:hAnsi="Arial" w:cs="Arial"/>
          <w:sz w:val="26"/>
          <w:szCs w:val="26"/>
        </w:rPr>
        <w:t>adoptado</w:t>
      </w:r>
      <w:r w:rsidRPr="00C67536">
        <w:rPr>
          <w:rFonts w:ascii="Arial" w:hAnsi="Arial" w:cs="Arial"/>
          <w:spacing w:val="-8"/>
          <w:sz w:val="26"/>
          <w:szCs w:val="26"/>
        </w:rPr>
        <w:t xml:space="preserve"> </w:t>
      </w:r>
      <w:r w:rsidRPr="00C67536">
        <w:rPr>
          <w:rFonts w:ascii="Arial" w:hAnsi="Arial" w:cs="Arial"/>
          <w:sz w:val="26"/>
          <w:szCs w:val="26"/>
        </w:rPr>
        <w:t>este</w:t>
      </w:r>
      <w:r w:rsidRPr="00C67536">
        <w:rPr>
          <w:rFonts w:ascii="Arial" w:hAnsi="Arial" w:cs="Arial"/>
          <w:spacing w:val="-7"/>
          <w:sz w:val="26"/>
          <w:szCs w:val="26"/>
        </w:rPr>
        <w:t xml:space="preserve"> </w:t>
      </w:r>
      <w:r w:rsidRPr="00C67536">
        <w:rPr>
          <w:rFonts w:ascii="Arial" w:hAnsi="Arial" w:cs="Arial"/>
          <w:sz w:val="26"/>
          <w:szCs w:val="26"/>
        </w:rPr>
        <w:t>tipo de sistema como mejor práctica y propone su adopción en la región. En la actualidad,</w:t>
      </w:r>
      <w:r w:rsidRPr="00C67536">
        <w:rPr>
          <w:rFonts w:ascii="Arial" w:hAnsi="Arial" w:cs="Arial"/>
          <w:spacing w:val="-10"/>
          <w:sz w:val="26"/>
          <w:szCs w:val="26"/>
        </w:rPr>
        <w:t xml:space="preserve"> </w:t>
      </w:r>
      <w:r w:rsidRPr="00C67536">
        <w:rPr>
          <w:rFonts w:ascii="Arial" w:hAnsi="Arial" w:cs="Arial"/>
          <w:sz w:val="26"/>
          <w:szCs w:val="26"/>
        </w:rPr>
        <w:t>un</w:t>
      </w:r>
      <w:r w:rsidRPr="00C67536">
        <w:rPr>
          <w:rFonts w:ascii="Arial" w:hAnsi="Arial" w:cs="Arial"/>
          <w:spacing w:val="-8"/>
          <w:sz w:val="26"/>
          <w:szCs w:val="26"/>
        </w:rPr>
        <w:t xml:space="preserve"> </w:t>
      </w:r>
      <w:r w:rsidRPr="00C67536">
        <w:rPr>
          <w:rFonts w:ascii="Arial" w:hAnsi="Arial" w:cs="Arial"/>
          <w:sz w:val="26"/>
          <w:szCs w:val="26"/>
        </w:rPr>
        <w:t>estudio</w:t>
      </w:r>
      <w:r w:rsidRPr="00C67536">
        <w:rPr>
          <w:rFonts w:ascii="Arial" w:hAnsi="Arial" w:cs="Arial"/>
          <w:spacing w:val="-11"/>
          <w:sz w:val="26"/>
          <w:szCs w:val="26"/>
        </w:rPr>
        <w:t xml:space="preserve"> </w:t>
      </w:r>
      <w:r w:rsidRPr="00C67536">
        <w:rPr>
          <w:rFonts w:ascii="Arial" w:hAnsi="Arial" w:cs="Arial"/>
          <w:sz w:val="26"/>
          <w:szCs w:val="26"/>
        </w:rPr>
        <w:t>encabezado</w:t>
      </w:r>
      <w:r w:rsidRPr="00C67536">
        <w:rPr>
          <w:rFonts w:ascii="Arial" w:hAnsi="Arial" w:cs="Arial"/>
          <w:spacing w:val="-8"/>
          <w:sz w:val="26"/>
          <w:szCs w:val="26"/>
        </w:rPr>
        <w:t xml:space="preserve"> </w:t>
      </w:r>
      <w:r w:rsidRPr="00C67536">
        <w:rPr>
          <w:rFonts w:ascii="Arial" w:hAnsi="Arial" w:cs="Arial"/>
          <w:sz w:val="26"/>
          <w:szCs w:val="26"/>
        </w:rPr>
        <w:t>por</w:t>
      </w:r>
      <w:r w:rsidRPr="00C67536">
        <w:rPr>
          <w:rFonts w:ascii="Arial" w:hAnsi="Arial" w:cs="Arial"/>
          <w:spacing w:val="-10"/>
          <w:sz w:val="26"/>
          <w:szCs w:val="26"/>
        </w:rPr>
        <w:t xml:space="preserve"> </w:t>
      </w:r>
      <w:r w:rsidRPr="00C67536">
        <w:rPr>
          <w:rFonts w:ascii="Arial" w:hAnsi="Arial" w:cs="Arial"/>
          <w:sz w:val="26"/>
          <w:szCs w:val="26"/>
        </w:rPr>
        <w:t>la</w:t>
      </w:r>
      <w:r w:rsidRPr="00C67536">
        <w:rPr>
          <w:rFonts w:ascii="Arial" w:hAnsi="Arial" w:cs="Arial"/>
          <w:spacing w:val="-9"/>
          <w:sz w:val="26"/>
          <w:szCs w:val="26"/>
        </w:rPr>
        <w:t xml:space="preserve"> </w:t>
      </w:r>
      <w:r w:rsidRPr="00C67536">
        <w:rPr>
          <w:rFonts w:ascii="Arial" w:hAnsi="Arial" w:cs="Arial"/>
          <w:sz w:val="26"/>
          <w:szCs w:val="26"/>
        </w:rPr>
        <w:t>Universidad</w:t>
      </w:r>
      <w:r w:rsidRPr="00C67536">
        <w:rPr>
          <w:rFonts w:ascii="Arial" w:hAnsi="Arial" w:cs="Arial"/>
          <w:spacing w:val="-8"/>
          <w:sz w:val="26"/>
          <w:szCs w:val="26"/>
        </w:rPr>
        <w:t xml:space="preserve"> </w:t>
      </w:r>
      <w:r w:rsidRPr="00C67536">
        <w:rPr>
          <w:rFonts w:ascii="Arial" w:hAnsi="Arial" w:cs="Arial"/>
          <w:sz w:val="26"/>
          <w:szCs w:val="26"/>
        </w:rPr>
        <w:t>de</w:t>
      </w:r>
      <w:r w:rsidRPr="00C67536">
        <w:rPr>
          <w:rFonts w:ascii="Arial" w:hAnsi="Arial" w:cs="Arial"/>
          <w:spacing w:val="-8"/>
          <w:sz w:val="26"/>
          <w:szCs w:val="26"/>
        </w:rPr>
        <w:t xml:space="preserve"> </w:t>
      </w:r>
      <w:r w:rsidRPr="00C67536">
        <w:rPr>
          <w:rFonts w:ascii="Arial" w:hAnsi="Arial" w:cs="Arial"/>
          <w:sz w:val="26"/>
          <w:szCs w:val="26"/>
        </w:rPr>
        <w:t>Waterloo,</w:t>
      </w:r>
      <w:r w:rsidRPr="00C67536">
        <w:rPr>
          <w:rFonts w:ascii="Arial" w:hAnsi="Arial" w:cs="Arial"/>
          <w:spacing w:val="-11"/>
          <w:sz w:val="26"/>
          <w:szCs w:val="26"/>
        </w:rPr>
        <w:t xml:space="preserve"> </w:t>
      </w:r>
      <w:r w:rsidRPr="00C67536">
        <w:rPr>
          <w:rFonts w:ascii="Arial" w:hAnsi="Arial" w:cs="Arial"/>
          <w:sz w:val="26"/>
          <w:szCs w:val="26"/>
        </w:rPr>
        <w:t>en</w:t>
      </w:r>
      <w:r w:rsidRPr="00C67536">
        <w:rPr>
          <w:rFonts w:ascii="Arial" w:hAnsi="Arial" w:cs="Arial"/>
          <w:spacing w:val="-8"/>
          <w:sz w:val="26"/>
          <w:szCs w:val="26"/>
        </w:rPr>
        <w:t xml:space="preserve"> </w:t>
      </w:r>
      <w:r w:rsidRPr="00C67536">
        <w:rPr>
          <w:rFonts w:ascii="Arial" w:hAnsi="Arial" w:cs="Arial"/>
          <w:sz w:val="26"/>
          <w:szCs w:val="26"/>
        </w:rPr>
        <w:t>colaboración con el INSP, implementó un ensayo aleatorizado con representatividad nacional</w:t>
      </w:r>
      <w:r w:rsidRPr="00C67536">
        <w:rPr>
          <w:rFonts w:ascii="Arial" w:hAnsi="Arial" w:cs="Arial"/>
          <w:spacing w:val="-38"/>
          <w:sz w:val="26"/>
          <w:szCs w:val="26"/>
        </w:rPr>
        <w:t xml:space="preserve"> </w:t>
      </w:r>
      <w:r w:rsidRPr="00C67536">
        <w:rPr>
          <w:rFonts w:ascii="Arial" w:hAnsi="Arial" w:cs="Arial"/>
          <w:sz w:val="26"/>
          <w:szCs w:val="26"/>
        </w:rPr>
        <w:t>en 4,057</w:t>
      </w:r>
      <w:r w:rsidRPr="00C67536">
        <w:rPr>
          <w:rFonts w:ascii="Arial" w:hAnsi="Arial" w:cs="Arial"/>
          <w:spacing w:val="-8"/>
          <w:sz w:val="26"/>
          <w:szCs w:val="26"/>
        </w:rPr>
        <w:t xml:space="preserve"> </w:t>
      </w:r>
      <w:r w:rsidRPr="00C67536">
        <w:rPr>
          <w:rFonts w:ascii="Arial" w:hAnsi="Arial" w:cs="Arial"/>
          <w:sz w:val="26"/>
          <w:szCs w:val="26"/>
        </w:rPr>
        <w:t>adultos</w:t>
      </w:r>
      <w:r w:rsidRPr="00C67536">
        <w:rPr>
          <w:rFonts w:ascii="Arial" w:hAnsi="Arial" w:cs="Arial"/>
          <w:spacing w:val="-9"/>
          <w:sz w:val="26"/>
          <w:szCs w:val="26"/>
        </w:rPr>
        <w:t xml:space="preserve"> </w:t>
      </w:r>
      <w:r w:rsidRPr="00C67536">
        <w:rPr>
          <w:rFonts w:ascii="Arial" w:hAnsi="Arial" w:cs="Arial"/>
          <w:sz w:val="26"/>
          <w:szCs w:val="26"/>
        </w:rPr>
        <w:t>sobre</w:t>
      </w:r>
      <w:r w:rsidRPr="00C67536">
        <w:rPr>
          <w:rFonts w:ascii="Arial" w:hAnsi="Arial" w:cs="Arial"/>
          <w:spacing w:val="-8"/>
          <w:sz w:val="26"/>
          <w:szCs w:val="26"/>
        </w:rPr>
        <w:t xml:space="preserve"> </w:t>
      </w:r>
      <w:r w:rsidRPr="00C67536">
        <w:rPr>
          <w:rFonts w:ascii="Arial" w:hAnsi="Arial" w:cs="Arial"/>
          <w:sz w:val="26"/>
          <w:szCs w:val="26"/>
        </w:rPr>
        <w:t>la</w:t>
      </w:r>
      <w:r w:rsidRPr="00C67536">
        <w:rPr>
          <w:rFonts w:ascii="Arial" w:hAnsi="Arial" w:cs="Arial"/>
          <w:spacing w:val="-9"/>
          <w:sz w:val="26"/>
          <w:szCs w:val="26"/>
        </w:rPr>
        <w:t xml:space="preserve"> </w:t>
      </w:r>
      <w:r w:rsidRPr="00C67536">
        <w:rPr>
          <w:rFonts w:ascii="Arial" w:hAnsi="Arial" w:cs="Arial"/>
          <w:sz w:val="26"/>
          <w:szCs w:val="26"/>
        </w:rPr>
        <w:t>comprensión</w:t>
      </w:r>
      <w:r w:rsidRPr="00C67536">
        <w:rPr>
          <w:rFonts w:ascii="Arial" w:hAnsi="Arial" w:cs="Arial"/>
          <w:spacing w:val="-9"/>
          <w:sz w:val="26"/>
          <w:szCs w:val="26"/>
        </w:rPr>
        <w:t xml:space="preserve"> </w:t>
      </w:r>
      <w:r w:rsidRPr="00C67536">
        <w:rPr>
          <w:rFonts w:ascii="Arial" w:hAnsi="Arial" w:cs="Arial"/>
          <w:sz w:val="26"/>
          <w:szCs w:val="26"/>
        </w:rPr>
        <w:t>del</w:t>
      </w:r>
      <w:r w:rsidRPr="00C67536">
        <w:rPr>
          <w:rFonts w:ascii="Arial" w:hAnsi="Arial" w:cs="Arial"/>
          <w:spacing w:val="-10"/>
          <w:sz w:val="26"/>
          <w:szCs w:val="26"/>
        </w:rPr>
        <w:t xml:space="preserve"> </w:t>
      </w:r>
      <w:r w:rsidRPr="00C67536">
        <w:rPr>
          <w:rFonts w:ascii="Arial" w:hAnsi="Arial" w:cs="Arial"/>
          <w:sz w:val="26"/>
          <w:szCs w:val="26"/>
        </w:rPr>
        <w:t>GDA</w:t>
      </w:r>
      <w:r w:rsidRPr="00C67536">
        <w:rPr>
          <w:rFonts w:ascii="Arial" w:hAnsi="Arial" w:cs="Arial"/>
          <w:spacing w:val="-10"/>
          <w:sz w:val="26"/>
          <w:szCs w:val="26"/>
        </w:rPr>
        <w:t xml:space="preserve"> </w:t>
      </w:r>
      <w:r w:rsidRPr="00C67536">
        <w:rPr>
          <w:rFonts w:ascii="Arial" w:hAnsi="Arial" w:cs="Arial"/>
          <w:sz w:val="26"/>
          <w:szCs w:val="26"/>
        </w:rPr>
        <w:t>y</w:t>
      </w:r>
      <w:r w:rsidRPr="00C67536">
        <w:rPr>
          <w:rFonts w:ascii="Arial" w:hAnsi="Arial" w:cs="Arial"/>
          <w:spacing w:val="-9"/>
          <w:sz w:val="26"/>
          <w:szCs w:val="26"/>
        </w:rPr>
        <w:t xml:space="preserve"> </w:t>
      </w:r>
      <w:r w:rsidRPr="00C67536">
        <w:rPr>
          <w:rFonts w:ascii="Arial" w:hAnsi="Arial" w:cs="Arial"/>
          <w:sz w:val="26"/>
          <w:szCs w:val="26"/>
        </w:rPr>
        <w:t>del</w:t>
      </w:r>
      <w:r w:rsidRPr="00C67536">
        <w:rPr>
          <w:rFonts w:ascii="Arial" w:hAnsi="Arial" w:cs="Arial"/>
          <w:spacing w:val="-9"/>
          <w:sz w:val="26"/>
          <w:szCs w:val="26"/>
        </w:rPr>
        <w:t xml:space="preserve"> </w:t>
      </w:r>
      <w:r w:rsidRPr="00C67536">
        <w:rPr>
          <w:rFonts w:ascii="Arial" w:hAnsi="Arial" w:cs="Arial"/>
          <w:sz w:val="26"/>
          <w:szCs w:val="26"/>
        </w:rPr>
        <w:t>etiquetado</w:t>
      </w:r>
      <w:r w:rsidRPr="00C67536">
        <w:rPr>
          <w:rFonts w:ascii="Arial" w:hAnsi="Arial" w:cs="Arial"/>
          <w:spacing w:val="-8"/>
          <w:sz w:val="26"/>
          <w:szCs w:val="26"/>
        </w:rPr>
        <w:t xml:space="preserve"> </w:t>
      </w:r>
      <w:r w:rsidRPr="00C67536">
        <w:rPr>
          <w:rFonts w:ascii="Arial" w:hAnsi="Arial" w:cs="Arial"/>
          <w:sz w:val="26"/>
          <w:szCs w:val="26"/>
        </w:rPr>
        <w:t>de</w:t>
      </w:r>
      <w:r w:rsidRPr="00C67536">
        <w:rPr>
          <w:rFonts w:ascii="Arial" w:hAnsi="Arial" w:cs="Arial"/>
          <w:spacing w:val="-8"/>
          <w:sz w:val="26"/>
          <w:szCs w:val="26"/>
        </w:rPr>
        <w:t xml:space="preserve"> </w:t>
      </w:r>
      <w:r w:rsidRPr="00C67536">
        <w:rPr>
          <w:rFonts w:ascii="Arial" w:hAnsi="Arial" w:cs="Arial"/>
          <w:sz w:val="26"/>
          <w:szCs w:val="26"/>
        </w:rPr>
        <w:t>advertencia</w:t>
      </w:r>
      <w:r w:rsidRPr="00C67536">
        <w:rPr>
          <w:rFonts w:ascii="Arial" w:hAnsi="Arial" w:cs="Arial"/>
          <w:spacing w:val="-8"/>
          <w:sz w:val="26"/>
          <w:szCs w:val="26"/>
        </w:rPr>
        <w:t xml:space="preserve"> </w:t>
      </w:r>
      <w:r w:rsidRPr="00C67536">
        <w:rPr>
          <w:rFonts w:ascii="Arial" w:hAnsi="Arial" w:cs="Arial"/>
          <w:sz w:val="26"/>
          <w:szCs w:val="26"/>
        </w:rPr>
        <w:t>(como el chileno) en población mexicana. Este estudio encontró que sólo 6 por ciento de los</w:t>
      </w:r>
      <w:r w:rsidRPr="00C67536">
        <w:rPr>
          <w:rFonts w:ascii="Arial" w:hAnsi="Arial" w:cs="Arial"/>
          <w:spacing w:val="-6"/>
          <w:sz w:val="26"/>
          <w:szCs w:val="26"/>
        </w:rPr>
        <w:t xml:space="preserve"> </w:t>
      </w:r>
      <w:r w:rsidRPr="00C67536">
        <w:rPr>
          <w:rFonts w:ascii="Arial" w:hAnsi="Arial" w:cs="Arial"/>
          <w:sz w:val="26"/>
          <w:szCs w:val="26"/>
        </w:rPr>
        <w:t>participantes</w:t>
      </w:r>
      <w:r w:rsidRPr="00C67536">
        <w:rPr>
          <w:rFonts w:ascii="Arial" w:hAnsi="Arial" w:cs="Arial"/>
          <w:spacing w:val="-9"/>
          <w:sz w:val="26"/>
          <w:szCs w:val="26"/>
        </w:rPr>
        <w:t xml:space="preserve"> </w:t>
      </w:r>
      <w:r w:rsidRPr="00C67536">
        <w:rPr>
          <w:rFonts w:ascii="Arial" w:hAnsi="Arial" w:cs="Arial"/>
          <w:sz w:val="26"/>
          <w:szCs w:val="26"/>
        </w:rPr>
        <w:t>consideró</w:t>
      </w:r>
      <w:r w:rsidRPr="00C67536">
        <w:rPr>
          <w:rFonts w:ascii="Arial" w:hAnsi="Arial" w:cs="Arial"/>
          <w:spacing w:val="-9"/>
          <w:sz w:val="26"/>
          <w:szCs w:val="26"/>
        </w:rPr>
        <w:t xml:space="preserve"> </w:t>
      </w:r>
      <w:r w:rsidRPr="00C67536">
        <w:rPr>
          <w:rFonts w:ascii="Arial" w:hAnsi="Arial" w:cs="Arial"/>
          <w:sz w:val="26"/>
          <w:szCs w:val="26"/>
        </w:rPr>
        <w:t>el</w:t>
      </w:r>
      <w:r w:rsidRPr="00C67536">
        <w:rPr>
          <w:rFonts w:ascii="Arial" w:hAnsi="Arial" w:cs="Arial"/>
          <w:spacing w:val="-6"/>
          <w:sz w:val="26"/>
          <w:szCs w:val="26"/>
        </w:rPr>
        <w:t xml:space="preserve"> </w:t>
      </w:r>
      <w:r w:rsidRPr="00C67536">
        <w:rPr>
          <w:rFonts w:ascii="Arial" w:hAnsi="Arial" w:cs="Arial"/>
          <w:sz w:val="26"/>
          <w:szCs w:val="26"/>
        </w:rPr>
        <w:t>etiquetado</w:t>
      </w:r>
      <w:r w:rsidRPr="00C67536">
        <w:rPr>
          <w:rFonts w:ascii="Arial" w:hAnsi="Arial" w:cs="Arial"/>
          <w:spacing w:val="-6"/>
          <w:sz w:val="26"/>
          <w:szCs w:val="26"/>
        </w:rPr>
        <w:t xml:space="preserve"> </w:t>
      </w:r>
      <w:r w:rsidRPr="00C67536">
        <w:rPr>
          <w:rFonts w:ascii="Arial" w:hAnsi="Arial" w:cs="Arial"/>
          <w:sz w:val="26"/>
          <w:szCs w:val="26"/>
        </w:rPr>
        <w:t>actual</w:t>
      </w:r>
      <w:r w:rsidRPr="00C67536">
        <w:rPr>
          <w:rFonts w:ascii="Arial" w:hAnsi="Arial" w:cs="Arial"/>
          <w:spacing w:val="-7"/>
          <w:sz w:val="26"/>
          <w:szCs w:val="26"/>
        </w:rPr>
        <w:t xml:space="preserve"> </w:t>
      </w:r>
      <w:r w:rsidRPr="00C67536">
        <w:rPr>
          <w:rFonts w:ascii="Arial" w:hAnsi="Arial" w:cs="Arial"/>
          <w:sz w:val="26"/>
          <w:szCs w:val="26"/>
        </w:rPr>
        <w:t>fácil</w:t>
      </w:r>
      <w:r w:rsidRPr="00C67536">
        <w:rPr>
          <w:rFonts w:ascii="Arial" w:hAnsi="Arial" w:cs="Arial"/>
          <w:spacing w:val="-8"/>
          <w:sz w:val="26"/>
          <w:szCs w:val="26"/>
        </w:rPr>
        <w:t xml:space="preserve"> </w:t>
      </w:r>
      <w:r w:rsidRPr="00C67536">
        <w:rPr>
          <w:rFonts w:ascii="Arial" w:hAnsi="Arial" w:cs="Arial"/>
          <w:sz w:val="26"/>
          <w:szCs w:val="26"/>
        </w:rPr>
        <w:t>de</w:t>
      </w:r>
      <w:r w:rsidRPr="00C67536">
        <w:rPr>
          <w:rFonts w:ascii="Arial" w:hAnsi="Arial" w:cs="Arial"/>
          <w:spacing w:val="-5"/>
          <w:sz w:val="26"/>
          <w:szCs w:val="26"/>
        </w:rPr>
        <w:t xml:space="preserve"> </w:t>
      </w:r>
      <w:r w:rsidRPr="00C67536">
        <w:rPr>
          <w:rFonts w:ascii="Arial" w:hAnsi="Arial" w:cs="Arial"/>
          <w:sz w:val="26"/>
          <w:szCs w:val="26"/>
        </w:rPr>
        <w:t>comprender,</w:t>
      </w:r>
      <w:r w:rsidRPr="00C67536">
        <w:rPr>
          <w:rFonts w:ascii="Arial" w:hAnsi="Arial" w:cs="Arial"/>
          <w:spacing w:val="-9"/>
          <w:sz w:val="26"/>
          <w:szCs w:val="26"/>
        </w:rPr>
        <w:t xml:space="preserve"> </w:t>
      </w:r>
      <w:r w:rsidRPr="00C67536">
        <w:rPr>
          <w:rFonts w:ascii="Arial" w:hAnsi="Arial" w:cs="Arial"/>
          <w:sz w:val="26"/>
          <w:szCs w:val="26"/>
        </w:rPr>
        <w:t>a</w:t>
      </w:r>
      <w:r w:rsidRPr="00C67536">
        <w:rPr>
          <w:rFonts w:ascii="Arial" w:hAnsi="Arial" w:cs="Arial"/>
          <w:spacing w:val="-6"/>
          <w:sz w:val="26"/>
          <w:szCs w:val="26"/>
        </w:rPr>
        <w:t xml:space="preserve"> </w:t>
      </w:r>
      <w:r w:rsidRPr="00C67536">
        <w:rPr>
          <w:rFonts w:ascii="Arial" w:hAnsi="Arial" w:cs="Arial"/>
          <w:sz w:val="26"/>
          <w:szCs w:val="26"/>
        </w:rPr>
        <w:t>pesar</w:t>
      </w:r>
      <w:r w:rsidRPr="00C67536">
        <w:rPr>
          <w:rFonts w:ascii="Arial" w:hAnsi="Arial" w:cs="Arial"/>
          <w:spacing w:val="-10"/>
          <w:sz w:val="26"/>
          <w:szCs w:val="26"/>
        </w:rPr>
        <w:t xml:space="preserve"> </w:t>
      </w:r>
      <w:r w:rsidRPr="00C67536">
        <w:rPr>
          <w:rFonts w:ascii="Arial" w:hAnsi="Arial" w:cs="Arial"/>
          <w:sz w:val="26"/>
          <w:szCs w:val="26"/>
        </w:rPr>
        <w:t>de</w:t>
      </w:r>
      <w:r w:rsidRPr="00C67536">
        <w:rPr>
          <w:rFonts w:ascii="Arial" w:hAnsi="Arial" w:cs="Arial"/>
          <w:spacing w:val="-7"/>
          <w:sz w:val="26"/>
          <w:szCs w:val="26"/>
        </w:rPr>
        <w:t xml:space="preserve"> </w:t>
      </w:r>
      <w:r w:rsidRPr="00C67536">
        <w:rPr>
          <w:rFonts w:ascii="Arial" w:hAnsi="Arial" w:cs="Arial"/>
          <w:sz w:val="26"/>
          <w:szCs w:val="26"/>
        </w:rPr>
        <w:t>que 72 por ciento ha visto las GDA frecuentemente en los empaques de</w:t>
      </w:r>
      <w:r w:rsidRPr="00C67536">
        <w:rPr>
          <w:rFonts w:ascii="Arial" w:hAnsi="Arial" w:cs="Arial"/>
          <w:spacing w:val="-18"/>
          <w:sz w:val="26"/>
          <w:szCs w:val="26"/>
        </w:rPr>
        <w:t xml:space="preserve"> </w:t>
      </w:r>
      <w:r w:rsidRPr="00C67536">
        <w:rPr>
          <w:rFonts w:ascii="Arial" w:hAnsi="Arial" w:cs="Arial"/>
          <w:sz w:val="26"/>
          <w:szCs w:val="26"/>
        </w:rPr>
        <w:t>alimentos.</w:t>
      </w:r>
    </w:p>
    <w:p w14:paraId="2EE14368"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Este estudio encontró también que los participantes de bajos ingresos utilizan menos y comprenden menos las GDA, y reportan menor influencia en su selección de productos (p&lt;0.01). Por otro lado, 83 por ciento de los encuestados encontró el etiquetado</w:t>
      </w:r>
      <w:r w:rsidRPr="00C67536">
        <w:rPr>
          <w:rFonts w:ascii="Arial" w:hAnsi="Arial" w:cs="Arial"/>
          <w:spacing w:val="-17"/>
          <w:sz w:val="26"/>
          <w:szCs w:val="26"/>
        </w:rPr>
        <w:t xml:space="preserve"> </w:t>
      </w:r>
      <w:r w:rsidRPr="00C67536">
        <w:rPr>
          <w:rFonts w:ascii="Arial" w:hAnsi="Arial" w:cs="Arial"/>
          <w:sz w:val="26"/>
          <w:szCs w:val="26"/>
        </w:rPr>
        <w:t>de</w:t>
      </w:r>
      <w:r w:rsidRPr="00C67536">
        <w:rPr>
          <w:rFonts w:ascii="Arial" w:hAnsi="Arial" w:cs="Arial"/>
          <w:spacing w:val="-16"/>
          <w:sz w:val="26"/>
          <w:szCs w:val="26"/>
        </w:rPr>
        <w:t xml:space="preserve"> </w:t>
      </w:r>
      <w:r w:rsidRPr="00C67536">
        <w:rPr>
          <w:rFonts w:ascii="Arial" w:hAnsi="Arial" w:cs="Arial"/>
          <w:sz w:val="26"/>
          <w:szCs w:val="26"/>
        </w:rPr>
        <w:t>advertencia</w:t>
      </w:r>
      <w:r w:rsidRPr="00C67536">
        <w:rPr>
          <w:rFonts w:ascii="Arial" w:hAnsi="Arial" w:cs="Arial"/>
          <w:spacing w:val="-16"/>
          <w:sz w:val="26"/>
          <w:szCs w:val="26"/>
        </w:rPr>
        <w:t xml:space="preserve"> </w:t>
      </w:r>
      <w:r w:rsidRPr="00C67536">
        <w:rPr>
          <w:rFonts w:ascii="Arial" w:hAnsi="Arial" w:cs="Arial"/>
          <w:sz w:val="26"/>
          <w:szCs w:val="26"/>
        </w:rPr>
        <w:t>chileno</w:t>
      </w:r>
      <w:r w:rsidRPr="00C67536">
        <w:rPr>
          <w:rFonts w:ascii="Arial" w:hAnsi="Arial" w:cs="Arial"/>
          <w:spacing w:val="-18"/>
          <w:sz w:val="26"/>
          <w:szCs w:val="26"/>
        </w:rPr>
        <w:t xml:space="preserve"> </w:t>
      </w:r>
      <w:r w:rsidRPr="00C67536">
        <w:rPr>
          <w:rFonts w:ascii="Arial" w:hAnsi="Arial" w:cs="Arial"/>
          <w:sz w:val="26"/>
          <w:szCs w:val="26"/>
        </w:rPr>
        <w:t>fácil</w:t>
      </w:r>
      <w:r w:rsidRPr="00C67536">
        <w:rPr>
          <w:rFonts w:ascii="Arial" w:hAnsi="Arial" w:cs="Arial"/>
          <w:spacing w:val="-17"/>
          <w:sz w:val="26"/>
          <w:szCs w:val="26"/>
        </w:rPr>
        <w:t xml:space="preserve"> </w:t>
      </w:r>
      <w:r w:rsidRPr="00C67536">
        <w:rPr>
          <w:rFonts w:ascii="Arial" w:hAnsi="Arial" w:cs="Arial"/>
          <w:sz w:val="26"/>
          <w:szCs w:val="26"/>
        </w:rPr>
        <w:t>de</w:t>
      </w:r>
      <w:r w:rsidRPr="00C67536">
        <w:rPr>
          <w:rFonts w:ascii="Arial" w:hAnsi="Arial" w:cs="Arial"/>
          <w:spacing w:val="-19"/>
          <w:sz w:val="26"/>
          <w:szCs w:val="26"/>
        </w:rPr>
        <w:t xml:space="preserve"> </w:t>
      </w:r>
      <w:r w:rsidRPr="00C67536">
        <w:rPr>
          <w:rFonts w:ascii="Arial" w:hAnsi="Arial" w:cs="Arial"/>
          <w:sz w:val="26"/>
          <w:szCs w:val="26"/>
        </w:rPr>
        <w:t>entender,</w:t>
      </w:r>
      <w:r w:rsidRPr="00C67536">
        <w:rPr>
          <w:rFonts w:ascii="Arial" w:hAnsi="Arial" w:cs="Arial"/>
          <w:spacing w:val="-17"/>
          <w:sz w:val="26"/>
          <w:szCs w:val="26"/>
        </w:rPr>
        <w:t xml:space="preserve"> </w:t>
      </w:r>
      <w:r w:rsidRPr="00C67536">
        <w:rPr>
          <w:rFonts w:ascii="Arial" w:hAnsi="Arial" w:cs="Arial"/>
          <w:sz w:val="26"/>
          <w:szCs w:val="26"/>
        </w:rPr>
        <w:t>contra</w:t>
      </w:r>
      <w:r w:rsidRPr="00C67536">
        <w:rPr>
          <w:rFonts w:ascii="Arial" w:hAnsi="Arial" w:cs="Arial"/>
          <w:spacing w:val="-18"/>
          <w:sz w:val="26"/>
          <w:szCs w:val="26"/>
        </w:rPr>
        <w:t xml:space="preserve"> </w:t>
      </w:r>
      <w:r w:rsidRPr="00C67536">
        <w:rPr>
          <w:rFonts w:ascii="Arial" w:hAnsi="Arial" w:cs="Arial"/>
          <w:sz w:val="26"/>
          <w:szCs w:val="26"/>
        </w:rPr>
        <w:t>únicamente</w:t>
      </w:r>
      <w:r w:rsidRPr="00C67536">
        <w:rPr>
          <w:rFonts w:ascii="Arial" w:hAnsi="Arial" w:cs="Arial"/>
          <w:spacing w:val="-16"/>
          <w:sz w:val="26"/>
          <w:szCs w:val="26"/>
        </w:rPr>
        <w:t xml:space="preserve"> </w:t>
      </w:r>
      <w:r w:rsidRPr="00C67536">
        <w:rPr>
          <w:rFonts w:ascii="Arial" w:hAnsi="Arial" w:cs="Arial"/>
          <w:sz w:val="26"/>
          <w:szCs w:val="26"/>
        </w:rPr>
        <w:t>54</w:t>
      </w:r>
      <w:r w:rsidRPr="00C67536">
        <w:rPr>
          <w:rFonts w:ascii="Arial" w:hAnsi="Arial" w:cs="Arial"/>
          <w:spacing w:val="-18"/>
          <w:sz w:val="26"/>
          <w:szCs w:val="26"/>
        </w:rPr>
        <w:t xml:space="preserve"> </w:t>
      </w:r>
      <w:r w:rsidRPr="00C67536">
        <w:rPr>
          <w:rFonts w:ascii="Arial" w:hAnsi="Arial" w:cs="Arial"/>
          <w:sz w:val="26"/>
          <w:szCs w:val="26"/>
        </w:rPr>
        <w:t>por</w:t>
      </w:r>
      <w:r w:rsidRPr="00C67536">
        <w:rPr>
          <w:rFonts w:ascii="Arial" w:hAnsi="Arial" w:cs="Arial"/>
          <w:spacing w:val="-18"/>
          <w:sz w:val="26"/>
          <w:szCs w:val="26"/>
        </w:rPr>
        <w:t xml:space="preserve"> </w:t>
      </w:r>
      <w:r w:rsidRPr="00C67536">
        <w:rPr>
          <w:rFonts w:ascii="Arial" w:hAnsi="Arial" w:cs="Arial"/>
          <w:sz w:val="26"/>
          <w:szCs w:val="26"/>
        </w:rPr>
        <w:t>ciento para las GDA y 51 por ciento para el sistema de estrellas de la</w:t>
      </w:r>
      <w:r w:rsidRPr="00C67536">
        <w:rPr>
          <w:rFonts w:ascii="Arial" w:hAnsi="Arial" w:cs="Arial"/>
          <w:spacing w:val="-16"/>
          <w:sz w:val="26"/>
          <w:szCs w:val="26"/>
        </w:rPr>
        <w:t xml:space="preserve"> </w:t>
      </w:r>
      <w:r w:rsidRPr="00C67536">
        <w:rPr>
          <w:rFonts w:ascii="Arial" w:hAnsi="Arial" w:cs="Arial"/>
          <w:sz w:val="26"/>
          <w:szCs w:val="26"/>
        </w:rPr>
        <w:t>salud.</w:t>
      </w:r>
    </w:p>
    <w:p w14:paraId="12E3BEFB"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Finalmente,</w:t>
      </w:r>
      <w:r w:rsidRPr="00C67536">
        <w:rPr>
          <w:rFonts w:ascii="Arial" w:hAnsi="Arial" w:cs="Arial"/>
          <w:spacing w:val="-6"/>
          <w:sz w:val="26"/>
          <w:szCs w:val="26"/>
        </w:rPr>
        <w:t xml:space="preserve"> </w:t>
      </w:r>
      <w:r w:rsidRPr="00C67536">
        <w:rPr>
          <w:rFonts w:ascii="Arial" w:hAnsi="Arial" w:cs="Arial"/>
          <w:sz w:val="26"/>
          <w:szCs w:val="26"/>
        </w:rPr>
        <w:t>el</w:t>
      </w:r>
      <w:r w:rsidRPr="00C67536">
        <w:rPr>
          <w:rFonts w:ascii="Arial" w:hAnsi="Arial" w:cs="Arial"/>
          <w:spacing w:val="-7"/>
          <w:sz w:val="26"/>
          <w:szCs w:val="26"/>
        </w:rPr>
        <w:t xml:space="preserve"> </w:t>
      </w:r>
      <w:r w:rsidRPr="00C67536">
        <w:rPr>
          <w:rFonts w:ascii="Arial" w:hAnsi="Arial" w:cs="Arial"/>
          <w:sz w:val="26"/>
          <w:szCs w:val="26"/>
        </w:rPr>
        <w:t>estudio</w:t>
      </w:r>
      <w:r w:rsidRPr="00C67536">
        <w:rPr>
          <w:rFonts w:ascii="Arial" w:hAnsi="Arial" w:cs="Arial"/>
          <w:spacing w:val="-6"/>
          <w:sz w:val="26"/>
          <w:szCs w:val="26"/>
        </w:rPr>
        <w:t xml:space="preserve"> </w:t>
      </w:r>
      <w:r w:rsidRPr="00C67536">
        <w:rPr>
          <w:rFonts w:ascii="Arial" w:hAnsi="Arial" w:cs="Arial"/>
          <w:sz w:val="26"/>
          <w:szCs w:val="26"/>
        </w:rPr>
        <w:t>encontró</w:t>
      </w:r>
      <w:r w:rsidRPr="00C67536">
        <w:rPr>
          <w:rFonts w:ascii="Arial" w:hAnsi="Arial" w:cs="Arial"/>
          <w:spacing w:val="-6"/>
          <w:sz w:val="26"/>
          <w:szCs w:val="26"/>
        </w:rPr>
        <w:t xml:space="preserve"> </w:t>
      </w:r>
      <w:r w:rsidRPr="00C67536">
        <w:rPr>
          <w:rFonts w:ascii="Arial" w:hAnsi="Arial" w:cs="Arial"/>
          <w:sz w:val="26"/>
          <w:szCs w:val="26"/>
        </w:rPr>
        <w:t>que</w:t>
      </w:r>
      <w:r w:rsidRPr="00C67536">
        <w:rPr>
          <w:rFonts w:ascii="Arial" w:hAnsi="Arial" w:cs="Arial"/>
          <w:spacing w:val="-6"/>
          <w:sz w:val="26"/>
          <w:szCs w:val="26"/>
        </w:rPr>
        <w:t xml:space="preserve"> </w:t>
      </w:r>
      <w:r w:rsidRPr="00C67536">
        <w:rPr>
          <w:rFonts w:ascii="Arial" w:hAnsi="Arial" w:cs="Arial"/>
          <w:sz w:val="26"/>
          <w:szCs w:val="26"/>
        </w:rPr>
        <w:t>89</w:t>
      </w:r>
      <w:r w:rsidRPr="00C67536">
        <w:rPr>
          <w:rFonts w:ascii="Arial" w:hAnsi="Arial" w:cs="Arial"/>
          <w:spacing w:val="-4"/>
          <w:sz w:val="26"/>
          <w:szCs w:val="26"/>
        </w:rPr>
        <w:t xml:space="preserve"> </w:t>
      </w:r>
      <w:r w:rsidRPr="00C67536">
        <w:rPr>
          <w:rFonts w:ascii="Arial" w:hAnsi="Arial" w:cs="Arial"/>
          <w:sz w:val="26"/>
          <w:szCs w:val="26"/>
        </w:rPr>
        <w:t>por</w:t>
      </w:r>
      <w:r w:rsidRPr="00C67536">
        <w:rPr>
          <w:rFonts w:ascii="Arial" w:hAnsi="Arial" w:cs="Arial"/>
          <w:spacing w:val="-5"/>
          <w:sz w:val="26"/>
          <w:szCs w:val="26"/>
        </w:rPr>
        <w:t xml:space="preserve"> </w:t>
      </w:r>
      <w:r w:rsidRPr="00C67536">
        <w:rPr>
          <w:rFonts w:ascii="Arial" w:hAnsi="Arial" w:cs="Arial"/>
          <w:sz w:val="26"/>
          <w:szCs w:val="26"/>
        </w:rPr>
        <w:t>ciento</w:t>
      </w:r>
      <w:r w:rsidRPr="00C67536">
        <w:rPr>
          <w:rFonts w:ascii="Arial" w:hAnsi="Arial" w:cs="Arial"/>
          <w:spacing w:val="-5"/>
          <w:sz w:val="26"/>
          <w:szCs w:val="26"/>
        </w:rPr>
        <w:t xml:space="preserve"> </w:t>
      </w:r>
      <w:r w:rsidRPr="00C67536">
        <w:rPr>
          <w:rFonts w:ascii="Arial" w:hAnsi="Arial" w:cs="Arial"/>
          <w:sz w:val="26"/>
          <w:szCs w:val="26"/>
        </w:rPr>
        <w:t>de</w:t>
      </w:r>
      <w:r w:rsidRPr="00C67536">
        <w:rPr>
          <w:rFonts w:ascii="Arial" w:hAnsi="Arial" w:cs="Arial"/>
          <w:spacing w:val="-4"/>
          <w:sz w:val="26"/>
          <w:szCs w:val="26"/>
        </w:rPr>
        <w:t xml:space="preserve"> </w:t>
      </w:r>
      <w:r w:rsidRPr="00C67536">
        <w:rPr>
          <w:rFonts w:ascii="Arial" w:hAnsi="Arial" w:cs="Arial"/>
          <w:sz w:val="26"/>
          <w:szCs w:val="26"/>
        </w:rPr>
        <w:t>los</w:t>
      </w:r>
      <w:r w:rsidRPr="00C67536">
        <w:rPr>
          <w:rFonts w:ascii="Arial" w:hAnsi="Arial" w:cs="Arial"/>
          <w:spacing w:val="-6"/>
          <w:sz w:val="26"/>
          <w:szCs w:val="26"/>
        </w:rPr>
        <w:t xml:space="preserve"> </w:t>
      </w:r>
      <w:r w:rsidRPr="00C67536">
        <w:rPr>
          <w:rFonts w:ascii="Arial" w:hAnsi="Arial" w:cs="Arial"/>
          <w:sz w:val="26"/>
          <w:szCs w:val="26"/>
        </w:rPr>
        <w:t>participantes</w:t>
      </w:r>
      <w:r w:rsidRPr="00C67536">
        <w:rPr>
          <w:rFonts w:ascii="Arial" w:hAnsi="Arial" w:cs="Arial"/>
          <w:spacing w:val="-4"/>
          <w:sz w:val="26"/>
          <w:szCs w:val="26"/>
        </w:rPr>
        <w:t xml:space="preserve"> </w:t>
      </w:r>
      <w:r w:rsidRPr="00C67536">
        <w:rPr>
          <w:rFonts w:ascii="Arial" w:hAnsi="Arial" w:cs="Arial"/>
          <w:sz w:val="26"/>
          <w:szCs w:val="26"/>
        </w:rPr>
        <w:t>apoyaría</w:t>
      </w:r>
      <w:r w:rsidRPr="00C67536">
        <w:rPr>
          <w:rFonts w:ascii="Arial" w:hAnsi="Arial" w:cs="Arial"/>
          <w:spacing w:val="-4"/>
          <w:sz w:val="26"/>
          <w:szCs w:val="26"/>
        </w:rPr>
        <w:t xml:space="preserve"> </w:t>
      </w:r>
      <w:r w:rsidRPr="00C67536">
        <w:rPr>
          <w:rFonts w:ascii="Arial" w:hAnsi="Arial" w:cs="Arial"/>
          <w:sz w:val="26"/>
          <w:szCs w:val="26"/>
        </w:rPr>
        <w:t>una política</w:t>
      </w:r>
      <w:r w:rsidRPr="00C67536">
        <w:rPr>
          <w:rFonts w:ascii="Arial" w:hAnsi="Arial" w:cs="Arial"/>
          <w:spacing w:val="-18"/>
          <w:sz w:val="26"/>
          <w:szCs w:val="26"/>
        </w:rPr>
        <w:t xml:space="preserve"> </w:t>
      </w:r>
      <w:r w:rsidRPr="00C67536">
        <w:rPr>
          <w:rFonts w:ascii="Arial" w:hAnsi="Arial" w:cs="Arial"/>
          <w:sz w:val="26"/>
          <w:szCs w:val="26"/>
        </w:rPr>
        <w:t>gubernamental</w:t>
      </w:r>
      <w:r w:rsidRPr="00C67536">
        <w:rPr>
          <w:rFonts w:ascii="Arial" w:hAnsi="Arial" w:cs="Arial"/>
          <w:spacing w:val="-18"/>
          <w:sz w:val="26"/>
          <w:szCs w:val="26"/>
        </w:rPr>
        <w:t xml:space="preserve"> </w:t>
      </w:r>
      <w:r w:rsidRPr="00C67536">
        <w:rPr>
          <w:rFonts w:ascii="Arial" w:hAnsi="Arial" w:cs="Arial"/>
          <w:sz w:val="26"/>
          <w:szCs w:val="26"/>
        </w:rPr>
        <w:t>que</w:t>
      </w:r>
      <w:r w:rsidRPr="00C67536">
        <w:rPr>
          <w:rFonts w:ascii="Arial" w:hAnsi="Arial" w:cs="Arial"/>
          <w:spacing w:val="-17"/>
          <w:sz w:val="26"/>
          <w:szCs w:val="26"/>
        </w:rPr>
        <w:t xml:space="preserve"> </w:t>
      </w:r>
      <w:r w:rsidRPr="00C67536">
        <w:rPr>
          <w:rFonts w:ascii="Arial" w:hAnsi="Arial" w:cs="Arial"/>
          <w:sz w:val="26"/>
          <w:szCs w:val="26"/>
        </w:rPr>
        <w:t>exigiera</w:t>
      </w:r>
      <w:r w:rsidRPr="00C67536">
        <w:rPr>
          <w:rFonts w:ascii="Arial" w:hAnsi="Arial" w:cs="Arial"/>
          <w:spacing w:val="-16"/>
          <w:sz w:val="26"/>
          <w:szCs w:val="26"/>
        </w:rPr>
        <w:t xml:space="preserve"> </w:t>
      </w:r>
      <w:r w:rsidRPr="00C67536">
        <w:rPr>
          <w:rFonts w:ascii="Arial" w:hAnsi="Arial" w:cs="Arial"/>
          <w:sz w:val="26"/>
          <w:szCs w:val="26"/>
        </w:rPr>
        <w:t>el</w:t>
      </w:r>
      <w:r w:rsidRPr="00C67536">
        <w:rPr>
          <w:rFonts w:ascii="Arial" w:hAnsi="Arial" w:cs="Arial"/>
          <w:spacing w:val="-18"/>
          <w:sz w:val="26"/>
          <w:szCs w:val="26"/>
        </w:rPr>
        <w:t xml:space="preserve"> </w:t>
      </w:r>
      <w:r w:rsidRPr="00C67536">
        <w:rPr>
          <w:rFonts w:ascii="Arial" w:hAnsi="Arial" w:cs="Arial"/>
          <w:sz w:val="26"/>
          <w:szCs w:val="26"/>
        </w:rPr>
        <w:t>uso</w:t>
      </w:r>
      <w:r w:rsidRPr="00C67536">
        <w:rPr>
          <w:rFonts w:ascii="Arial" w:hAnsi="Arial" w:cs="Arial"/>
          <w:spacing w:val="-16"/>
          <w:sz w:val="26"/>
          <w:szCs w:val="26"/>
        </w:rPr>
        <w:t xml:space="preserve"> </w:t>
      </w:r>
      <w:r w:rsidRPr="00C67536">
        <w:rPr>
          <w:rFonts w:ascii="Arial" w:hAnsi="Arial" w:cs="Arial"/>
          <w:sz w:val="26"/>
          <w:szCs w:val="26"/>
        </w:rPr>
        <w:t>de</w:t>
      </w:r>
      <w:r w:rsidRPr="00C67536">
        <w:rPr>
          <w:rFonts w:ascii="Arial" w:hAnsi="Arial" w:cs="Arial"/>
          <w:spacing w:val="-17"/>
          <w:sz w:val="26"/>
          <w:szCs w:val="26"/>
        </w:rPr>
        <w:t xml:space="preserve"> </w:t>
      </w:r>
      <w:r w:rsidRPr="00C67536">
        <w:rPr>
          <w:rFonts w:ascii="Arial" w:hAnsi="Arial" w:cs="Arial"/>
          <w:sz w:val="26"/>
          <w:szCs w:val="26"/>
        </w:rPr>
        <w:t>este</w:t>
      </w:r>
      <w:r w:rsidRPr="00C67536">
        <w:rPr>
          <w:rFonts w:ascii="Arial" w:hAnsi="Arial" w:cs="Arial"/>
          <w:spacing w:val="-14"/>
          <w:sz w:val="26"/>
          <w:szCs w:val="26"/>
        </w:rPr>
        <w:t xml:space="preserve"> </w:t>
      </w:r>
      <w:r w:rsidRPr="00C67536">
        <w:rPr>
          <w:rFonts w:ascii="Arial" w:hAnsi="Arial" w:cs="Arial"/>
          <w:sz w:val="26"/>
          <w:szCs w:val="26"/>
        </w:rPr>
        <w:t>tipo</w:t>
      </w:r>
      <w:r w:rsidRPr="00C67536">
        <w:rPr>
          <w:rFonts w:ascii="Arial" w:hAnsi="Arial" w:cs="Arial"/>
          <w:spacing w:val="-16"/>
          <w:sz w:val="26"/>
          <w:szCs w:val="26"/>
        </w:rPr>
        <w:t xml:space="preserve"> </w:t>
      </w:r>
      <w:r w:rsidRPr="00C67536">
        <w:rPr>
          <w:rFonts w:ascii="Arial" w:hAnsi="Arial" w:cs="Arial"/>
          <w:sz w:val="26"/>
          <w:szCs w:val="26"/>
        </w:rPr>
        <w:t>de</w:t>
      </w:r>
      <w:r w:rsidRPr="00C67536">
        <w:rPr>
          <w:rFonts w:ascii="Arial" w:hAnsi="Arial" w:cs="Arial"/>
          <w:spacing w:val="-15"/>
          <w:sz w:val="26"/>
          <w:szCs w:val="26"/>
        </w:rPr>
        <w:t xml:space="preserve"> </w:t>
      </w:r>
      <w:r w:rsidRPr="00C67536">
        <w:rPr>
          <w:rFonts w:ascii="Arial" w:hAnsi="Arial" w:cs="Arial"/>
          <w:sz w:val="26"/>
          <w:szCs w:val="26"/>
        </w:rPr>
        <w:t>etiquetas</w:t>
      </w:r>
      <w:r w:rsidRPr="00C67536">
        <w:rPr>
          <w:rFonts w:ascii="Arial" w:hAnsi="Arial" w:cs="Arial"/>
          <w:spacing w:val="-15"/>
          <w:sz w:val="26"/>
          <w:szCs w:val="26"/>
        </w:rPr>
        <w:t xml:space="preserve"> </w:t>
      </w:r>
      <w:r w:rsidRPr="00C67536">
        <w:rPr>
          <w:rFonts w:ascii="Arial" w:hAnsi="Arial" w:cs="Arial"/>
          <w:sz w:val="26"/>
          <w:szCs w:val="26"/>
        </w:rPr>
        <w:t>en</w:t>
      </w:r>
      <w:r w:rsidRPr="00C67536">
        <w:rPr>
          <w:rFonts w:ascii="Arial" w:hAnsi="Arial" w:cs="Arial"/>
          <w:spacing w:val="-16"/>
          <w:sz w:val="26"/>
          <w:szCs w:val="26"/>
        </w:rPr>
        <w:t xml:space="preserve"> </w:t>
      </w:r>
      <w:r w:rsidRPr="00C67536">
        <w:rPr>
          <w:rFonts w:ascii="Arial" w:hAnsi="Arial" w:cs="Arial"/>
          <w:sz w:val="26"/>
          <w:szCs w:val="26"/>
        </w:rPr>
        <w:t>los</w:t>
      </w:r>
      <w:r w:rsidRPr="00C67536">
        <w:rPr>
          <w:rFonts w:ascii="Arial" w:hAnsi="Arial" w:cs="Arial"/>
          <w:spacing w:val="-15"/>
          <w:sz w:val="26"/>
          <w:szCs w:val="26"/>
        </w:rPr>
        <w:t xml:space="preserve"> </w:t>
      </w:r>
      <w:r w:rsidRPr="00C67536">
        <w:rPr>
          <w:rFonts w:ascii="Arial" w:hAnsi="Arial" w:cs="Arial"/>
          <w:sz w:val="26"/>
          <w:szCs w:val="26"/>
        </w:rPr>
        <w:t>productos alimenticios.</w:t>
      </w:r>
    </w:p>
    <w:p w14:paraId="462260A0"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Estos hallazgos son consistentes con la evidencia de que las GDA tienen la comprensión más baja y generan disparidades importantes en población de bajos recursos, y que los etiquetados de advertencia son más fáciles de comprender y más efectivos en general.</w:t>
      </w:r>
    </w:p>
    <w:p w14:paraId="2FE1B1DE"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w:t>
      </w:r>
      <w:r w:rsidRPr="00C67536">
        <w:rPr>
          <w:rFonts w:ascii="Arial" w:hAnsi="Arial" w:cs="Arial"/>
          <w:spacing w:val="-4"/>
          <w:sz w:val="26"/>
          <w:szCs w:val="26"/>
        </w:rPr>
        <w:t xml:space="preserve"> </w:t>
      </w:r>
      <w:r w:rsidRPr="00C67536">
        <w:rPr>
          <w:rFonts w:ascii="Arial" w:hAnsi="Arial" w:cs="Arial"/>
          <w:sz w:val="26"/>
          <w:szCs w:val="26"/>
        </w:rPr>
        <w:t>Secretaría</w:t>
      </w:r>
      <w:r w:rsidRPr="00C67536">
        <w:rPr>
          <w:rFonts w:ascii="Arial" w:hAnsi="Arial" w:cs="Arial"/>
          <w:spacing w:val="-4"/>
          <w:sz w:val="26"/>
          <w:szCs w:val="26"/>
        </w:rPr>
        <w:t xml:space="preserve"> </w:t>
      </w:r>
      <w:r w:rsidRPr="00C67536">
        <w:rPr>
          <w:rFonts w:ascii="Arial" w:hAnsi="Arial" w:cs="Arial"/>
          <w:sz w:val="26"/>
          <w:szCs w:val="26"/>
        </w:rPr>
        <w:t>de</w:t>
      </w:r>
      <w:r w:rsidRPr="00C67536">
        <w:rPr>
          <w:rFonts w:ascii="Arial" w:hAnsi="Arial" w:cs="Arial"/>
          <w:spacing w:val="-3"/>
          <w:sz w:val="26"/>
          <w:szCs w:val="26"/>
        </w:rPr>
        <w:t xml:space="preserve"> </w:t>
      </w:r>
      <w:r w:rsidRPr="00C67536">
        <w:rPr>
          <w:rFonts w:ascii="Arial" w:hAnsi="Arial" w:cs="Arial"/>
          <w:sz w:val="26"/>
          <w:szCs w:val="26"/>
        </w:rPr>
        <w:t>Salud</w:t>
      </w:r>
      <w:r w:rsidRPr="00C67536">
        <w:rPr>
          <w:rFonts w:ascii="Arial" w:hAnsi="Arial" w:cs="Arial"/>
          <w:spacing w:val="-6"/>
          <w:sz w:val="26"/>
          <w:szCs w:val="26"/>
        </w:rPr>
        <w:t xml:space="preserve"> </w:t>
      </w:r>
      <w:r w:rsidRPr="00C67536">
        <w:rPr>
          <w:rFonts w:ascii="Arial" w:hAnsi="Arial" w:cs="Arial"/>
          <w:sz w:val="26"/>
          <w:szCs w:val="26"/>
        </w:rPr>
        <w:t>solicitó</w:t>
      </w:r>
      <w:r w:rsidRPr="00C67536">
        <w:rPr>
          <w:rFonts w:ascii="Arial" w:hAnsi="Arial" w:cs="Arial"/>
          <w:spacing w:val="-3"/>
          <w:sz w:val="26"/>
          <w:szCs w:val="26"/>
        </w:rPr>
        <w:t xml:space="preserve"> </w:t>
      </w:r>
      <w:r w:rsidRPr="00C67536">
        <w:rPr>
          <w:rFonts w:ascii="Arial" w:hAnsi="Arial" w:cs="Arial"/>
          <w:sz w:val="26"/>
          <w:szCs w:val="26"/>
        </w:rPr>
        <w:t>el</w:t>
      </w:r>
      <w:r w:rsidRPr="00C67536">
        <w:rPr>
          <w:rFonts w:ascii="Arial" w:hAnsi="Arial" w:cs="Arial"/>
          <w:spacing w:val="-5"/>
          <w:sz w:val="26"/>
          <w:szCs w:val="26"/>
        </w:rPr>
        <w:t xml:space="preserve"> </w:t>
      </w:r>
      <w:r w:rsidRPr="00C67536">
        <w:rPr>
          <w:rFonts w:ascii="Arial" w:hAnsi="Arial" w:cs="Arial"/>
          <w:sz w:val="26"/>
          <w:szCs w:val="26"/>
        </w:rPr>
        <w:t>día</w:t>
      </w:r>
      <w:r w:rsidRPr="00C67536">
        <w:rPr>
          <w:rFonts w:ascii="Arial" w:hAnsi="Arial" w:cs="Arial"/>
          <w:spacing w:val="-2"/>
          <w:sz w:val="26"/>
          <w:szCs w:val="26"/>
        </w:rPr>
        <w:t xml:space="preserve"> </w:t>
      </w:r>
      <w:r w:rsidRPr="00C67536">
        <w:rPr>
          <w:rFonts w:ascii="Arial" w:hAnsi="Arial" w:cs="Arial"/>
          <w:sz w:val="26"/>
          <w:szCs w:val="26"/>
        </w:rPr>
        <w:t>21</w:t>
      </w:r>
      <w:r w:rsidRPr="00C67536">
        <w:rPr>
          <w:rFonts w:ascii="Arial" w:hAnsi="Arial" w:cs="Arial"/>
          <w:spacing w:val="-4"/>
          <w:sz w:val="26"/>
          <w:szCs w:val="26"/>
        </w:rPr>
        <w:t xml:space="preserve"> </w:t>
      </w:r>
      <w:r w:rsidRPr="00C67536">
        <w:rPr>
          <w:rFonts w:ascii="Arial" w:hAnsi="Arial" w:cs="Arial"/>
          <w:sz w:val="26"/>
          <w:szCs w:val="26"/>
        </w:rPr>
        <w:t>de</w:t>
      </w:r>
      <w:r w:rsidRPr="00C67536">
        <w:rPr>
          <w:rFonts w:ascii="Arial" w:hAnsi="Arial" w:cs="Arial"/>
          <w:spacing w:val="-3"/>
          <w:sz w:val="26"/>
          <w:szCs w:val="26"/>
        </w:rPr>
        <w:t xml:space="preserve"> </w:t>
      </w:r>
      <w:r w:rsidRPr="00C67536">
        <w:rPr>
          <w:rFonts w:ascii="Arial" w:hAnsi="Arial" w:cs="Arial"/>
          <w:sz w:val="26"/>
          <w:szCs w:val="26"/>
        </w:rPr>
        <w:t>noviembre</w:t>
      </w:r>
      <w:r w:rsidRPr="00C67536">
        <w:rPr>
          <w:rFonts w:ascii="Arial" w:hAnsi="Arial" w:cs="Arial"/>
          <w:spacing w:val="-7"/>
          <w:sz w:val="26"/>
          <w:szCs w:val="26"/>
        </w:rPr>
        <w:t xml:space="preserve"> </w:t>
      </w:r>
      <w:r w:rsidRPr="00C67536">
        <w:rPr>
          <w:rFonts w:ascii="Arial" w:hAnsi="Arial" w:cs="Arial"/>
          <w:sz w:val="26"/>
          <w:szCs w:val="26"/>
        </w:rPr>
        <w:t>de</w:t>
      </w:r>
      <w:r w:rsidRPr="00C67536">
        <w:rPr>
          <w:rFonts w:ascii="Arial" w:hAnsi="Arial" w:cs="Arial"/>
          <w:spacing w:val="-3"/>
          <w:sz w:val="26"/>
          <w:szCs w:val="26"/>
        </w:rPr>
        <w:t xml:space="preserve"> </w:t>
      </w:r>
      <w:r w:rsidRPr="00C67536">
        <w:rPr>
          <w:rFonts w:ascii="Arial" w:hAnsi="Arial" w:cs="Arial"/>
          <w:sz w:val="26"/>
          <w:szCs w:val="26"/>
        </w:rPr>
        <w:t>2017</w:t>
      </w:r>
      <w:r w:rsidRPr="00C67536">
        <w:rPr>
          <w:rFonts w:ascii="Arial" w:hAnsi="Arial" w:cs="Arial"/>
          <w:spacing w:val="-4"/>
          <w:sz w:val="26"/>
          <w:szCs w:val="26"/>
        </w:rPr>
        <w:t xml:space="preserve"> </w:t>
      </w:r>
      <w:r w:rsidRPr="00C67536">
        <w:rPr>
          <w:rFonts w:ascii="Arial" w:hAnsi="Arial" w:cs="Arial"/>
          <w:sz w:val="26"/>
          <w:szCs w:val="26"/>
        </w:rPr>
        <w:t>al</w:t>
      </w:r>
      <w:r w:rsidRPr="00C67536">
        <w:rPr>
          <w:rFonts w:ascii="Arial" w:hAnsi="Arial" w:cs="Arial"/>
          <w:spacing w:val="-5"/>
          <w:sz w:val="26"/>
          <w:szCs w:val="26"/>
        </w:rPr>
        <w:t xml:space="preserve"> </w:t>
      </w:r>
      <w:r w:rsidRPr="00C67536">
        <w:rPr>
          <w:rFonts w:ascii="Arial" w:hAnsi="Arial" w:cs="Arial"/>
          <w:sz w:val="26"/>
          <w:szCs w:val="26"/>
        </w:rPr>
        <w:t>Instituto</w:t>
      </w:r>
      <w:r w:rsidRPr="00C67536">
        <w:rPr>
          <w:rFonts w:ascii="Arial" w:hAnsi="Arial" w:cs="Arial"/>
          <w:spacing w:val="-2"/>
          <w:sz w:val="26"/>
          <w:szCs w:val="26"/>
        </w:rPr>
        <w:t xml:space="preserve"> </w:t>
      </w:r>
      <w:r w:rsidRPr="00C67536">
        <w:rPr>
          <w:rFonts w:ascii="Arial" w:hAnsi="Arial" w:cs="Arial"/>
          <w:sz w:val="26"/>
          <w:szCs w:val="26"/>
        </w:rPr>
        <w:t>Nacional de</w:t>
      </w:r>
      <w:r w:rsidRPr="00C67536">
        <w:rPr>
          <w:rFonts w:ascii="Arial" w:hAnsi="Arial" w:cs="Arial"/>
          <w:spacing w:val="-16"/>
          <w:sz w:val="26"/>
          <w:szCs w:val="26"/>
        </w:rPr>
        <w:t xml:space="preserve"> </w:t>
      </w:r>
      <w:r w:rsidRPr="00C67536">
        <w:rPr>
          <w:rFonts w:ascii="Arial" w:hAnsi="Arial" w:cs="Arial"/>
          <w:sz w:val="26"/>
          <w:szCs w:val="26"/>
        </w:rPr>
        <w:t>Salud</w:t>
      </w:r>
      <w:r w:rsidRPr="00C67536">
        <w:rPr>
          <w:rFonts w:ascii="Arial" w:hAnsi="Arial" w:cs="Arial"/>
          <w:spacing w:val="-14"/>
          <w:sz w:val="26"/>
          <w:szCs w:val="26"/>
        </w:rPr>
        <w:t xml:space="preserve"> </w:t>
      </w:r>
      <w:r w:rsidRPr="00C67536">
        <w:rPr>
          <w:rFonts w:ascii="Arial" w:hAnsi="Arial" w:cs="Arial"/>
          <w:sz w:val="26"/>
          <w:szCs w:val="26"/>
        </w:rPr>
        <w:t>Pública</w:t>
      </w:r>
      <w:r w:rsidRPr="00C67536">
        <w:rPr>
          <w:rFonts w:ascii="Arial" w:hAnsi="Arial" w:cs="Arial"/>
          <w:spacing w:val="-15"/>
          <w:sz w:val="26"/>
          <w:szCs w:val="26"/>
        </w:rPr>
        <w:t xml:space="preserve"> </w:t>
      </w:r>
      <w:r w:rsidRPr="00C67536">
        <w:rPr>
          <w:rFonts w:ascii="Arial" w:hAnsi="Arial" w:cs="Arial"/>
          <w:sz w:val="26"/>
          <w:szCs w:val="26"/>
        </w:rPr>
        <w:t>la</w:t>
      </w:r>
      <w:r w:rsidRPr="00C67536">
        <w:rPr>
          <w:rFonts w:ascii="Arial" w:hAnsi="Arial" w:cs="Arial"/>
          <w:spacing w:val="-13"/>
          <w:sz w:val="26"/>
          <w:szCs w:val="26"/>
        </w:rPr>
        <w:t xml:space="preserve"> </w:t>
      </w:r>
      <w:r w:rsidRPr="00C67536">
        <w:rPr>
          <w:rFonts w:ascii="Arial" w:hAnsi="Arial" w:cs="Arial"/>
          <w:sz w:val="26"/>
          <w:szCs w:val="26"/>
        </w:rPr>
        <w:t>constitución</w:t>
      </w:r>
      <w:r w:rsidRPr="00C67536">
        <w:rPr>
          <w:rFonts w:ascii="Arial" w:hAnsi="Arial" w:cs="Arial"/>
          <w:spacing w:val="-13"/>
          <w:sz w:val="26"/>
          <w:szCs w:val="26"/>
        </w:rPr>
        <w:t xml:space="preserve"> </w:t>
      </w:r>
      <w:r w:rsidRPr="00C67536">
        <w:rPr>
          <w:rFonts w:ascii="Arial" w:hAnsi="Arial" w:cs="Arial"/>
          <w:sz w:val="26"/>
          <w:szCs w:val="26"/>
        </w:rPr>
        <w:t>de</w:t>
      </w:r>
      <w:r w:rsidRPr="00C67536">
        <w:rPr>
          <w:rFonts w:ascii="Arial" w:hAnsi="Arial" w:cs="Arial"/>
          <w:spacing w:val="-16"/>
          <w:sz w:val="26"/>
          <w:szCs w:val="26"/>
        </w:rPr>
        <w:t xml:space="preserve"> </w:t>
      </w:r>
      <w:r w:rsidRPr="00C67536">
        <w:rPr>
          <w:rFonts w:ascii="Arial" w:hAnsi="Arial" w:cs="Arial"/>
          <w:sz w:val="26"/>
          <w:szCs w:val="26"/>
        </w:rPr>
        <w:t>un</w:t>
      </w:r>
      <w:r w:rsidRPr="00C67536">
        <w:rPr>
          <w:rFonts w:ascii="Arial" w:hAnsi="Arial" w:cs="Arial"/>
          <w:spacing w:val="-15"/>
          <w:sz w:val="26"/>
          <w:szCs w:val="26"/>
        </w:rPr>
        <w:t xml:space="preserve"> </w:t>
      </w:r>
      <w:r w:rsidRPr="00C67536">
        <w:rPr>
          <w:rFonts w:ascii="Arial" w:hAnsi="Arial" w:cs="Arial"/>
          <w:sz w:val="26"/>
          <w:szCs w:val="26"/>
        </w:rPr>
        <w:t>grupo</w:t>
      </w:r>
      <w:r w:rsidRPr="00C67536">
        <w:rPr>
          <w:rFonts w:ascii="Arial" w:hAnsi="Arial" w:cs="Arial"/>
          <w:spacing w:val="-18"/>
          <w:sz w:val="26"/>
          <w:szCs w:val="26"/>
        </w:rPr>
        <w:t xml:space="preserve"> </w:t>
      </w:r>
      <w:r w:rsidRPr="00C67536">
        <w:rPr>
          <w:rFonts w:ascii="Arial" w:hAnsi="Arial" w:cs="Arial"/>
          <w:sz w:val="26"/>
          <w:szCs w:val="26"/>
        </w:rPr>
        <w:t>de</w:t>
      </w:r>
      <w:r w:rsidRPr="00C67536">
        <w:rPr>
          <w:rFonts w:ascii="Arial" w:hAnsi="Arial" w:cs="Arial"/>
          <w:spacing w:val="-16"/>
          <w:sz w:val="26"/>
          <w:szCs w:val="26"/>
        </w:rPr>
        <w:t xml:space="preserve"> </w:t>
      </w:r>
      <w:r w:rsidRPr="00C67536">
        <w:rPr>
          <w:rFonts w:ascii="Arial" w:hAnsi="Arial" w:cs="Arial"/>
          <w:sz w:val="26"/>
          <w:szCs w:val="26"/>
        </w:rPr>
        <w:t>expertos</w:t>
      </w:r>
      <w:r w:rsidRPr="00C67536">
        <w:rPr>
          <w:rFonts w:ascii="Arial" w:hAnsi="Arial" w:cs="Arial"/>
          <w:spacing w:val="-16"/>
          <w:sz w:val="26"/>
          <w:szCs w:val="26"/>
        </w:rPr>
        <w:t xml:space="preserve"> </w:t>
      </w:r>
      <w:r w:rsidRPr="00C67536">
        <w:rPr>
          <w:rFonts w:ascii="Arial" w:hAnsi="Arial" w:cs="Arial"/>
          <w:sz w:val="26"/>
          <w:szCs w:val="26"/>
        </w:rPr>
        <w:t>académicos</w:t>
      </w:r>
      <w:r w:rsidRPr="00C67536">
        <w:rPr>
          <w:rFonts w:ascii="Arial" w:hAnsi="Arial" w:cs="Arial"/>
          <w:spacing w:val="-14"/>
          <w:sz w:val="26"/>
          <w:szCs w:val="26"/>
        </w:rPr>
        <w:t xml:space="preserve"> </w:t>
      </w:r>
      <w:r w:rsidRPr="00C67536">
        <w:rPr>
          <w:rFonts w:ascii="Arial" w:hAnsi="Arial" w:cs="Arial"/>
          <w:sz w:val="26"/>
          <w:szCs w:val="26"/>
        </w:rPr>
        <w:t>en</w:t>
      </w:r>
      <w:r w:rsidRPr="00C67536">
        <w:rPr>
          <w:rFonts w:ascii="Arial" w:hAnsi="Arial" w:cs="Arial"/>
          <w:spacing w:val="-15"/>
          <w:sz w:val="26"/>
          <w:szCs w:val="26"/>
        </w:rPr>
        <w:t xml:space="preserve"> </w:t>
      </w:r>
      <w:r w:rsidRPr="00C67536">
        <w:rPr>
          <w:rFonts w:ascii="Arial" w:hAnsi="Arial" w:cs="Arial"/>
          <w:sz w:val="26"/>
          <w:szCs w:val="26"/>
        </w:rPr>
        <w:t>etiquetado, independientes y libres de conflictos de interés, con la encomienda de emitir una postura para contribuir al desarrollo de un sistema de etiquetado para productos industrializados</w:t>
      </w:r>
      <w:r w:rsidRPr="00C67536">
        <w:rPr>
          <w:rFonts w:ascii="Arial" w:hAnsi="Arial" w:cs="Arial"/>
          <w:spacing w:val="-17"/>
          <w:sz w:val="26"/>
          <w:szCs w:val="26"/>
        </w:rPr>
        <w:t xml:space="preserve"> </w:t>
      </w:r>
      <w:r w:rsidRPr="00C67536">
        <w:rPr>
          <w:rFonts w:ascii="Arial" w:hAnsi="Arial" w:cs="Arial"/>
          <w:sz w:val="26"/>
          <w:szCs w:val="26"/>
        </w:rPr>
        <w:t>que</w:t>
      </w:r>
      <w:r w:rsidRPr="00C67536">
        <w:rPr>
          <w:rFonts w:ascii="Arial" w:hAnsi="Arial" w:cs="Arial"/>
          <w:spacing w:val="-16"/>
          <w:sz w:val="26"/>
          <w:szCs w:val="26"/>
        </w:rPr>
        <w:t xml:space="preserve"> </w:t>
      </w:r>
      <w:r w:rsidRPr="00C67536">
        <w:rPr>
          <w:rFonts w:ascii="Arial" w:hAnsi="Arial" w:cs="Arial"/>
          <w:sz w:val="26"/>
          <w:szCs w:val="26"/>
        </w:rPr>
        <w:t>proporcione</w:t>
      </w:r>
      <w:r w:rsidRPr="00C67536">
        <w:rPr>
          <w:rFonts w:ascii="Arial" w:hAnsi="Arial" w:cs="Arial"/>
          <w:spacing w:val="-17"/>
          <w:sz w:val="26"/>
          <w:szCs w:val="26"/>
        </w:rPr>
        <w:t xml:space="preserve"> </w:t>
      </w:r>
      <w:r w:rsidRPr="00C67536">
        <w:rPr>
          <w:rFonts w:ascii="Arial" w:hAnsi="Arial" w:cs="Arial"/>
          <w:sz w:val="26"/>
          <w:szCs w:val="26"/>
        </w:rPr>
        <w:t>información</w:t>
      </w:r>
      <w:r w:rsidRPr="00C67536">
        <w:rPr>
          <w:rFonts w:ascii="Arial" w:hAnsi="Arial" w:cs="Arial"/>
          <w:spacing w:val="-18"/>
          <w:sz w:val="26"/>
          <w:szCs w:val="26"/>
        </w:rPr>
        <w:t xml:space="preserve"> </w:t>
      </w:r>
      <w:r w:rsidRPr="00C67536">
        <w:rPr>
          <w:rFonts w:ascii="Arial" w:hAnsi="Arial" w:cs="Arial"/>
          <w:sz w:val="26"/>
          <w:szCs w:val="26"/>
        </w:rPr>
        <w:t>útil</w:t>
      </w:r>
      <w:r w:rsidRPr="00C67536">
        <w:rPr>
          <w:rFonts w:ascii="Arial" w:hAnsi="Arial" w:cs="Arial"/>
          <w:spacing w:val="-18"/>
          <w:sz w:val="26"/>
          <w:szCs w:val="26"/>
        </w:rPr>
        <w:t xml:space="preserve"> </w:t>
      </w:r>
      <w:r w:rsidRPr="00C67536">
        <w:rPr>
          <w:rFonts w:ascii="Arial" w:hAnsi="Arial" w:cs="Arial"/>
          <w:sz w:val="26"/>
          <w:szCs w:val="26"/>
        </w:rPr>
        <w:t>para</w:t>
      </w:r>
      <w:r w:rsidRPr="00C67536">
        <w:rPr>
          <w:rFonts w:ascii="Arial" w:hAnsi="Arial" w:cs="Arial"/>
          <w:spacing w:val="-16"/>
          <w:sz w:val="26"/>
          <w:szCs w:val="26"/>
        </w:rPr>
        <w:t xml:space="preserve"> </w:t>
      </w:r>
      <w:r w:rsidRPr="00C67536">
        <w:rPr>
          <w:rFonts w:ascii="Arial" w:hAnsi="Arial" w:cs="Arial"/>
          <w:sz w:val="26"/>
          <w:szCs w:val="26"/>
        </w:rPr>
        <w:t>facilitar</w:t>
      </w:r>
      <w:r w:rsidRPr="00C67536">
        <w:rPr>
          <w:rFonts w:ascii="Arial" w:hAnsi="Arial" w:cs="Arial"/>
          <w:spacing w:val="-17"/>
          <w:sz w:val="26"/>
          <w:szCs w:val="26"/>
        </w:rPr>
        <w:t xml:space="preserve"> </w:t>
      </w:r>
      <w:r w:rsidRPr="00C67536">
        <w:rPr>
          <w:rFonts w:ascii="Arial" w:hAnsi="Arial" w:cs="Arial"/>
          <w:sz w:val="26"/>
          <w:szCs w:val="26"/>
        </w:rPr>
        <w:t>la</w:t>
      </w:r>
      <w:r w:rsidRPr="00C67536">
        <w:rPr>
          <w:rFonts w:ascii="Arial" w:hAnsi="Arial" w:cs="Arial"/>
          <w:spacing w:val="-17"/>
          <w:sz w:val="26"/>
          <w:szCs w:val="26"/>
        </w:rPr>
        <w:t xml:space="preserve"> </w:t>
      </w:r>
      <w:r w:rsidRPr="00C67536">
        <w:rPr>
          <w:rFonts w:ascii="Arial" w:hAnsi="Arial" w:cs="Arial"/>
          <w:sz w:val="26"/>
          <w:szCs w:val="26"/>
        </w:rPr>
        <w:t>decisión</w:t>
      </w:r>
      <w:r w:rsidRPr="00C67536">
        <w:rPr>
          <w:rFonts w:ascii="Arial" w:hAnsi="Arial" w:cs="Arial"/>
          <w:spacing w:val="-15"/>
          <w:sz w:val="26"/>
          <w:szCs w:val="26"/>
        </w:rPr>
        <w:t xml:space="preserve"> </w:t>
      </w:r>
      <w:r w:rsidRPr="00C67536">
        <w:rPr>
          <w:rFonts w:ascii="Arial" w:hAnsi="Arial" w:cs="Arial"/>
          <w:sz w:val="26"/>
          <w:szCs w:val="26"/>
        </w:rPr>
        <w:t>de</w:t>
      </w:r>
      <w:r w:rsidRPr="00C67536">
        <w:rPr>
          <w:rFonts w:ascii="Arial" w:hAnsi="Arial" w:cs="Arial"/>
          <w:spacing w:val="-17"/>
          <w:sz w:val="26"/>
          <w:szCs w:val="26"/>
        </w:rPr>
        <w:t xml:space="preserve"> </w:t>
      </w:r>
      <w:r w:rsidRPr="00C67536">
        <w:rPr>
          <w:rFonts w:ascii="Arial" w:hAnsi="Arial" w:cs="Arial"/>
          <w:sz w:val="26"/>
          <w:szCs w:val="26"/>
        </w:rPr>
        <w:t>compra, identificando el contenido de energía, nutrimentos e ingredientes en los componentes, cuyo exceso en la dieta puede ser perjudicial para la salud como azúcares añadidos, sodio, grasas totales, grasas saturadas y</w:t>
      </w:r>
      <w:r w:rsidRPr="00C67536">
        <w:rPr>
          <w:rFonts w:ascii="Arial" w:hAnsi="Arial" w:cs="Arial"/>
          <w:spacing w:val="-11"/>
          <w:sz w:val="26"/>
          <w:szCs w:val="26"/>
        </w:rPr>
        <w:t xml:space="preserve"> </w:t>
      </w:r>
      <w:r w:rsidRPr="00C67536">
        <w:rPr>
          <w:rFonts w:ascii="Arial" w:hAnsi="Arial" w:cs="Arial"/>
          <w:sz w:val="26"/>
          <w:szCs w:val="26"/>
        </w:rPr>
        <w:t>energía.</w:t>
      </w:r>
    </w:p>
    <w:p w14:paraId="00716007"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Después de revisar la bibliografía disponible a escala nacional e internacional, y</w:t>
      </w:r>
      <w:r w:rsidRPr="00C67536">
        <w:rPr>
          <w:rFonts w:ascii="Arial" w:hAnsi="Arial" w:cs="Arial"/>
          <w:spacing w:val="-30"/>
          <w:sz w:val="26"/>
          <w:szCs w:val="26"/>
        </w:rPr>
        <w:t xml:space="preserve"> </w:t>
      </w:r>
      <w:r w:rsidRPr="00C67536">
        <w:rPr>
          <w:rFonts w:ascii="Arial" w:hAnsi="Arial" w:cs="Arial"/>
          <w:sz w:val="26"/>
          <w:szCs w:val="26"/>
        </w:rPr>
        <w:t>de llevar a cabo diversas reuniones de trabajo, este grupo ha desarrollado la</w:t>
      </w:r>
      <w:r w:rsidRPr="00C67536">
        <w:rPr>
          <w:rFonts w:ascii="Arial" w:hAnsi="Arial" w:cs="Arial"/>
          <w:spacing w:val="-39"/>
          <w:sz w:val="26"/>
          <w:szCs w:val="26"/>
        </w:rPr>
        <w:t xml:space="preserve"> </w:t>
      </w:r>
      <w:r w:rsidRPr="00C67536">
        <w:rPr>
          <w:rFonts w:ascii="Arial" w:hAnsi="Arial" w:cs="Arial"/>
          <w:sz w:val="26"/>
          <w:szCs w:val="26"/>
        </w:rPr>
        <w:t>siguiente postura, que recomienda a la Secretaría de Salud y a la Cofepris adoptar lo más pronto posible, con el objetivo de asegurar que esta estrategia cumpla con el objetivo para el cual fue concebida: facilitar la toma de decisiones de la población para una alimentación</w:t>
      </w:r>
      <w:r w:rsidRPr="00C67536">
        <w:rPr>
          <w:rFonts w:ascii="Arial" w:hAnsi="Arial" w:cs="Arial"/>
          <w:spacing w:val="-5"/>
          <w:sz w:val="26"/>
          <w:szCs w:val="26"/>
        </w:rPr>
        <w:t xml:space="preserve"> </w:t>
      </w:r>
      <w:r w:rsidRPr="00C67536">
        <w:rPr>
          <w:rFonts w:ascii="Arial" w:hAnsi="Arial" w:cs="Arial"/>
          <w:sz w:val="26"/>
          <w:szCs w:val="26"/>
        </w:rPr>
        <w:t>saludable.</w:t>
      </w:r>
    </w:p>
    <w:p w14:paraId="187D9FDF" w14:textId="2DDE595A"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Postura del grupo de expertos</w:t>
      </w:r>
      <w:r w:rsidR="000114A2">
        <w:rPr>
          <w:rFonts w:ascii="Arial" w:hAnsi="Arial" w:cs="Arial"/>
          <w:sz w:val="26"/>
          <w:szCs w:val="26"/>
        </w:rPr>
        <w:t>.</w:t>
      </w:r>
    </w:p>
    <w:p w14:paraId="266AF1C0" w14:textId="77777777" w:rsidR="00D03349" w:rsidRPr="00C67536" w:rsidRDefault="00D03349" w:rsidP="00B144AE">
      <w:pPr>
        <w:pStyle w:val="ListParagraph"/>
        <w:widowControl w:val="0"/>
        <w:numPr>
          <w:ilvl w:val="0"/>
          <w:numId w:val="12"/>
        </w:numPr>
        <w:tabs>
          <w:tab w:val="left" w:pos="738"/>
        </w:tabs>
        <w:autoSpaceDE w:val="0"/>
        <w:autoSpaceDN w:val="0"/>
        <w:spacing w:before="1"/>
        <w:ind w:left="567" w:right="567" w:firstLine="0"/>
        <w:jc w:val="both"/>
        <w:rPr>
          <w:rFonts w:ascii="Arial" w:hAnsi="Arial" w:cs="Arial"/>
          <w:sz w:val="26"/>
          <w:szCs w:val="26"/>
        </w:rPr>
      </w:pPr>
      <w:r w:rsidRPr="00C67536">
        <w:rPr>
          <w:rFonts w:ascii="Arial" w:hAnsi="Arial" w:cs="Arial"/>
          <w:sz w:val="26"/>
          <w:szCs w:val="26"/>
        </w:rPr>
        <w:t>El sistema de etiquetado frontal debe basarse en recomendaciones internacionales</w:t>
      </w:r>
      <w:r w:rsidRPr="00C67536">
        <w:rPr>
          <w:rFonts w:ascii="Arial" w:hAnsi="Arial" w:cs="Arial"/>
          <w:spacing w:val="-6"/>
          <w:sz w:val="26"/>
          <w:szCs w:val="26"/>
        </w:rPr>
        <w:t xml:space="preserve"> </w:t>
      </w:r>
      <w:r w:rsidRPr="00C67536">
        <w:rPr>
          <w:rFonts w:ascii="Arial" w:hAnsi="Arial" w:cs="Arial"/>
          <w:sz w:val="26"/>
          <w:szCs w:val="26"/>
        </w:rPr>
        <w:t>y</w:t>
      </w:r>
      <w:r w:rsidRPr="00C67536">
        <w:rPr>
          <w:rFonts w:ascii="Arial" w:hAnsi="Arial" w:cs="Arial"/>
          <w:spacing w:val="-7"/>
          <w:sz w:val="26"/>
          <w:szCs w:val="26"/>
        </w:rPr>
        <w:t xml:space="preserve"> </w:t>
      </w:r>
      <w:r w:rsidRPr="00C67536">
        <w:rPr>
          <w:rFonts w:ascii="Arial" w:hAnsi="Arial" w:cs="Arial"/>
          <w:sz w:val="26"/>
          <w:szCs w:val="26"/>
        </w:rPr>
        <w:t>nacionales</w:t>
      </w:r>
      <w:r w:rsidRPr="00C67536">
        <w:rPr>
          <w:rFonts w:ascii="Arial" w:hAnsi="Arial" w:cs="Arial"/>
          <w:spacing w:val="-5"/>
          <w:sz w:val="26"/>
          <w:szCs w:val="26"/>
        </w:rPr>
        <w:t xml:space="preserve"> </w:t>
      </w:r>
      <w:r w:rsidRPr="00C67536">
        <w:rPr>
          <w:rFonts w:ascii="Arial" w:hAnsi="Arial" w:cs="Arial"/>
          <w:sz w:val="26"/>
          <w:szCs w:val="26"/>
        </w:rPr>
        <w:t>de</w:t>
      </w:r>
      <w:r w:rsidRPr="00C67536">
        <w:rPr>
          <w:rFonts w:ascii="Arial" w:hAnsi="Arial" w:cs="Arial"/>
          <w:spacing w:val="-6"/>
          <w:sz w:val="26"/>
          <w:szCs w:val="26"/>
        </w:rPr>
        <w:t xml:space="preserve"> </w:t>
      </w:r>
      <w:r w:rsidRPr="00C67536">
        <w:rPr>
          <w:rFonts w:ascii="Arial" w:hAnsi="Arial" w:cs="Arial"/>
          <w:sz w:val="26"/>
          <w:szCs w:val="26"/>
        </w:rPr>
        <w:t>salud,</w:t>
      </w:r>
      <w:r w:rsidRPr="00C67536">
        <w:rPr>
          <w:rFonts w:ascii="Arial" w:hAnsi="Arial" w:cs="Arial"/>
          <w:spacing w:val="-5"/>
          <w:sz w:val="26"/>
          <w:szCs w:val="26"/>
        </w:rPr>
        <w:t xml:space="preserve"> </w:t>
      </w:r>
      <w:r w:rsidRPr="00C67536">
        <w:rPr>
          <w:rFonts w:ascii="Arial" w:hAnsi="Arial" w:cs="Arial"/>
          <w:sz w:val="26"/>
          <w:szCs w:val="26"/>
        </w:rPr>
        <w:t>como</w:t>
      </w:r>
      <w:r w:rsidRPr="00C67536">
        <w:rPr>
          <w:rFonts w:ascii="Arial" w:hAnsi="Arial" w:cs="Arial"/>
          <w:spacing w:val="-6"/>
          <w:sz w:val="26"/>
          <w:szCs w:val="26"/>
        </w:rPr>
        <w:t xml:space="preserve"> </w:t>
      </w:r>
      <w:r w:rsidRPr="00C67536">
        <w:rPr>
          <w:rFonts w:ascii="Arial" w:hAnsi="Arial" w:cs="Arial"/>
          <w:sz w:val="26"/>
          <w:szCs w:val="26"/>
        </w:rPr>
        <w:t>las</w:t>
      </w:r>
      <w:r w:rsidRPr="00C67536">
        <w:rPr>
          <w:rFonts w:ascii="Arial" w:hAnsi="Arial" w:cs="Arial"/>
          <w:spacing w:val="-6"/>
          <w:sz w:val="26"/>
          <w:szCs w:val="26"/>
        </w:rPr>
        <w:t xml:space="preserve"> </w:t>
      </w:r>
      <w:r w:rsidRPr="00C67536">
        <w:rPr>
          <w:rFonts w:ascii="Arial" w:hAnsi="Arial" w:cs="Arial"/>
          <w:sz w:val="26"/>
          <w:szCs w:val="26"/>
        </w:rPr>
        <w:t>de</w:t>
      </w:r>
      <w:r w:rsidRPr="00C67536">
        <w:rPr>
          <w:rFonts w:ascii="Arial" w:hAnsi="Arial" w:cs="Arial"/>
          <w:spacing w:val="-5"/>
          <w:sz w:val="26"/>
          <w:szCs w:val="26"/>
        </w:rPr>
        <w:t xml:space="preserve"> </w:t>
      </w:r>
      <w:r w:rsidRPr="00C67536">
        <w:rPr>
          <w:rFonts w:ascii="Arial" w:hAnsi="Arial" w:cs="Arial"/>
          <w:sz w:val="26"/>
          <w:szCs w:val="26"/>
        </w:rPr>
        <w:t>la</w:t>
      </w:r>
      <w:r w:rsidRPr="00C67536">
        <w:rPr>
          <w:rFonts w:ascii="Arial" w:hAnsi="Arial" w:cs="Arial"/>
          <w:spacing w:val="-6"/>
          <w:sz w:val="26"/>
          <w:szCs w:val="26"/>
        </w:rPr>
        <w:t xml:space="preserve"> </w:t>
      </w:r>
      <w:r w:rsidRPr="00C67536">
        <w:rPr>
          <w:rFonts w:ascii="Arial" w:hAnsi="Arial" w:cs="Arial"/>
          <w:sz w:val="26"/>
          <w:szCs w:val="26"/>
        </w:rPr>
        <w:t>Organización</w:t>
      </w:r>
      <w:r w:rsidRPr="00C67536">
        <w:rPr>
          <w:rFonts w:ascii="Arial" w:hAnsi="Arial" w:cs="Arial"/>
          <w:spacing w:val="-6"/>
          <w:sz w:val="26"/>
          <w:szCs w:val="26"/>
        </w:rPr>
        <w:t xml:space="preserve"> </w:t>
      </w:r>
      <w:r w:rsidRPr="00C67536">
        <w:rPr>
          <w:rFonts w:ascii="Arial" w:hAnsi="Arial" w:cs="Arial"/>
          <w:sz w:val="26"/>
          <w:szCs w:val="26"/>
        </w:rPr>
        <w:t>Mundial</w:t>
      </w:r>
      <w:r w:rsidRPr="00C67536">
        <w:rPr>
          <w:rFonts w:ascii="Arial" w:hAnsi="Arial" w:cs="Arial"/>
          <w:spacing w:val="-6"/>
          <w:sz w:val="26"/>
          <w:szCs w:val="26"/>
        </w:rPr>
        <w:t xml:space="preserve"> </w:t>
      </w:r>
      <w:r w:rsidRPr="00C67536">
        <w:rPr>
          <w:rFonts w:ascii="Arial" w:hAnsi="Arial" w:cs="Arial"/>
          <w:sz w:val="26"/>
          <w:szCs w:val="26"/>
        </w:rPr>
        <w:t>de</w:t>
      </w:r>
      <w:r w:rsidRPr="00C67536">
        <w:rPr>
          <w:rFonts w:ascii="Arial" w:hAnsi="Arial" w:cs="Arial"/>
          <w:spacing w:val="-6"/>
          <w:sz w:val="26"/>
          <w:szCs w:val="26"/>
        </w:rPr>
        <w:t xml:space="preserve"> </w:t>
      </w:r>
      <w:r w:rsidRPr="00C67536">
        <w:rPr>
          <w:rFonts w:ascii="Arial" w:hAnsi="Arial" w:cs="Arial"/>
          <w:sz w:val="26"/>
          <w:szCs w:val="26"/>
        </w:rPr>
        <w:t>la Salud (OMS), la Organización Panamericana para la Salud (OPS), la Academia Nacional de Medicina y las recomendaciones nutrimentales mexicanas que preparó el sector salud bajo el liderazgo del Instituto Nacional de Ciencias Médicas y Nutrición Salvador Zubirán, y no en recomendaciones inconsistentes con insuficiente sustento científico, como actualmente ocurre para el caso de ciertos componentes de la dieta.</w:t>
      </w:r>
    </w:p>
    <w:p w14:paraId="6FC91984" w14:textId="77777777" w:rsidR="00D03349" w:rsidRPr="00C67536" w:rsidRDefault="00D03349" w:rsidP="00B144AE">
      <w:pPr>
        <w:pStyle w:val="ListParagraph"/>
        <w:widowControl w:val="0"/>
        <w:numPr>
          <w:ilvl w:val="0"/>
          <w:numId w:val="12"/>
        </w:numPr>
        <w:tabs>
          <w:tab w:val="left" w:pos="685"/>
        </w:tabs>
        <w:autoSpaceDE w:val="0"/>
        <w:autoSpaceDN w:val="0"/>
        <w:ind w:left="567" w:right="567" w:firstLine="0"/>
        <w:jc w:val="both"/>
        <w:rPr>
          <w:rFonts w:ascii="Arial" w:hAnsi="Arial" w:cs="Arial"/>
          <w:sz w:val="26"/>
          <w:szCs w:val="26"/>
        </w:rPr>
      </w:pPr>
      <w:r w:rsidRPr="00C67536">
        <w:rPr>
          <w:rFonts w:ascii="Arial" w:hAnsi="Arial" w:cs="Arial"/>
          <w:sz w:val="26"/>
          <w:szCs w:val="26"/>
        </w:rPr>
        <w:t>Un grupo libre de conflictos de intereses deberá diseñar el sistema de etiquetado</w:t>
      </w:r>
      <w:r w:rsidRPr="00C67536">
        <w:rPr>
          <w:rFonts w:ascii="Arial" w:hAnsi="Arial" w:cs="Arial"/>
          <w:spacing w:val="-8"/>
          <w:sz w:val="26"/>
          <w:szCs w:val="26"/>
        </w:rPr>
        <w:t xml:space="preserve"> </w:t>
      </w:r>
      <w:r w:rsidRPr="00C67536">
        <w:rPr>
          <w:rFonts w:ascii="Arial" w:hAnsi="Arial" w:cs="Arial"/>
          <w:sz w:val="26"/>
          <w:szCs w:val="26"/>
        </w:rPr>
        <w:t>frontal</w:t>
      </w:r>
      <w:r w:rsidRPr="00C67536">
        <w:rPr>
          <w:rFonts w:ascii="Arial" w:hAnsi="Arial" w:cs="Arial"/>
          <w:spacing w:val="-8"/>
          <w:sz w:val="26"/>
          <w:szCs w:val="26"/>
        </w:rPr>
        <w:t xml:space="preserve"> </w:t>
      </w:r>
      <w:r w:rsidRPr="00C67536">
        <w:rPr>
          <w:rFonts w:ascii="Arial" w:hAnsi="Arial" w:cs="Arial"/>
          <w:sz w:val="26"/>
          <w:szCs w:val="26"/>
        </w:rPr>
        <w:t>en</w:t>
      </w:r>
      <w:r w:rsidRPr="00C67536">
        <w:rPr>
          <w:rFonts w:ascii="Arial" w:hAnsi="Arial" w:cs="Arial"/>
          <w:spacing w:val="-9"/>
          <w:sz w:val="26"/>
          <w:szCs w:val="26"/>
        </w:rPr>
        <w:t xml:space="preserve"> </w:t>
      </w:r>
      <w:r w:rsidRPr="00C67536">
        <w:rPr>
          <w:rFonts w:ascii="Arial" w:hAnsi="Arial" w:cs="Arial"/>
          <w:sz w:val="26"/>
          <w:szCs w:val="26"/>
        </w:rPr>
        <w:t>México</w:t>
      </w:r>
      <w:r w:rsidRPr="00C67536">
        <w:rPr>
          <w:rFonts w:ascii="Arial" w:hAnsi="Arial" w:cs="Arial"/>
          <w:spacing w:val="-7"/>
          <w:sz w:val="26"/>
          <w:szCs w:val="26"/>
        </w:rPr>
        <w:t xml:space="preserve"> </w:t>
      </w:r>
      <w:r w:rsidRPr="00C67536">
        <w:rPr>
          <w:rFonts w:ascii="Arial" w:hAnsi="Arial" w:cs="Arial"/>
          <w:sz w:val="26"/>
          <w:szCs w:val="26"/>
        </w:rPr>
        <w:t>con</w:t>
      </w:r>
      <w:r w:rsidRPr="00C67536">
        <w:rPr>
          <w:rFonts w:ascii="Arial" w:hAnsi="Arial" w:cs="Arial"/>
          <w:spacing w:val="-8"/>
          <w:sz w:val="26"/>
          <w:szCs w:val="26"/>
        </w:rPr>
        <w:t xml:space="preserve"> </w:t>
      </w:r>
      <w:r w:rsidRPr="00C67536">
        <w:rPr>
          <w:rFonts w:ascii="Arial" w:hAnsi="Arial" w:cs="Arial"/>
          <w:sz w:val="26"/>
          <w:szCs w:val="26"/>
        </w:rPr>
        <w:t>criterios</w:t>
      </w:r>
      <w:r w:rsidRPr="00C67536">
        <w:rPr>
          <w:rFonts w:ascii="Arial" w:hAnsi="Arial" w:cs="Arial"/>
          <w:spacing w:val="-10"/>
          <w:sz w:val="26"/>
          <w:szCs w:val="26"/>
        </w:rPr>
        <w:t xml:space="preserve"> </w:t>
      </w:r>
      <w:r w:rsidRPr="00C67536">
        <w:rPr>
          <w:rFonts w:ascii="Arial" w:hAnsi="Arial" w:cs="Arial"/>
          <w:sz w:val="26"/>
          <w:szCs w:val="26"/>
        </w:rPr>
        <w:t>de</w:t>
      </w:r>
      <w:r w:rsidRPr="00C67536">
        <w:rPr>
          <w:rFonts w:ascii="Arial" w:hAnsi="Arial" w:cs="Arial"/>
          <w:spacing w:val="-9"/>
          <w:sz w:val="26"/>
          <w:szCs w:val="26"/>
        </w:rPr>
        <w:t xml:space="preserve"> </w:t>
      </w:r>
      <w:r w:rsidRPr="00C67536">
        <w:rPr>
          <w:rFonts w:ascii="Arial" w:hAnsi="Arial" w:cs="Arial"/>
          <w:sz w:val="26"/>
          <w:szCs w:val="26"/>
        </w:rPr>
        <w:t>transparencia.</w:t>
      </w:r>
      <w:r w:rsidRPr="00C67536">
        <w:rPr>
          <w:rFonts w:ascii="Arial" w:hAnsi="Arial" w:cs="Arial"/>
          <w:spacing w:val="-9"/>
          <w:sz w:val="26"/>
          <w:szCs w:val="26"/>
        </w:rPr>
        <w:t xml:space="preserve"> </w:t>
      </w:r>
      <w:r w:rsidRPr="00C67536">
        <w:rPr>
          <w:rFonts w:ascii="Arial" w:hAnsi="Arial" w:cs="Arial"/>
          <w:sz w:val="26"/>
          <w:szCs w:val="26"/>
        </w:rPr>
        <w:t>Aunque</w:t>
      </w:r>
      <w:r w:rsidRPr="00C67536">
        <w:rPr>
          <w:rFonts w:ascii="Arial" w:hAnsi="Arial" w:cs="Arial"/>
          <w:spacing w:val="-7"/>
          <w:sz w:val="26"/>
          <w:szCs w:val="26"/>
        </w:rPr>
        <w:t xml:space="preserve"> </w:t>
      </w:r>
      <w:r w:rsidRPr="00C67536">
        <w:rPr>
          <w:rFonts w:ascii="Arial" w:hAnsi="Arial" w:cs="Arial"/>
          <w:sz w:val="26"/>
          <w:szCs w:val="26"/>
        </w:rPr>
        <w:t>salvaguardar el</w:t>
      </w:r>
      <w:r w:rsidRPr="00C67536">
        <w:rPr>
          <w:rFonts w:ascii="Arial" w:hAnsi="Arial" w:cs="Arial"/>
          <w:spacing w:val="-7"/>
          <w:sz w:val="26"/>
          <w:szCs w:val="26"/>
        </w:rPr>
        <w:t xml:space="preserve"> </w:t>
      </w:r>
      <w:r w:rsidRPr="00C67536">
        <w:rPr>
          <w:rFonts w:ascii="Arial" w:hAnsi="Arial" w:cs="Arial"/>
          <w:sz w:val="26"/>
          <w:szCs w:val="26"/>
        </w:rPr>
        <w:t>conflicto</w:t>
      </w:r>
      <w:r w:rsidRPr="00C67536">
        <w:rPr>
          <w:rFonts w:ascii="Arial" w:hAnsi="Arial" w:cs="Arial"/>
          <w:spacing w:val="-7"/>
          <w:sz w:val="26"/>
          <w:szCs w:val="26"/>
        </w:rPr>
        <w:t xml:space="preserve"> </w:t>
      </w:r>
      <w:r w:rsidRPr="00C67536">
        <w:rPr>
          <w:rFonts w:ascii="Arial" w:hAnsi="Arial" w:cs="Arial"/>
          <w:sz w:val="26"/>
          <w:szCs w:val="26"/>
        </w:rPr>
        <w:t>de</w:t>
      </w:r>
      <w:r w:rsidRPr="00C67536">
        <w:rPr>
          <w:rFonts w:ascii="Arial" w:hAnsi="Arial" w:cs="Arial"/>
          <w:spacing w:val="-6"/>
          <w:sz w:val="26"/>
          <w:szCs w:val="26"/>
        </w:rPr>
        <w:t xml:space="preserve"> </w:t>
      </w:r>
      <w:r w:rsidRPr="00C67536">
        <w:rPr>
          <w:rFonts w:ascii="Arial" w:hAnsi="Arial" w:cs="Arial"/>
          <w:sz w:val="26"/>
          <w:szCs w:val="26"/>
        </w:rPr>
        <w:t>interés</w:t>
      </w:r>
      <w:r w:rsidRPr="00C67536">
        <w:rPr>
          <w:rFonts w:ascii="Arial" w:hAnsi="Arial" w:cs="Arial"/>
          <w:spacing w:val="-6"/>
          <w:sz w:val="26"/>
          <w:szCs w:val="26"/>
        </w:rPr>
        <w:t xml:space="preserve"> </w:t>
      </w:r>
      <w:r w:rsidRPr="00C67536">
        <w:rPr>
          <w:rFonts w:ascii="Arial" w:hAnsi="Arial" w:cs="Arial"/>
          <w:sz w:val="26"/>
          <w:szCs w:val="26"/>
        </w:rPr>
        <w:t>en</w:t>
      </w:r>
      <w:r w:rsidRPr="00C67536">
        <w:rPr>
          <w:rFonts w:ascii="Arial" w:hAnsi="Arial" w:cs="Arial"/>
          <w:spacing w:val="-6"/>
          <w:sz w:val="26"/>
          <w:szCs w:val="26"/>
        </w:rPr>
        <w:t xml:space="preserve"> </w:t>
      </w:r>
      <w:r w:rsidRPr="00C67536">
        <w:rPr>
          <w:rFonts w:ascii="Arial" w:hAnsi="Arial" w:cs="Arial"/>
          <w:sz w:val="26"/>
          <w:szCs w:val="26"/>
        </w:rPr>
        <w:t>la</w:t>
      </w:r>
      <w:r w:rsidRPr="00C67536">
        <w:rPr>
          <w:rFonts w:ascii="Arial" w:hAnsi="Arial" w:cs="Arial"/>
          <w:spacing w:val="-5"/>
          <w:sz w:val="26"/>
          <w:szCs w:val="26"/>
        </w:rPr>
        <w:t xml:space="preserve"> </w:t>
      </w:r>
      <w:r w:rsidRPr="00C67536">
        <w:rPr>
          <w:rFonts w:ascii="Arial" w:hAnsi="Arial" w:cs="Arial"/>
          <w:sz w:val="26"/>
          <w:szCs w:val="26"/>
        </w:rPr>
        <w:t>toma</w:t>
      </w:r>
      <w:r w:rsidRPr="00C67536">
        <w:rPr>
          <w:rFonts w:ascii="Arial" w:hAnsi="Arial" w:cs="Arial"/>
          <w:spacing w:val="-8"/>
          <w:sz w:val="26"/>
          <w:szCs w:val="26"/>
        </w:rPr>
        <w:t xml:space="preserve"> </w:t>
      </w:r>
      <w:r w:rsidRPr="00C67536">
        <w:rPr>
          <w:rFonts w:ascii="Arial" w:hAnsi="Arial" w:cs="Arial"/>
          <w:sz w:val="26"/>
          <w:szCs w:val="26"/>
        </w:rPr>
        <w:t>de</w:t>
      </w:r>
      <w:r w:rsidRPr="00C67536">
        <w:rPr>
          <w:rFonts w:ascii="Arial" w:hAnsi="Arial" w:cs="Arial"/>
          <w:spacing w:val="-5"/>
          <w:sz w:val="26"/>
          <w:szCs w:val="26"/>
        </w:rPr>
        <w:t xml:space="preserve"> </w:t>
      </w:r>
      <w:r w:rsidRPr="00C67536">
        <w:rPr>
          <w:rFonts w:ascii="Arial" w:hAnsi="Arial" w:cs="Arial"/>
          <w:sz w:val="26"/>
          <w:szCs w:val="26"/>
        </w:rPr>
        <w:t>decisiones</w:t>
      </w:r>
      <w:r w:rsidRPr="00C67536">
        <w:rPr>
          <w:rFonts w:ascii="Arial" w:hAnsi="Arial" w:cs="Arial"/>
          <w:spacing w:val="-7"/>
          <w:sz w:val="26"/>
          <w:szCs w:val="26"/>
        </w:rPr>
        <w:t xml:space="preserve"> </w:t>
      </w:r>
      <w:r w:rsidRPr="00C67536">
        <w:rPr>
          <w:rFonts w:ascii="Arial" w:hAnsi="Arial" w:cs="Arial"/>
          <w:sz w:val="26"/>
          <w:szCs w:val="26"/>
        </w:rPr>
        <w:t>de</w:t>
      </w:r>
      <w:r w:rsidRPr="00C67536">
        <w:rPr>
          <w:rFonts w:ascii="Arial" w:hAnsi="Arial" w:cs="Arial"/>
          <w:spacing w:val="-5"/>
          <w:sz w:val="26"/>
          <w:szCs w:val="26"/>
        </w:rPr>
        <w:t xml:space="preserve"> </w:t>
      </w:r>
      <w:r w:rsidRPr="00C67536">
        <w:rPr>
          <w:rFonts w:ascii="Arial" w:hAnsi="Arial" w:cs="Arial"/>
          <w:sz w:val="26"/>
          <w:szCs w:val="26"/>
        </w:rPr>
        <w:t>política</w:t>
      </w:r>
      <w:r w:rsidRPr="00C67536">
        <w:rPr>
          <w:rFonts w:ascii="Arial" w:hAnsi="Arial" w:cs="Arial"/>
          <w:spacing w:val="-6"/>
          <w:sz w:val="26"/>
          <w:szCs w:val="26"/>
        </w:rPr>
        <w:t xml:space="preserve"> </w:t>
      </w:r>
      <w:r w:rsidRPr="00C67536">
        <w:rPr>
          <w:rFonts w:ascii="Arial" w:hAnsi="Arial" w:cs="Arial"/>
          <w:sz w:val="26"/>
          <w:szCs w:val="26"/>
        </w:rPr>
        <w:t>pública</w:t>
      </w:r>
      <w:r w:rsidRPr="00C67536">
        <w:rPr>
          <w:rFonts w:ascii="Arial" w:hAnsi="Arial" w:cs="Arial"/>
          <w:spacing w:val="-5"/>
          <w:sz w:val="26"/>
          <w:szCs w:val="26"/>
        </w:rPr>
        <w:t xml:space="preserve"> </w:t>
      </w:r>
      <w:r w:rsidRPr="00C67536">
        <w:rPr>
          <w:rFonts w:ascii="Arial" w:hAnsi="Arial" w:cs="Arial"/>
          <w:sz w:val="26"/>
          <w:szCs w:val="26"/>
        </w:rPr>
        <w:t>es</w:t>
      </w:r>
      <w:r w:rsidRPr="00C67536">
        <w:rPr>
          <w:rFonts w:ascii="Arial" w:hAnsi="Arial" w:cs="Arial"/>
          <w:spacing w:val="-9"/>
          <w:sz w:val="26"/>
          <w:szCs w:val="26"/>
        </w:rPr>
        <w:t xml:space="preserve"> </w:t>
      </w:r>
      <w:r w:rsidRPr="00C67536">
        <w:rPr>
          <w:rFonts w:ascii="Arial" w:hAnsi="Arial" w:cs="Arial"/>
          <w:sz w:val="26"/>
          <w:szCs w:val="26"/>
        </w:rPr>
        <w:t>una</w:t>
      </w:r>
      <w:r w:rsidRPr="00C67536">
        <w:rPr>
          <w:rFonts w:ascii="Arial" w:hAnsi="Arial" w:cs="Arial"/>
          <w:spacing w:val="-7"/>
          <w:sz w:val="26"/>
          <w:szCs w:val="26"/>
        </w:rPr>
        <w:t xml:space="preserve"> </w:t>
      </w:r>
      <w:r w:rsidRPr="00C67536">
        <w:rPr>
          <w:rFonts w:ascii="Arial" w:hAnsi="Arial" w:cs="Arial"/>
          <w:sz w:val="26"/>
          <w:szCs w:val="26"/>
        </w:rPr>
        <w:t>práctica recurrente a escala global, en México la participación de las corporaciones en la toma de decisiones de salud –a través de sus cámaras, gremios, grupos de interés y organizaciones de la sociedad civil que financian– es común. La OMS ha reconocido esto como un problema que es necesario atender. De hecho, recientemente publicó lineamientos en este sentido. Por lo tanto, es urgente que se tomen medidas para blindar decisiones críticas de salud de influencias de intereses comerciales, en apego a los lineamientos de la</w:t>
      </w:r>
      <w:r w:rsidRPr="00C67536">
        <w:rPr>
          <w:rFonts w:ascii="Arial" w:hAnsi="Arial" w:cs="Arial"/>
          <w:spacing w:val="-10"/>
          <w:sz w:val="26"/>
          <w:szCs w:val="26"/>
        </w:rPr>
        <w:t xml:space="preserve"> </w:t>
      </w:r>
      <w:r w:rsidRPr="00C67536">
        <w:rPr>
          <w:rFonts w:ascii="Arial" w:hAnsi="Arial" w:cs="Arial"/>
          <w:sz w:val="26"/>
          <w:szCs w:val="26"/>
        </w:rPr>
        <w:t>OMS.</w:t>
      </w:r>
    </w:p>
    <w:p w14:paraId="10E4DF72" w14:textId="77777777" w:rsidR="00D03349" w:rsidRPr="00C67536" w:rsidRDefault="00D03349" w:rsidP="00B144AE">
      <w:pPr>
        <w:pStyle w:val="ListParagraph"/>
        <w:widowControl w:val="0"/>
        <w:numPr>
          <w:ilvl w:val="0"/>
          <w:numId w:val="12"/>
        </w:numPr>
        <w:tabs>
          <w:tab w:val="left" w:pos="685"/>
        </w:tabs>
        <w:autoSpaceDE w:val="0"/>
        <w:autoSpaceDN w:val="0"/>
        <w:ind w:left="567" w:right="567" w:firstLine="0"/>
        <w:jc w:val="both"/>
        <w:rPr>
          <w:rFonts w:ascii="Arial" w:hAnsi="Arial" w:cs="Arial"/>
          <w:sz w:val="26"/>
          <w:szCs w:val="26"/>
        </w:rPr>
      </w:pPr>
      <w:r w:rsidRPr="00C67536">
        <w:rPr>
          <w:rFonts w:ascii="Arial" w:hAnsi="Arial" w:cs="Arial"/>
          <w:sz w:val="26"/>
          <w:szCs w:val="26"/>
        </w:rPr>
        <w:t>Es fundamental considerar un perfil nutrimental único para las políticas de etiquetado, restricción de la promoción y venta de alimentos en escuelas y regulación de publicidad para aportar a la congruencia, consistencia, armonización y facilidad para su</w:t>
      </w:r>
      <w:r w:rsidRPr="00C67536">
        <w:rPr>
          <w:rFonts w:ascii="Arial" w:hAnsi="Arial" w:cs="Arial"/>
          <w:spacing w:val="-4"/>
          <w:sz w:val="26"/>
          <w:szCs w:val="26"/>
        </w:rPr>
        <w:t xml:space="preserve"> </w:t>
      </w:r>
      <w:r w:rsidRPr="00C67536">
        <w:rPr>
          <w:rFonts w:ascii="Arial" w:hAnsi="Arial" w:cs="Arial"/>
          <w:sz w:val="26"/>
          <w:szCs w:val="26"/>
        </w:rPr>
        <w:t>implementación.</w:t>
      </w:r>
    </w:p>
    <w:p w14:paraId="375CC54C" w14:textId="77777777" w:rsidR="00D03349" w:rsidRPr="00C67536" w:rsidRDefault="00D03349" w:rsidP="00B144AE">
      <w:pPr>
        <w:pStyle w:val="ListParagraph"/>
        <w:widowControl w:val="0"/>
        <w:numPr>
          <w:ilvl w:val="0"/>
          <w:numId w:val="12"/>
        </w:numPr>
        <w:tabs>
          <w:tab w:val="left" w:pos="613"/>
        </w:tabs>
        <w:autoSpaceDE w:val="0"/>
        <w:autoSpaceDN w:val="0"/>
        <w:ind w:left="567" w:right="567" w:firstLine="0"/>
        <w:jc w:val="both"/>
        <w:rPr>
          <w:rFonts w:ascii="Arial" w:hAnsi="Arial" w:cs="Arial"/>
          <w:sz w:val="26"/>
          <w:szCs w:val="26"/>
        </w:rPr>
      </w:pPr>
      <w:r w:rsidRPr="00C67536">
        <w:rPr>
          <w:rFonts w:ascii="Arial" w:hAnsi="Arial" w:cs="Arial"/>
          <w:sz w:val="26"/>
          <w:szCs w:val="26"/>
        </w:rPr>
        <w:t>El énfasis del etiquetado debe ser únicamente en proporcionar información de fácil comprensión sobre ingredientes cuyo alto consumo es nocivo para la salud: azúcar, grasas saturadas, grasas trans y sodio, así como la energía total. El contenido de energía, grasas totales, grasas saturadas, sodio y azúcares</w:t>
      </w:r>
      <w:r w:rsidRPr="00C67536">
        <w:rPr>
          <w:rFonts w:ascii="Arial" w:hAnsi="Arial" w:cs="Arial"/>
          <w:spacing w:val="4"/>
          <w:sz w:val="26"/>
          <w:szCs w:val="26"/>
        </w:rPr>
        <w:t xml:space="preserve"> </w:t>
      </w:r>
      <w:r w:rsidRPr="00C67536">
        <w:rPr>
          <w:rFonts w:ascii="Arial" w:hAnsi="Arial" w:cs="Arial"/>
          <w:sz w:val="26"/>
          <w:szCs w:val="26"/>
        </w:rPr>
        <w:t>totales es considerablemente alto en muchos productos industrializados y están relacionados con el desarrollo de ECNT.</w:t>
      </w:r>
    </w:p>
    <w:p w14:paraId="7D09C6E1" w14:textId="77777777" w:rsidR="00D03349" w:rsidRPr="00C67536" w:rsidRDefault="00D03349" w:rsidP="00D03349">
      <w:pPr>
        <w:pStyle w:val="ListParagraph"/>
        <w:widowControl w:val="0"/>
        <w:tabs>
          <w:tab w:val="left" w:pos="613"/>
        </w:tabs>
        <w:autoSpaceDE w:val="0"/>
        <w:autoSpaceDN w:val="0"/>
        <w:ind w:left="567" w:right="567"/>
        <w:jc w:val="both"/>
        <w:rPr>
          <w:rFonts w:ascii="Arial" w:hAnsi="Arial" w:cs="Arial"/>
          <w:sz w:val="26"/>
          <w:szCs w:val="26"/>
        </w:rPr>
      </w:pPr>
      <w:r w:rsidRPr="00C67536">
        <w:rPr>
          <w:rFonts w:ascii="Arial" w:hAnsi="Arial" w:cs="Arial"/>
          <w:sz w:val="26"/>
          <w:szCs w:val="26"/>
        </w:rPr>
        <w:t>Conociendo la evidencia científica actual, el perfil de morbilidad y mortalidad de la población mexicana y las proyecciones que se han realizado sobre la modificación del consumo de productos industrializados, es importante que el etiquetado frontal contenga información clara sobre el contenido de estos componentes.</w:t>
      </w:r>
      <w:r w:rsidRPr="00C67536">
        <w:rPr>
          <w:rFonts w:ascii="Arial" w:hAnsi="Arial" w:cs="Arial"/>
          <w:spacing w:val="-6"/>
          <w:sz w:val="26"/>
          <w:szCs w:val="26"/>
        </w:rPr>
        <w:t xml:space="preserve"> </w:t>
      </w:r>
      <w:r w:rsidRPr="00C67536">
        <w:rPr>
          <w:rFonts w:ascii="Arial" w:hAnsi="Arial" w:cs="Arial"/>
          <w:sz w:val="26"/>
          <w:szCs w:val="26"/>
        </w:rPr>
        <w:t>La</w:t>
      </w:r>
      <w:r w:rsidRPr="00C67536">
        <w:rPr>
          <w:rFonts w:ascii="Arial" w:hAnsi="Arial" w:cs="Arial"/>
          <w:spacing w:val="-7"/>
          <w:sz w:val="26"/>
          <w:szCs w:val="26"/>
        </w:rPr>
        <w:t xml:space="preserve"> </w:t>
      </w:r>
      <w:r w:rsidRPr="00C67536">
        <w:rPr>
          <w:rFonts w:ascii="Arial" w:hAnsi="Arial" w:cs="Arial"/>
          <w:sz w:val="26"/>
          <w:szCs w:val="26"/>
        </w:rPr>
        <w:t>precisión</w:t>
      </w:r>
      <w:r w:rsidRPr="00C67536">
        <w:rPr>
          <w:rFonts w:ascii="Arial" w:hAnsi="Arial" w:cs="Arial"/>
          <w:spacing w:val="-6"/>
          <w:sz w:val="26"/>
          <w:szCs w:val="26"/>
        </w:rPr>
        <w:t xml:space="preserve"> </w:t>
      </w:r>
      <w:r w:rsidRPr="00C67536">
        <w:rPr>
          <w:rFonts w:ascii="Arial" w:hAnsi="Arial" w:cs="Arial"/>
          <w:sz w:val="26"/>
          <w:szCs w:val="26"/>
        </w:rPr>
        <w:t>en</w:t>
      </w:r>
      <w:r w:rsidRPr="00C67536">
        <w:rPr>
          <w:rFonts w:ascii="Arial" w:hAnsi="Arial" w:cs="Arial"/>
          <w:spacing w:val="-7"/>
          <w:sz w:val="26"/>
          <w:szCs w:val="26"/>
        </w:rPr>
        <w:t xml:space="preserve"> </w:t>
      </w:r>
      <w:r w:rsidRPr="00C67536">
        <w:rPr>
          <w:rFonts w:ascii="Arial" w:hAnsi="Arial" w:cs="Arial"/>
          <w:sz w:val="26"/>
          <w:szCs w:val="26"/>
        </w:rPr>
        <w:t>esta</w:t>
      </w:r>
      <w:r w:rsidRPr="00C67536">
        <w:rPr>
          <w:rFonts w:ascii="Arial" w:hAnsi="Arial" w:cs="Arial"/>
          <w:spacing w:val="-4"/>
          <w:sz w:val="26"/>
          <w:szCs w:val="26"/>
        </w:rPr>
        <w:t xml:space="preserve"> </w:t>
      </w:r>
      <w:r w:rsidRPr="00C67536">
        <w:rPr>
          <w:rFonts w:ascii="Arial" w:hAnsi="Arial" w:cs="Arial"/>
          <w:sz w:val="26"/>
          <w:szCs w:val="26"/>
        </w:rPr>
        <w:t>información</w:t>
      </w:r>
      <w:r w:rsidRPr="00C67536">
        <w:rPr>
          <w:rFonts w:ascii="Arial" w:hAnsi="Arial" w:cs="Arial"/>
          <w:spacing w:val="-4"/>
          <w:sz w:val="26"/>
          <w:szCs w:val="26"/>
        </w:rPr>
        <w:t xml:space="preserve"> </w:t>
      </w:r>
      <w:r w:rsidRPr="00C67536">
        <w:rPr>
          <w:rFonts w:ascii="Arial" w:hAnsi="Arial" w:cs="Arial"/>
          <w:sz w:val="26"/>
          <w:szCs w:val="26"/>
        </w:rPr>
        <w:t>responde</w:t>
      </w:r>
      <w:r w:rsidRPr="00C67536">
        <w:rPr>
          <w:rFonts w:ascii="Arial" w:hAnsi="Arial" w:cs="Arial"/>
          <w:spacing w:val="-6"/>
          <w:sz w:val="26"/>
          <w:szCs w:val="26"/>
        </w:rPr>
        <w:t xml:space="preserve"> </w:t>
      </w:r>
      <w:r w:rsidRPr="00C67536">
        <w:rPr>
          <w:rFonts w:ascii="Arial" w:hAnsi="Arial" w:cs="Arial"/>
          <w:sz w:val="26"/>
          <w:szCs w:val="26"/>
        </w:rPr>
        <w:t>también</w:t>
      </w:r>
      <w:r w:rsidRPr="00C67536">
        <w:rPr>
          <w:rFonts w:ascii="Arial" w:hAnsi="Arial" w:cs="Arial"/>
          <w:spacing w:val="-6"/>
          <w:sz w:val="26"/>
          <w:szCs w:val="26"/>
        </w:rPr>
        <w:t xml:space="preserve"> </w:t>
      </w:r>
      <w:r w:rsidRPr="00C67536">
        <w:rPr>
          <w:rFonts w:ascii="Arial" w:hAnsi="Arial" w:cs="Arial"/>
          <w:sz w:val="26"/>
          <w:szCs w:val="26"/>
        </w:rPr>
        <w:t>a</w:t>
      </w:r>
      <w:r w:rsidRPr="00C67536">
        <w:rPr>
          <w:rFonts w:ascii="Arial" w:hAnsi="Arial" w:cs="Arial"/>
          <w:spacing w:val="-6"/>
          <w:sz w:val="26"/>
          <w:szCs w:val="26"/>
        </w:rPr>
        <w:t xml:space="preserve"> </w:t>
      </w:r>
      <w:r w:rsidRPr="00C67536">
        <w:rPr>
          <w:rFonts w:ascii="Arial" w:hAnsi="Arial" w:cs="Arial"/>
          <w:sz w:val="26"/>
          <w:szCs w:val="26"/>
        </w:rPr>
        <w:t>la</w:t>
      </w:r>
      <w:r w:rsidRPr="00C67536">
        <w:rPr>
          <w:rFonts w:ascii="Arial" w:hAnsi="Arial" w:cs="Arial"/>
          <w:spacing w:val="-7"/>
          <w:sz w:val="26"/>
          <w:szCs w:val="26"/>
        </w:rPr>
        <w:t xml:space="preserve"> </w:t>
      </w:r>
      <w:r w:rsidRPr="00C67536">
        <w:rPr>
          <w:rFonts w:ascii="Arial" w:hAnsi="Arial" w:cs="Arial"/>
          <w:sz w:val="26"/>
          <w:szCs w:val="26"/>
        </w:rPr>
        <w:t xml:space="preserve">necesidad de proteger el derecho a la salud y a la alimentación, amparados en la Constitución Política de los Estados Unidos Mexicanos, y a la protección a los derechos de los consumidores, normados </w:t>
      </w:r>
      <w:r w:rsidRPr="00C67536">
        <w:rPr>
          <w:rFonts w:ascii="Arial" w:hAnsi="Arial" w:cs="Arial"/>
          <w:spacing w:val="3"/>
          <w:sz w:val="26"/>
          <w:szCs w:val="26"/>
        </w:rPr>
        <w:t xml:space="preserve">en </w:t>
      </w:r>
      <w:r w:rsidRPr="00C67536">
        <w:rPr>
          <w:rFonts w:ascii="Arial" w:hAnsi="Arial" w:cs="Arial"/>
          <w:sz w:val="26"/>
          <w:szCs w:val="26"/>
        </w:rPr>
        <w:t>la Ley Federal de Protección al Consumidor.</w:t>
      </w:r>
    </w:p>
    <w:p w14:paraId="7B1F9082" w14:textId="77777777" w:rsidR="00D03349" w:rsidRPr="00C67536" w:rsidRDefault="00D03349" w:rsidP="00B144AE">
      <w:pPr>
        <w:pStyle w:val="ListParagraph"/>
        <w:widowControl w:val="0"/>
        <w:numPr>
          <w:ilvl w:val="0"/>
          <w:numId w:val="12"/>
        </w:numPr>
        <w:tabs>
          <w:tab w:val="left" w:pos="635"/>
        </w:tabs>
        <w:autoSpaceDE w:val="0"/>
        <w:autoSpaceDN w:val="0"/>
        <w:ind w:left="567" w:right="567" w:firstLine="0"/>
        <w:jc w:val="both"/>
        <w:rPr>
          <w:rFonts w:ascii="Arial" w:hAnsi="Arial" w:cs="Arial"/>
          <w:sz w:val="26"/>
          <w:szCs w:val="26"/>
        </w:rPr>
      </w:pPr>
      <w:r w:rsidRPr="00C67536">
        <w:rPr>
          <w:rFonts w:ascii="Arial" w:hAnsi="Arial" w:cs="Arial"/>
          <w:sz w:val="26"/>
          <w:szCs w:val="26"/>
        </w:rPr>
        <w:t>Los estudios disponibles indican que el etiquetado que se utiliza en México, que está basado en las Guías Diarias de Alimentación, no funciona y debe ser reemplazado por un sistema efectivo, de fácil comprensión y con criterios correctos.</w:t>
      </w:r>
    </w:p>
    <w:p w14:paraId="04F7C54A"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Los estudios desarrollados en México sobre el tema indican que el etiquetado actual es difícil de comprender por la mayor parte de la población, incluso entre la población de alta escolaridad. Además, existe 10 por ciento de la población que, por no saber leer o por tener dificultad para comprender la lectura, no tiene acceso</w:t>
      </w:r>
      <w:r w:rsidRPr="00C67536">
        <w:rPr>
          <w:rFonts w:ascii="Arial" w:hAnsi="Arial" w:cs="Arial"/>
          <w:spacing w:val="-19"/>
          <w:sz w:val="26"/>
          <w:szCs w:val="26"/>
        </w:rPr>
        <w:t xml:space="preserve"> </w:t>
      </w:r>
      <w:r w:rsidRPr="00C67536">
        <w:rPr>
          <w:rFonts w:ascii="Arial" w:hAnsi="Arial" w:cs="Arial"/>
          <w:sz w:val="26"/>
          <w:szCs w:val="26"/>
        </w:rPr>
        <w:t>a</w:t>
      </w:r>
      <w:r w:rsidRPr="00C67536">
        <w:rPr>
          <w:rFonts w:ascii="Arial" w:hAnsi="Arial" w:cs="Arial"/>
          <w:spacing w:val="-17"/>
          <w:sz w:val="26"/>
          <w:szCs w:val="26"/>
        </w:rPr>
        <w:t xml:space="preserve"> </w:t>
      </w:r>
      <w:r w:rsidRPr="00C67536">
        <w:rPr>
          <w:rFonts w:ascii="Arial" w:hAnsi="Arial" w:cs="Arial"/>
          <w:sz w:val="26"/>
          <w:szCs w:val="26"/>
        </w:rPr>
        <w:t>la</w:t>
      </w:r>
      <w:r w:rsidRPr="00C67536">
        <w:rPr>
          <w:rFonts w:ascii="Arial" w:hAnsi="Arial" w:cs="Arial"/>
          <w:spacing w:val="-17"/>
          <w:sz w:val="26"/>
          <w:szCs w:val="26"/>
        </w:rPr>
        <w:t xml:space="preserve"> </w:t>
      </w:r>
      <w:r w:rsidRPr="00C67536">
        <w:rPr>
          <w:rFonts w:ascii="Arial" w:hAnsi="Arial" w:cs="Arial"/>
          <w:sz w:val="26"/>
          <w:szCs w:val="26"/>
        </w:rPr>
        <w:t>información</w:t>
      </w:r>
      <w:r w:rsidRPr="00C67536">
        <w:rPr>
          <w:rFonts w:ascii="Arial" w:hAnsi="Arial" w:cs="Arial"/>
          <w:spacing w:val="-17"/>
          <w:sz w:val="26"/>
          <w:szCs w:val="26"/>
        </w:rPr>
        <w:t xml:space="preserve"> </w:t>
      </w:r>
      <w:r w:rsidRPr="00C67536">
        <w:rPr>
          <w:rFonts w:ascii="Arial" w:hAnsi="Arial" w:cs="Arial"/>
          <w:sz w:val="26"/>
          <w:szCs w:val="26"/>
        </w:rPr>
        <w:t>que</w:t>
      </w:r>
      <w:r w:rsidRPr="00C67536">
        <w:rPr>
          <w:rFonts w:ascii="Arial" w:hAnsi="Arial" w:cs="Arial"/>
          <w:spacing w:val="-17"/>
          <w:sz w:val="26"/>
          <w:szCs w:val="26"/>
        </w:rPr>
        <w:t xml:space="preserve"> </w:t>
      </w:r>
      <w:r w:rsidRPr="00C67536">
        <w:rPr>
          <w:rFonts w:ascii="Arial" w:hAnsi="Arial" w:cs="Arial"/>
          <w:sz w:val="26"/>
          <w:szCs w:val="26"/>
        </w:rPr>
        <w:t>contiene</w:t>
      </w:r>
      <w:r w:rsidRPr="00C67536">
        <w:rPr>
          <w:rFonts w:ascii="Arial" w:hAnsi="Arial" w:cs="Arial"/>
          <w:spacing w:val="-17"/>
          <w:sz w:val="26"/>
          <w:szCs w:val="26"/>
        </w:rPr>
        <w:t xml:space="preserve"> </w:t>
      </w:r>
      <w:r w:rsidRPr="00C67536">
        <w:rPr>
          <w:rFonts w:ascii="Arial" w:hAnsi="Arial" w:cs="Arial"/>
          <w:sz w:val="26"/>
          <w:szCs w:val="26"/>
        </w:rPr>
        <w:t>la</w:t>
      </w:r>
      <w:r w:rsidRPr="00C67536">
        <w:rPr>
          <w:rFonts w:ascii="Arial" w:hAnsi="Arial" w:cs="Arial"/>
          <w:spacing w:val="-16"/>
          <w:sz w:val="26"/>
          <w:szCs w:val="26"/>
        </w:rPr>
        <w:t xml:space="preserve"> </w:t>
      </w:r>
      <w:r w:rsidRPr="00C67536">
        <w:rPr>
          <w:rFonts w:ascii="Arial" w:hAnsi="Arial" w:cs="Arial"/>
          <w:sz w:val="26"/>
          <w:szCs w:val="26"/>
        </w:rPr>
        <w:t>etiqueta</w:t>
      </w:r>
      <w:r w:rsidRPr="00C67536">
        <w:rPr>
          <w:rFonts w:ascii="Arial" w:hAnsi="Arial" w:cs="Arial"/>
          <w:spacing w:val="-16"/>
          <w:sz w:val="26"/>
          <w:szCs w:val="26"/>
        </w:rPr>
        <w:t xml:space="preserve"> </w:t>
      </w:r>
      <w:r w:rsidRPr="00C67536">
        <w:rPr>
          <w:rFonts w:ascii="Arial" w:hAnsi="Arial" w:cs="Arial"/>
          <w:sz w:val="26"/>
          <w:szCs w:val="26"/>
        </w:rPr>
        <w:t>de</w:t>
      </w:r>
      <w:r w:rsidRPr="00C67536">
        <w:rPr>
          <w:rFonts w:ascii="Arial" w:hAnsi="Arial" w:cs="Arial"/>
          <w:spacing w:val="-17"/>
          <w:sz w:val="26"/>
          <w:szCs w:val="26"/>
        </w:rPr>
        <w:t xml:space="preserve"> </w:t>
      </w:r>
      <w:r w:rsidRPr="00C67536">
        <w:rPr>
          <w:rFonts w:ascii="Arial" w:hAnsi="Arial" w:cs="Arial"/>
          <w:sz w:val="26"/>
          <w:szCs w:val="26"/>
        </w:rPr>
        <w:t>los</w:t>
      </w:r>
      <w:r w:rsidRPr="00C67536">
        <w:rPr>
          <w:rFonts w:ascii="Arial" w:hAnsi="Arial" w:cs="Arial"/>
          <w:spacing w:val="-17"/>
          <w:sz w:val="26"/>
          <w:szCs w:val="26"/>
        </w:rPr>
        <w:t xml:space="preserve"> </w:t>
      </w:r>
      <w:r w:rsidRPr="00C67536">
        <w:rPr>
          <w:rFonts w:ascii="Arial" w:hAnsi="Arial" w:cs="Arial"/>
          <w:sz w:val="26"/>
          <w:szCs w:val="26"/>
        </w:rPr>
        <w:t>productos</w:t>
      </w:r>
      <w:r w:rsidRPr="00C67536">
        <w:rPr>
          <w:rFonts w:ascii="Arial" w:hAnsi="Arial" w:cs="Arial"/>
          <w:spacing w:val="-17"/>
          <w:sz w:val="26"/>
          <w:szCs w:val="26"/>
        </w:rPr>
        <w:t xml:space="preserve"> </w:t>
      </w:r>
      <w:r w:rsidRPr="00C67536">
        <w:rPr>
          <w:rFonts w:ascii="Arial" w:hAnsi="Arial" w:cs="Arial"/>
          <w:sz w:val="26"/>
          <w:szCs w:val="26"/>
        </w:rPr>
        <w:t>industrializados.</w:t>
      </w:r>
    </w:p>
    <w:p w14:paraId="30585750"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El sistema GDA utiliza valores de referencia incorrectos como límites máximos para los ingredientes o componentes que presenta y que carecen de sustento científico.</w:t>
      </w:r>
      <w:r w:rsidRPr="00C67536">
        <w:rPr>
          <w:rFonts w:ascii="Arial" w:hAnsi="Arial" w:cs="Arial"/>
          <w:spacing w:val="-4"/>
          <w:sz w:val="26"/>
          <w:szCs w:val="26"/>
        </w:rPr>
        <w:t xml:space="preserve"> </w:t>
      </w:r>
      <w:r w:rsidRPr="00C67536">
        <w:rPr>
          <w:rFonts w:ascii="Arial" w:hAnsi="Arial" w:cs="Arial"/>
          <w:sz w:val="26"/>
          <w:szCs w:val="26"/>
        </w:rPr>
        <w:t>El</w:t>
      </w:r>
      <w:r w:rsidRPr="00C67536">
        <w:rPr>
          <w:rFonts w:ascii="Arial" w:hAnsi="Arial" w:cs="Arial"/>
          <w:spacing w:val="-7"/>
          <w:sz w:val="26"/>
          <w:szCs w:val="26"/>
        </w:rPr>
        <w:t xml:space="preserve"> </w:t>
      </w:r>
      <w:r w:rsidRPr="00C67536">
        <w:rPr>
          <w:rFonts w:ascii="Arial" w:hAnsi="Arial" w:cs="Arial"/>
          <w:sz w:val="26"/>
          <w:szCs w:val="26"/>
        </w:rPr>
        <w:t>etiquetado</w:t>
      </w:r>
      <w:r w:rsidRPr="00C67536">
        <w:rPr>
          <w:rFonts w:ascii="Arial" w:hAnsi="Arial" w:cs="Arial"/>
          <w:spacing w:val="-4"/>
          <w:sz w:val="26"/>
          <w:szCs w:val="26"/>
        </w:rPr>
        <w:t xml:space="preserve"> </w:t>
      </w:r>
      <w:r w:rsidRPr="00C67536">
        <w:rPr>
          <w:rFonts w:ascii="Arial" w:hAnsi="Arial" w:cs="Arial"/>
          <w:sz w:val="26"/>
          <w:szCs w:val="26"/>
        </w:rPr>
        <w:t>se</w:t>
      </w:r>
      <w:r w:rsidRPr="00C67536">
        <w:rPr>
          <w:rFonts w:ascii="Arial" w:hAnsi="Arial" w:cs="Arial"/>
          <w:spacing w:val="-6"/>
          <w:sz w:val="26"/>
          <w:szCs w:val="26"/>
        </w:rPr>
        <w:t xml:space="preserve"> </w:t>
      </w:r>
      <w:r w:rsidRPr="00C67536">
        <w:rPr>
          <w:rFonts w:ascii="Arial" w:hAnsi="Arial" w:cs="Arial"/>
          <w:sz w:val="26"/>
          <w:szCs w:val="26"/>
        </w:rPr>
        <w:t>diseñó</w:t>
      </w:r>
      <w:r w:rsidRPr="00C67536">
        <w:rPr>
          <w:rFonts w:ascii="Arial" w:hAnsi="Arial" w:cs="Arial"/>
          <w:spacing w:val="-6"/>
          <w:sz w:val="26"/>
          <w:szCs w:val="26"/>
        </w:rPr>
        <w:t xml:space="preserve"> </w:t>
      </w:r>
      <w:r w:rsidRPr="00C67536">
        <w:rPr>
          <w:rFonts w:ascii="Arial" w:hAnsi="Arial" w:cs="Arial"/>
          <w:sz w:val="26"/>
          <w:szCs w:val="26"/>
        </w:rPr>
        <w:t>sin</w:t>
      </w:r>
      <w:r w:rsidRPr="00C67536">
        <w:rPr>
          <w:rFonts w:ascii="Arial" w:hAnsi="Arial" w:cs="Arial"/>
          <w:spacing w:val="-6"/>
          <w:sz w:val="26"/>
          <w:szCs w:val="26"/>
        </w:rPr>
        <w:t xml:space="preserve"> </w:t>
      </w:r>
      <w:r w:rsidRPr="00C67536">
        <w:rPr>
          <w:rFonts w:ascii="Arial" w:hAnsi="Arial" w:cs="Arial"/>
          <w:sz w:val="26"/>
          <w:szCs w:val="26"/>
        </w:rPr>
        <w:t>participación</w:t>
      </w:r>
      <w:r w:rsidRPr="00C67536">
        <w:rPr>
          <w:rFonts w:ascii="Arial" w:hAnsi="Arial" w:cs="Arial"/>
          <w:spacing w:val="-6"/>
          <w:sz w:val="26"/>
          <w:szCs w:val="26"/>
        </w:rPr>
        <w:t xml:space="preserve"> </w:t>
      </w:r>
      <w:r w:rsidRPr="00C67536">
        <w:rPr>
          <w:rFonts w:ascii="Arial" w:hAnsi="Arial" w:cs="Arial"/>
          <w:sz w:val="26"/>
          <w:szCs w:val="26"/>
        </w:rPr>
        <w:t>de</w:t>
      </w:r>
      <w:r w:rsidRPr="00C67536">
        <w:rPr>
          <w:rFonts w:ascii="Arial" w:hAnsi="Arial" w:cs="Arial"/>
          <w:spacing w:val="-6"/>
          <w:sz w:val="26"/>
          <w:szCs w:val="26"/>
        </w:rPr>
        <w:t xml:space="preserve"> </w:t>
      </w:r>
      <w:r w:rsidRPr="00C67536">
        <w:rPr>
          <w:rFonts w:ascii="Arial" w:hAnsi="Arial" w:cs="Arial"/>
          <w:sz w:val="26"/>
          <w:szCs w:val="26"/>
        </w:rPr>
        <w:t>expertos</w:t>
      </w:r>
      <w:r w:rsidRPr="00C67536">
        <w:rPr>
          <w:rFonts w:ascii="Arial" w:hAnsi="Arial" w:cs="Arial"/>
          <w:spacing w:val="-7"/>
          <w:sz w:val="26"/>
          <w:szCs w:val="26"/>
        </w:rPr>
        <w:t xml:space="preserve"> </w:t>
      </w:r>
      <w:r w:rsidRPr="00C67536">
        <w:rPr>
          <w:rFonts w:ascii="Arial" w:hAnsi="Arial" w:cs="Arial"/>
          <w:sz w:val="26"/>
          <w:szCs w:val="26"/>
        </w:rPr>
        <w:t>en</w:t>
      </w:r>
      <w:r w:rsidRPr="00C67536">
        <w:rPr>
          <w:rFonts w:ascii="Arial" w:hAnsi="Arial" w:cs="Arial"/>
          <w:spacing w:val="-6"/>
          <w:sz w:val="26"/>
          <w:szCs w:val="26"/>
        </w:rPr>
        <w:t xml:space="preserve"> </w:t>
      </w:r>
      <w:r w:rsidRPr="00C67536">
        <w:rPr>
          <w:rFonts w:ascii="Arial" w:hAnsi="Arial" w:cs="Arial"/>
          <w:sz w:val="26"/>
          <w:szCs w:val="26"/>
        </w:rPr>
        <w:t>nutrición</w:t>
      </w:r>
      <w:r w:rsidRPr="00C67536">
        <w:rPr>
          <w:rFonts w:ascii="Arial" w:hAnsi="Arial" w:cs="Arial"/>
          <w:spacing w:val="-3"/>
          <w:sz w:val="26"/>
          <w:szCs w:val="26"/>
        </w:rPr>
        <w:t xml:space="preserve"> </w:t>
      </w:r>
      <w:r w:rsidRPr="00C67536">
        <w:rPr>
          <w:rFonts w:ascii="Arial" w:hAnsi="Arial" w:cs="Arial"/>
          <w:sz w:val="26"/>
          <w:szCs w:val="26"/>
        </w:rPr>
        <w:t xml:space="preserve">libres de conflicto de interés. Además, no existe evidencia de que el sistema que </w:t>
      </w:r>
      <w:r w:rsidRPr="00C67536">
        <w:rPr>
          <w:rFonts w:ascii="Arial" w:hAnsi="Arial" w:cs="Arial"/>
          <w:spacing w:val="-3"/>
          <w:sz w:val="26"/>
          <w:szCs w:val="26"/>
        </w:rPr>
        <w:t xml:space="preserve">se </w:t>
      </w:r>
      <w:r w:rsidRPr="00C67536">
        <w:rPr>
          <w:rFonts w:ascii="Arial" w:hAnsi="Arial" w:cs="Arial"/>
          <w:sz w:val="26"/>
          <w:szCs w:val="26"/>
        </w:rPr>
        <w:t>utiliza actualmente sea comprendido o contribuya a tomar decisiones más saludables</w:t>
      </w:r>
      <w:r w:rsidRPr="00C67536">
        <w:rPr>
          <w:rFonts w:ascii="Arial" w:hAnsi="Arial" w:cs="Arial"/>
          <w:spacing w:val="-9"/>
          <w:sz w:val="26"/>
          <w:szCs w:val="26"/>
        </w:rPr>
        <w:t xml:space="preserve"> </w:t>
      </w:r>
      <w:r w:rsidRPr="00C67536">
        <w:rPr>
          <w:rFonts w:ascii="Arial" w:hAnsi="Arial" w:cs="Arial"/>
          <w:sz w:val="26"/>
          <w:szCs w:val="26"/>
        </w:rPr>
        <w:t>entre</w:t>
      </w:r>
      <w:r w:rsidRPr="00C67536">
        <w:rPr>
          <w:rFonts w:ascii="Arial" w:hAnsi="Arial" w:cs="Arial"/>
          <w:spacing w:val="-8"/>
          <w:sz w:val="26"/>
          <w:szCs w:val="26"/>
        </w:rPr>
        <w:t xml:space="preserve"> </w:t>
      </w:r>
      <w:r w:rsidRPr="00C67536">
        <w:rPr>
          <w:rFonts w:ascii="Arial" w:hAnsi="Arial" w:cs="Arial"/>
          <w:sz w:val="26"/>
          <w:szCs w:val="26"/>
        </w:rPr>
        <w:t>los</w:t>
      </w:r>
      <w:r w:rsidRPr="00C67536">
        <w:rPr>
          <w:rFonts w:ascii="Arial" w:hAnsi="Arial" w:cs="Arial"/>
          <w:spacing w:val="-9"/>
          <w:sz w:val="26"/>
          <w:szCs w:val="26"/>
        </w:rPr>
        <w:t xml:space="preserve"> </w:t>
      </w:r>
      <w:r w:rsidRPr="00C67536">
        <w:rPr>
          <w:rFonts w:ascii="Arial" w:hAnsi="Arial" w:cs="Arial"/>
          <w:sz w:val="26"/>
          <w:szCs w:val="26"/>
        </w:rPr>
        <w:t>consumidores.</w:t>
      </w:r>
      <w:r w:rsidRPr="00C67536">
        <w:rPr>
          <w:rFonts w:ascii="Arial" w:hAnsi="Arial" w:cs="Arial"/>
          <w:spacing w:val="-8"/>
          <w:sz w:val="26"/>
          <w:szCs w:val="26"/>
        </w:rPr>
        <w:t xml:space="preserve"> </w:t>
      </w:r>
      <w:r w:rsidRPr="00C67536">
        <w:rPr>
          <w:rFonts w:ascii="Arial" w:hAnsi="Arial" w:cs="Arial"/>
          <w:sz w:val="26"/>
          <w:szCs w:val="26"/>
        </w:rPr>
        <w:t>Otro</w:t>
      </w:r>
      <w:r w:rsidRPr="00C67536">
        <w:rPr>
          <w:rFonts w:ascii="Arial" w:hAnsi="Arial" w:cs="Arial"/>
          <w:spacing w:val="-7"/>
          <w:sz w:val="26"/>
          <w:szCs w:val="26"/>
        </w:rPr>
        <w:t xml:space="preserve"> </w:t>
      </w:r>
      <w:r w:rsidRPr="00C67536">
        <w:rPr>
          <w:rFonts w:ascii="Arial" w:hAnsi="Arial" w:cs="Arial"/>
          <w:sz w:val="26"/>
          <w:szCs w:val="26"/>
        </w:rPr>
        <w:t>problema</w:t>
      </w:r>
      <w:r w:rsidRPr="00C67536">
        <w:rPr>
          <w:rFonts w:ascii="Arial" w:hAnsi="Arial" w:cs="Arial"/>
          <w:spacing w:val="-11"/>
          <w:sz w:val="26"/>
          <w:szCs w:val="26"/>
        </w:rPr>
        <w:t xml:space="preserve"> </w:t>
      </w:r>
      <w:r w:rsidRPr="00C67536">
        <w:rPr>
          <w:rFonts w:ascii="Arial" w:hAnsi="Arial" w:cs="Arial"/>
          <w:sz w:val="26"/>
          <w:szCs w:val="26"/>
        </w:rPr>
        <w:t>del</w:t>
      </w:r>
      <w:r w:rsidRPr="00C67536">
        <w:rPr>
          <w:rFonts w:ascii="Arial" w:hAnsi="Arial" w:cs="Arial"/>
          <w:spacing w:val="-9"/>
          <w:sz w:val="26"/>
          <w:szCs w:val="26"/>
        </w:rPr>
        <w:t xml:space="preserve"> </w:t>
      </w:r>
      <w:r w:rsidRPr="00C67536">
        <w:rPr>
          <w:rFonts w:ascii="Arial" w:hAnsi="Arial" w:cs="Arial"/>
          <w:sz w:val="26"/>
          <w:szCs w:val="26"/>
        </w:rPr>
        <w:t>SEFAB</w:t>
      </w:r>
      <w:r w:rsidRPr="00C67536">
        <w:rPr>
          <w:rFonts w:ascii="Arial" w:hAnsi="Arial" w:cs="Arial"/>
          <w:spacing w:val="-9"/>
          <w:sz w:val="26"/>
          <w:szCs w:val="26"/>
        </w:rPr>
        <w:t xml:space="preserve"> </w:t>
      </w:r>
      <w:r w:rsidRPr="00C67536">
        <w:rPr>
          <w:rFonts w:ascii="Arial" w:hAnsi="Arial" w:cs="Arial"/>
          <w:sz w:val="26"/>
          <w:szCs w:val="26"/>
        </w:rPr>
        <w:t>actual</w:t>
      </w:r>
      <w:r w:rsidRPr="00C67536">
        <w:rPr>
          <w:rFonts w:ascii="Arial" w:hAnsi="Arial" w:cs="Arial"/>
          <w:spacing w:val="-11"/>
          <w:sz w:val="26"/>
          <w:szCs w:val="26"/>
        </w:rPr>
        <w:t xml:space="preserve"> </w:t>
      </w:r>
      <w:r w:rsidRPr="00C67536">
        <w:rPr>
          <w:rFonts w:ascii="Arial" w:hAnsi="Arial" w:cs="Arial"/>
          <w:sz w:val="26"/>
          <w:szCs w:val="26"/>
        </w:rPr>
        <w:t>es</w:t>
      </w:r>
      <w:r w:rsidRPr="00C67536">
        <w:rPr>
          <w:rFonts w:ascii="Arial" w:hAnsi="Arial" w:cs="Arial"/>
          <w:spacing w:val="-8"/>
          <w:sz w:val="26"/>
          <w:szCs w:val="26"/>
        </w:rPr>
        <w:t xml:space="preserve"> </w:t>
      </w:r>
      <w:r w:rsidRPr="00C67536">
        <w:rPr>
          <w:rFonts w:ascii="Arial" w:hAnsi="Arial" w:cs="Arial"/>
          <w:sz w:val="26"/>
          <w:szCs w:val="26"/>
        </w:rPr>
        <w:t>el</w:t>
      </w:r>
      <w:r w:rsidRPr="00C67536">
        <w:rPr>
          <w:rFonts w:ascii="Arial" w:hAnsi="Arial" w:cs="Arial"/>
          <w:spacing w:val="-10"/>
          <w:sz w:val="26"/>
          <w:szCs w:val="26"/>
        </w:rPr>
        <w:t xml:space="preserve"> </w:t>
      </w:r>
      <w:r w:rsidRPr="00C67536">
        <w:rPr>
          <w:rFonts w:ascii="Arial" w:hAnsi="Arial" w:cs="Arial"/>
          <w:sz w:val="26"/>
          <w:szCs w:val="26"/>
        </w:rPr>
        <w:t>uso</w:t>
      </w:r>
      <w:r w:rsidRPr="00C67536">
        <w:rPr>
          <w:rFonts w:ascii="Arial" w:hAnsi="Arial" w:cs="Arial"/>
          <w:spacing w:val="-7"/>
          <w:sz w:val="26"/>
          <w:szCs w:val="26"/>
        </w:rPr>
        <w:t xml:space="preserve"> </w:t>
      </w:r>
      <w:r w:rsidRPr="00C67536">
        <w:rPr>
          <w:rFonts w:ascii="Arial" w:hAnsi="Arial" w:cs="Arial"/>
          <w:sz w:val="26"/>
          <w:szCs w:val="26"/>
        </w:rPr>
        <w:t>de porciones arbitrarias que, al manipularse, permiten disfrazar las altas cantidades de ingredientes poco saludables en los</w:t>
      </w:r>
      <w:r w:rsidRPr="00C67536">
        <w:rPr>
          <w:rFonts w:ascii="Arial" w:hAnsi="Arial" w:cs="Arial"/>
          <w:spacing w:val="-7"/>
          <w:sz w:val="26"/>
          <w:szCs w:val="26"/>
        </w:rPr>
        <w:t xml:space="preserve"> </w:t>
      </w:r>
      <w:r w:rsidRPr="00C67536">
        <w:rPr>
          <w:rFonts w:ascii="Arial" w:hAnsi="Arial" w:cs="Arial"/>
          <w:sz w:val="26"/>
          <w:szCs w:val="26"/>
        </w:rPr>
        <w:t>productos.</w:t>
      </w:r>
    </w:p>
    <w:p w14:paraId="481A7114" w14:textId="77777777" w:rsidR="00D03349" w:rsidRPr="00C67536" w:rsidRDefault="00D03349" w:rsidP="00B144AE">
      <w:pPr>
        <w:pStyle w:val="ListParagraph"/>
        <w:widowControl w:val="0"/>
        <w:numPr>
          <w:ilvl w:val="0"/>
          <w:numId w:val="12"/>
        </w:numPr>
        <w:tabs>
          <w:tab w:val="left" w:pos="618"/>
        </w:tabs>
        <w:autoSpaceDE w:val="0"/>
        <w:autoSpaceDN w:val="0"/>
        <w:spacing w:before="1"/>
        <w:ind w:left="567" w:right="567" w:firstLine="0"/>
        <w:jc w:val="both"/>
        <w:rPr>
          <w:rFonts w:ascii="Arial" w:hAnsi="Arial" w:cs="Arial"/>
          <w:sz w:val="26"/>
          <w:szCs w:val="26"/>
        </w:rPr>
      </w:pPr>
      <w:r w:rsidRPr="00C67536">
        <w:rPr>
          <w:rFonts w:ascii="Arial" w:hAnsi="Arial" w:cs="Arial"/>
          <w:sz w:val="26"/>
          <w:szCs w:val="26"/>
        </w:rPr>
        <w:t xml:space="preserve">En congruencia con los esfuerzos internacionales de la región, basados en el mejor conocimiento disponible y tomando en cuenta las recomendaciones de la Organización Panamericana de la Salud, el Fondo de las Naciones Unidas </w:t>
      </w:r>
      <w:r w:rsidRPr="00C67536">
        <w:rPr>
          <w:rFonts w:ascii="Arial" w:hAnsi="Arial" w:cs="Arial"/>
          <w:spacing w:val="2"/>
          <w:sz w:val="26"/>
          <w:szCs w:val="26"/>
        </w:rPr>
        <w:t xml:space="preserve">para </w:t>
      </w:r>
      <w:r w:rsidRPr="00C67536">
        <w:rPr>
          <w:rFonts w:ascii="Arial" w:hAnsi="Arial" w:cs="Arial"/>
          <w:sz w:val="26"/>
          <w:szCs w:val="26"/>
        </w:rPr>
        <w:t>la Infancia (UNICEF), un grupo internacional de expertos académicos con apoyo de</w:t>
      </w:r>
      <w:r w:rsidRPr="00C67536">
        <w:rPr>
          <w:rFonts w:ascii="Arial" w:hAnsi="Arial" w:cs="Arial"/>
          <w:spacing w:val="-14"/>
          <w:sz w:val="26"/>
          <w:szCs w:val="26"/>
        </w:rPr>
        <w:t xml:space="preserve"> </w:t>
      </w:r>
      <w:r w:rsidRPr="00C67536">
        <w:rPr>
          <w:rFonts w:ascii="Arial" w:hAnsi="Arial" w:cs="Arial"/>
          <w:sz w:val="26"/>
          <w:szCs w:val="26"/>
        </w:rPr>
        <w:t>más</w:t>
      </w:r>
      <w:r w:rsidRPr="00C67536">
        <w:rPr>
          <w:rFonts w:ascii="Arial" w:hAnsi="Arial" w:cs="Arial"/>
          <w:spacing w:val="-14"/>
          <w:sz w:val="26"/>
          <w:szCs w:val="26"/>
        </w:rPr>
        <w:t xml:space="preserve"> </w:t>
      </w:r>
      <w:r w:rsidRPr="00C67536">
        <w:rPr>
          <w:rFonts w:ascii="Arial" w:hAnsi="Arial" w:cs="Arial"/>
          <w:sz w:val="26"/>
          <w:szCs w:val="26"/>
        </w:rPr>
        <w:t>de</w:t>
      </w:r>
      <w:r w:rsidRPr="00C67536">
        <w:rPr>
          <w:rFonts w:ascii="Arial" w:hAnsi="Arial" w:cs="Arial"/>
          <w:spacing w:val="-13"/>
          <w:sz w:val="26"/>
          <w:szCs w:val="26"/>
        </w:rPr>
        <w:t xml:space="preserve"> </w:t>
      </w:r>
      <w:r w:rsidRPr="00C67536">
        <w:rPr>
          <w:rFonts w:ascii="Arial" w:hAnsi="Arial" w:cs="Arial"/>
          <w:sz w:val="26"/>
          <w:szCs w:val="26"/>
        </w:rPr>
        <w:t>11</w:t>
      </w:r>
      <w:r w:rsidRPr="00C67536">
        <w:rPr>
          <w:rFonts w:ascii="Arial" w:hAnsi="Arial" w:cs="Arial"/>
          <w:spacing w:val="-11"/>
          <w:sz w:val="26"/>
          <w:szCs w:val="26"/>
        </w:rPr>
        <w:t xml:space="preserve"> </w:t>
      </w:r>
      <w:r w:rsidRPr="00C67536">
        <w:rPr>
          <w:rFonts w:ascii="Arial" w:hAnsi="Arial" w:cs="Arial"/>
          <w:sz w:val="26"/>
          <w:szCs w:val="26"/>
        </w:rPr>
        <w:t>organizaciones</w:t>
      </w:r>
      <w:r w:rsidRPr="00C67536">
        <w:rPr>
          <w:rFonts w:ascii="Arial" w:hAnsi="Arial" w:cs="Arial"/>
          <w:spacing w:val="-14"/>
          <w:sz w:val="26"/>
          <w:szCs w:val="26"/>
        </w:rPr>
        <w:t xml:space="preserve"> </w:t>
      </w:r>
      <w:r w:rsidRPr="00C67536">
        <w:rPr>
          <w:rFonts w:ascii="Arial" w:hAnsi="Arial" w:cs="Arial"/>
          <w:sz w:val="26"/>
          <w:szCs w:val="26"/>
        </w:rPr>
        <w:t>profesionales</w:t>
      </w:r>
      <w:r w:rsidRPr="00C67536">
        <w:rPr>
          <w:rFonts w:ascii="Arial" w:hAnsi="Arial" w:cs="Arial"/>
          <w:spacing w:val="-13"/>
          <w:sz w:val="26"/>
          <w:szCs w:val="26"/>
        </w:rPr>
        <w:t xml:space="preserve"> </w:t>
      </w:r>
      <w:r w:rsidRPr="00C67536">
        <w:rPr>
          <w:rFonts w:ascii="Arial" w:hAnsi="Arial" w:cs="Arial"/>
          <w:sz w:val="26"/>
          <w:szCs w:val="26"/>
        </w:rPr>
        <w:t>de</w:t>
      </w:r>
      <w:r w:rsidRPr="00C67536">
        <w:rPr>
          <w:rFonts w:ascii="Arial" w:hAnsi="Arial" w:cs="Arial"/>
          <w:spacing w:val="-12"/>
          <w:sz w:val="26"/>
          <w:szCs w:val="26"/>
        </w:rPr>
        <w:t xml:space="preserve"> </w:t>
      </w:r>
      <w:r w:rsidRPr="00C67536">
        <w:rPr>
          <w:rFonts w:ascii="Arial" w:hAnsi="Arial" w:cs="Arial"/>
          <w:sz w:val="26"/>
          <w:szCs w:val="26"/>
        </w:rPr>
        <w:t>salud</w:t>
      </w:r>
      <w:r w:rsidRPr="00C67536">
        <w:rPr>
          <w:rFonts w:ascii="Arial" w:hAnsi="Arial" w:cs="Arial"/>
          <w:spacing w:val="-13"/>
          <w:sz w:val="26"/>
          <w:szCs w:val="26"/>
        </w:rPr>
        <w:t xml:space="preserve"> </w:t>
      </w:r>
      <w:r w:rsidRPr="00C67536">
        <w:rPr>
          <w:rFonts w:ascii="Arial" w:hAnsi="Arial" w:cs="Arial"/>
          <w:sz w:val="26"/>
          <w:szCs w:val="26"/>
        </w:rPr>
        <w:t>nacionales</w:t>
      </w:r>
      <w:r w:rsidRPr="00C67536">
        <w:rPr>
          <w:rFonts w:ascii="Arial" w:hAnsi="Arial" w:cs="Arial"/>
          <w:spacing w:val="-13"/>
          <w:sz w:val="26"/>
          <w:szCs w:val="26"/>
        </w:rPr>
        <w:t xml:space="preserve"> </w:t>
      </w:r>
      <w:r w:rsidRPr="00C67536">
        <w:rPr>
          <w:rFonts w:ascii="Arial" w:hAnsi="Arial" w:cs="Arial"/>
          <w:sz w:val="26"/>
          <w:szCs w:val="26"/>
        </w:rPr>
        <w:t>e</w:t>
      </w:r>
      <w:r w:rsidRPr="00C67536">
        <w:rPr>
          <w:rFonts w:ascii="Arial" w:hAnsi="Arial" w:cs="Arial"/>
          <w:spacing w:val="-11"/>
          <w:sz w:val="26"/>
          <w:szCs w:val="26"/>
        </w:rPr>
        <w:t xml:space="preserve"> </w:t>
      </w:r>
      <w:r w:rsidRPr="00C67536">
        <w:rPr>
          <w:rFonts w:ascii="Arial" w:hAnsi="Arial" w:cs="Arial"/>
          <w:sz w:val="26"/>
          <w:szCs w:val="26"/>
        </w:rPr>
        <w:t>internacionales (incluyendo</w:t>
      </w:r>
      <w:r w:rsidRPr="00C67536">
        <w:rPr>
          <w:rFonts w:ascii="Arial" w:hAnsi="Arial" w:cs="Arial"/>
          <w:spacing w:val="-9"/>
          <w:sz w:val="26"/>
          <w:szCs w:val="26"/>
        </w:rPr>
        <w:t xml:space="preserve"> </w:t>
      </w:r>
      <w:r w:rsidRPr="00C67536">
        <w:rPr>
          <w:rFonts w:ascii="Arial" w:hAnsi="Arial" w:cs="Arial"/>
          <w:sz w:val="26"/>
          <w:szCs w:val="26"/>
        </w:rPr>
        <w:t>a</w:t>
      </w:r>
      <w:r w:rsidRPr="00C67536">
        <w:rPr>
          <w:rFonts w:ascii="Arial" w:hAnsi="Arial" w:cs="Arial"/>
          <w:spacing w:val="-9"/>
          <w:sz w:val="26"/>
          <w:szCs w:val="26"/>
        </w:rPr>
        <w:t xml:space="preserve"> </w:t>
      </w:r>
      <w:r w:rsidRPr="00C67536">
        <w:rPr>
          <w:rFonts w:ascii="Arial" w:hAnsi="Arial" w:cs="Arial"/>
          <w:sz w:val="26"/>
          <w:szCs w:val="26"/>
        </w:rPr>
        <w:t>la</w:t>
      </w:r>
      <w:r w:rsidRPr="00C67536">
        <w:rPr>
          <w:rFonts w:ascii="Arial" w:hAnsi="Arial" w:cs="Arial"/>
          <w:spacing w:val="-8"/>
          <w:sz w:val="26"/>
          <w:szCs w:val="26"/>
        </w:rPr>
        <w:t xml:space="preserve"> </w:t>
      </w:r>
      <w:r w:rsidRPr="00C67536">
        <w:rPr>
          <w:rFonts w:ascii="Arial" w:hAnsi="Arial" w:cs="Arial"/>
          <w:sz w:val="26"/>
          <w:szCs w:val="26"/>
        </w:rPr>
        <w:t>World</w:t>
      </w:r>
      <w:r w:rsidRPr="00C67536">
        <w:rPr>
          <w:rFonts w:ascii="Arial" w:hAnsi="Arial" w:cs="Arial"/>
          <w:spacing w:val="-12"/>
          <w:sz w:val="26"/>
          <w:szCs w:val="26"/>
        </w:rPr>
        <w:t xml:space="preserve"> </w:t>
      </w:r>
      <w:r w:rsidRPr="00C67536">
        <w:rPr>
          <w:rFonts w:ascii="Arial" w:hAnsi="Arial" w:cs="Arial"/>
          <w:sz w:val="26"/>
          <w:szCs w:val="26"/>
        </w:rPr>
        <w:t>Heart</w:t>
      </w:r>
      <w:r w:rsidRPr="00C67536">
        <w:rPr>
          <w:rFonts w:ascii="Arial" w:hAnsi="Arial" w:cs="Arial"/>
          <w:spacing w:val="-9"/>
          <w:sz w:val="26"/>
          <w:szCs w:val="26"/>
        </w:rPr>
        <w:t xml:space="preserve"> </w:t>
      </w:r>
      <w:r w:rsidRPr="00C67536">
        <w:rPr>
          <w:rFonts w:ascii="Arial" w:hAnsi="Arial" w:cs="Arial"/>
          <w:sz w:val="26"/>
          <w:szCs w:val="26"/>
        </w:rPr>
        <w:t>Federation,</w:t>
      </w:r>
      <w:r w:rsidRPr="00C67536">
        <w:rPr>
          <w:rFonts w:ascii="Arial" w:hAnsi="Arial" w:cs="Arial"/>
          <w:spacing w:val="-10"/>
          <w:sz w:val="26"/>
          <w:szCs w:val="26"/>
        </w:rPr>
        <w:t xml:space="preserve"> </w:t>
      </w:r>
      <w:r w:rsidRPr="00C67536">
        <w:rPr>
          <w:rFonts w:ascii="Arial" w:hAnsi="Arial" w:cs="Arial"/>
          <w:sz w:val="26"/>
          <w:szCs w:val="26"/>
        </w:rPr>
        <w:t>InterAmerican</w:t>
      </w:r>
      <w:r w:rsidRPr="00C67536">
        <w:rPr>
          <w:rFonts w:ascii="Arial" w:hAnsi="Arial" w:cs="Arial"/>
          <w:spacing w:val="-9"/>
          <w:sz w:val="26"/>
          <w:szCs w:val="26"/>
        </w:rPr>
        <w:t xml:space="preserve"> </w:t>
      </w:r>
      <w:r w:rsidRPr="00C67536">
        <w:rPr>
          <w:rFonts w:ascii="Arial" w:hAnsi="Arial" w:cs="Arial"/>
          <w:sz w:val="26"/>
          <w:szCs w:val="26"/>
        </w:rPr>
        <w:t>Heart</w:t>
      </w:r>
      <w:r w:rsidRPr="00C67536">
        <w:rPr>
          <w:rFonts w:ascii="Arial" w:hAnsi="Arial" w:cs="Arial"/>
          <w:spacing w:val="-12"/>
          <w:sz w:val="26"/>
          <w:szCs w:val="26"/>
        </w:rPr>
        <w:t xml:space="preserve"> </w:t>
      </w:r>
      <w:r w:rsidRPr="00C67536">
        <w:rPr>
          <w:rFonts w:ascii="Arial" w:hAnsi="Arial" w:cs="Arial"/>
          <w:sz w:val="26"/>
          <w:szCs w:val="26"/>
        </w:rPr>
        <w:t>Foundation</w:t>
      </w:r>
      <w:r w:rsidRPr="00C67536">
        <w:rPr>
          <w:rFonts w:ascii="Arial" w:hAnsi="Arial" w:cs="Arial"/>
          <w:spacing w:val="-9"/>
          <w:sz w:val="26"/>
          <w:szCs w:val="26"/>
        </w:rPr>
        <w:t xml:space="preserve"> </w:t>
      </w:r>
      <w:r w:rsidRPr="00C67536">
        <w:rPr>
          <w:rFonts w:ascii="Arial" w:hAnsi="Arial" w:cs="Arial"/>
          <w:sz w:val="26"/>
          <w:szCs w:val="26"/>
        </w:rPr>
        <w:t>y</w:t>
      </w:r>
      <w:r w:rsidRPr="00C67536">
        <w:rPr>
          <w:rFonts w:ascii="Arial" w:hAnsi="Arial" w:cs="Arial"/>
          <w:spacing w:val="-12"/>
          <w:sz w:val="26"/>
          <w:szCs w:val="26"/>
        </w:rPr>
        <w:t xml:space="preserve"> </w:t>
      </w:r>
      <w:r w:rsidRPr="00C67536">
        <w:rPr>
          <w:rFonts w:ascii="Arial" w:hAnsi="Arial" w:cs="Arial"/>
          <w:sz w:val="26"/>
          <w:szCs w:val="26"/>
        </w:rPr>
        <w:t>World Obesity Federation, entre otras), considera que en México se requiere de un etiquetado de advertencia para ingredientes críticos en los alimentos similar al que se propone en Chile, Brasil, Perú y Canadá por las siguientes</w:t>
      </w:r>
      <w:r w:rsidRPr="00C67536">
        <w:rPr>
          <w:rFonts w:ascii="Arial" w:hAnsi="Arial" w:cs="Arial"/>
          <w:spacing w:val="-16"/>
          <w:sz w:val="26"/>
          <w:szCs w:val="26"/>
        </w:rPr>
        <w:t xml:space="preserve"> </w:t>
      </w:r>
      <w:r w:rsidRPr="00C67536">
        <w:rPr>
          <w:rFonts w:ascii="Arial" w:hAnsi="Arial" w:cs="Arial"/>
          <w:sz w:val="26"/>
          <w:szCs w:val="26"/>
        </w:rPr>
        <w:t>razones:</w:t>
      </w:r>
    </w:p>
    <w:p w14:paraId="3970DE03"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Cuenta con la mejor evidencia científica sobre su facilidad de</w:t>
      </w:r>
      <w:r w:rsidRPr="00C67536">
        <w:rPr>
          <w:rFonts w:ascii="Arial" w:hAnsi="Arial" w:cs="Arial"/>
          <w:spacing w:val="-15"/>
          <w:sz w:val="26"/>
          <w:szCs w:val="26"/>
        </w:rPr>
        <w:t xml:space="preserve"> </w:t>
      </w:r>
      <w:r w:rsidRPr="00C67536">
        <w:rPr>
          <w:rFonts w:ascii="Arial" w:hAnsi="Arial" w:cs="Arial"/>
          <w:sz w:val="26"/>
          <w:szCs w:val="26"/>
        </w:rPr>
        <w:t>comprensión.</w:t>
      </w:r>
    </w:p>
    <w:p w14:paraId="3A01F973"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Es el mejor comprendido en la población</w:t>
      </w:r>
      <w:r w:rsidRPr="00C67536">
        <w:rPr>
          <w:rFonts w:ascii="Arial" w:hAnsi="Arial" w:cs="Arial"/>
          <w:spacing w:val="-12"/>
          <w:sz w:val="26"/>
          <w:szCs w:val="26"/>
        </w:rPr>
        <w:t xml:space="preserve"> </w:t>
      </w:r>
      <w:r w:rsidRPr="00C67536">
        <w:rPr>
          <w:rFonts w:ascii="Arial" w:hAnsi="Arial" w:cs="Arial"/>
          <w:sz w:val="26"/>
          <w:szCs w:val="26"/>
        </w:rPr>
        <w:t>mexicana.</w:t>
      </w:r>
    </w:p>
    <w:p w14:paraId="78CB7AE1"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Al ser más simple, permite la toma de decisión en unos cuantos</w:t>
      </w:r>
      <w:r w:rsidRPr="00C67536">
        <w:rPr>
          <w:rFonts w:ascii="Arial" w:hAnsi="Arial" w:cs="Arial"/>
          <w:spacing w:val="-25"/>
          <w:sz w:val="26"/>
          <w:szCs w:val="26"/>
        </w:rPr>
        <w:t xml:space="preserve"> </w:t>
      </w:r>
      <w:r w:rsidRPr="00C67536">
        <w:rPr>
          <w:rFonts w:ascii="Arial" w:hAnsi="Arial" w:cs="Arial"/>
          <w:sz w:val="26"/>
          <w:szCs w:val="26"/>
        </w:rPr>
        <w:t>segundos.</w:t>
      </w:r>
    </w:p>
    <w:p w14:paraId="3135FC3B"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Existe evidencia de que puede ser comprendido incluso por</w:t>
      </w:r>
      <w:r w:rsidRPr="00C67536">
        <w:rPr>
          <w:rFonts w:ascii="Arial" w:hAnsi="Arial" w:cs="Arial"/>
          <w:spacing w:val="-7"/>
          <w:sz w:val="26"/>
          <w:szCs w:val="26"/>
        </w:rPr>
        <w:t xml:space="preserve"> </w:t>
      </w:r>
      <w:r w:rsidRPr="00C67536">
        <w:rPr>
          <w:rFonts w:ascii="Arial" w:hAnsi="Arial" w:cs="Arial"/>
          <w:sz w:val="26"/>
          <w:szCs w:val="26"/>
        </w:rPr>
        <w:t>niños.</w:t>
      </w:r>
    </w:p>
    <w:p w14:paraId="7F1A2BE3"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Es un sistema recomendado por la Organización Panamericana de la Salud y otras organizaciones internacionales y</w:t>
      </w:r>
      <w:r w:rsidRPr="00C67536">
        <w:rPr>
          <w:rFonts w:ascii="Arial" w:hAnsi="Arial" w:cs="Arial"/>
          <w:spacing w:val="-2"/>
          <w:sz w:val="26"/>
          <w:szCs w:val="26"/>
        </w:rPr>
        <w:t xml:space="preserve"> </w:t>
      </w:r>
      <w:r w:rsidRPr="00C67536">
        <w:rPr>
          <w:rFonts w:ascii="Arial" w:hAnsi="Arial" w:cs="Arial"/>
          <w:sz w:val="26"/>
          <w:szCs w:val="26"/>
        </w:rPr>
        <w:t>nacionales.</w:t>
      </w:r>
    </w:p>
    <w:p w14:paraId="2A12961B"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Se ha comprobado que contribuye a elecciones más</w:t>
      </w:r>
      <w:r w:rsidRPr="00C67536">
        <w:rPr>
          <w:rFonts w:ascii="Arial" w:hAnsi="Arial" w:cs="Arial"/>
          <w:spacing w:val="-12"/>
          <w:sz w:val="26"/>
          <w:szCs w:val="26"/>
        </w:rPr>
        <w:t xml:space="preserve"> </w:t>
      </w:r>
      <w:r w:rsidRPr="00C67536">
        <w:rPr>
          <w:rFonts w:ascii="Arial" w:hAnsi="Arial" w:cs="Arial"/>
          <w:sz w:val="26"/>
          <w:szCs w:val="26"/>
        </w:rPr>
        <w:t>saludables.</w:t>
      </w:r>
    </w:p>
    <w:p w14:paraId="2615605A"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Se ha comprobado que promueve la reformulación de productos con un perfil poco saludable en un tiempo</w:t>
      </w:r>
      <w:r w:rsidRPr="00C67536">
        <w:rPr>
          <w:rFonts w:ascii="Arial" w:hAnsi="Arial" w:cs="Arial"/>
          <w:spacing w:val="-5"/>
          <w:sz w:val="26"/>
          <w:szCs w:val="26"/>
        </w:rPr>
        <w:t xml:space="preserve"> </w:t>
      </w:r>
      <w:r w:rsidRPr="00C67536">
        <w:rPr>
          <w:rFonts w:ascii="Arial" w:hAnsi="Arial" w:cs="Arial"/>
          <w:sz w:val="26"/>
          <w:szCs w:val="26"/>
        </w:rPr>
        <w:t>reducido.</w:t>
      </w:r>
    </w:p>
    <w:p w14:paraId="1D1E2EAB" w14:textId="77777777" w:rsidR="00D03349" w:rsidRPr="00C67536" w:rsidRDefault="00D03349" w:rsidP="00B144AE">
      <w:pPr>
        <w:pStyle w:val="ListParagraph"/>
        <w:widowControl w:val="0"/>
        <w:numPr>
          <w:ilvl w:val="1"/>
          <w:numId w:val="12"/>
        </w:numPr>
        <w:autoSpaceDE w:val="0"/>
        <w:autoSpaceDN w:val="0"/>
        <w:ind w:left="567" w:right="567" w:firstLine="0"/>
        <w:jc w:val="both"/>
        <w:rPr>
          <w:rFonts w:ascii="Arial" w:hAnsi="Arial" w:cs="Arial"/>
          <w:sz w:val="26"/>
          <w:szCs w:val="26"/>
        </w:rPr>
      </w:pPr>
      <w:r w:rsidRPr="00C67536">
        <w:rPr>
          <w:rFonts w:ascii="Arial" w:hAnsi="Arial" w:cs="Arial"/>
          <w:sz w:val="26"/>
          <w:szCs w:val="26"/>
        </w:rPr>
        <w:t>Contribuye a proteger el derecho a la alimentación amparado por la Constitución desde</w:t>
      </w:r>
      <w:r w:rsidRPr="00C67536">
        <w:rPr>
          <w:rFonts w:ascii="Arial" w:hAnsi="Arial" w:cs="Arial"/>
          <w:spacing w:val="-3"/>
          <w:sz w:val="26"/>
          <w:szCs w:val="26"/>
        </w:rPr>
        <w:t xml:space="preserve"> </w:t>
      </w:r>
      <w:r w:rsidRPr="00C67536">
        <w:rPr>
          <w:rFonts w:ascii="Arial" w:hAnsi="Arial" w:cs="Arial"/>
          <w:sz w:val="26"/>
          <w:szCs w:val="26"/>
        </w:rPr>
        <w:t>2011.</w:t>
      </w:r>
    </w:p>
    <w:p w14:paraId="29F12506" w14:textId="77777777"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Cabe mencionar, que la evidencia más reciente muestra, que el etiquetado de advertencia que más fácil refleja la intención de facilitar la toma de decisiones de</w:t>
      </w:r>
      <w:r w:rsidRPr="00C67536">
        <w:rPr>
          <w:rFonts w:ascii="Arial" w:hAnsi="Arial" w:cs="Arial"/>
          <w:spacing w:val="-46"/>
          <w:sz w:val="26"/>
          <w:szCs w:val="26"/>
        </w:rPr>
        <w:t xml:space="preserve"> </w:t>
      </w:r>
      <w:r w:rsidRPr="00C67536">
        <w:rPr>
          <w:rFonts w:ascii="Arial" w:hAnsi="Arial" w:cs="Arial"/>
          <w:sz w:val="26"/>
          <w:szCs w:val="26"/>
        </w:rPr>
        <w:t>la población</w:t>
      </w:r>
      <w:r w:rsidRPr="00C67536">
        <w:rPr>
          <w:rFonts w:ascii="Arial" w:hAnsi="Arial" w:cs="Arial"/>
          <w:spacing w:val="-9"/>
          <w:sz w:val="26"/>
          <w:szCs w:val="26"/>
        </w:rPr>
        <w:t xml:space="preserve"> </w:t>
      </w:r>
      <w:r w:rsidRPr="00C67536">
        <w:rPr>
          <w:rFonts w:ascii="Arial" w:hAnsi="Arial" w:cs="Arial"/>
          <w:sz w:val="26"/>
          <w:szCs w:val="26"/>
        </w:rPr>
        <w:t>para</w:t>
      </w:r>
      <w:r w:rsidRPr="00C67536">
        <w:rPr>
          <w:rFonts w:ascii="Arial" w:hAnsi="Arial" w:cs="Arial"/>
          <w:spacing w:val="-11"/>
          <w:sz w:val="26"/>
          <w:szCs w:val="26"/>
        </w:rPr>
        <w:t xml:space="preserve"> </w:t>
      </w:r>
      <w:r w:rsidRPr="00C67536">
        <w:rPr>
          <w:rFonts w:ascii="Arial" w:hAnsi="Arial" w:cs="Arial"/>
          <w:sz w:val="26"/>
          <w:szCs w:val="26"/>
        </w:rPr>
        <w:t>una</w:t>
      </w:r>
      <w:r w:rsidRPr="00C67536">
        <w:rPr>
          <w:rFonts w:ascii="Arial" w:hAnsi="Arial" w:cs="Arial"/>
          <w:spacing w:val="-12"/>
          <w:sz w:val="26"/>
          <w:szCs w:val="26"/>
        </w:rPr>
        <w:t xml:space="preserve"> </w:t>
      </w:r>
      <w:r w:rsidRPr="00C67536">
        <w:rPr>
          <w:rFonts w:ascii="Arial" w:hAnsi="Arial" w:cs="Arial"/>
          <w:sz w:val="26"/>
          <w:szCs w:val="26"/>
        </w:rPr>
        <w:t>alimentación</w:t>
      </w:r>
      <w:r w:rsidRPr="00C67536">
        <w:rPr>
          <w:rFonts w:ascii="Arial" w:hAnsi="Arial" w:cs="Arial"/>
          <w:spacing w:val="-8"/>
          <w:sz w:val="26"/>
          <w:szCs w:val="26"/>
        </w:rPr>
        <w:t xml:space="preserve"> </w:t>
      </w:r>
      <w:r w:rsidRPr="00C67536">
        <w:rPr>
          <w:rFonts w:ascii="Arial" w:hAnsi="Arial" w:cs="Arial"/>
          <w:sz w:val="26"/>
          <w:szCs w:val="26"/>
        </w:rPr>
        <w:t>saludable,</w:t>
      </w:r>
      <w:r w:rsidRPr="00C67536">
        <w:rPr>
          <w:rFonts w:ascii="Arial" w:hAnsi="Arial" w:cs="Arial"/>
          <w:spacing w:val="-12"/>
          <w:sz w:val="26"/>
          <w:szCs w:val="26"/>
        </w:rPr>
        <w:t xml:space="preserve"> </w:t>
      </w:r>
      <w:r w:rsidRPr="00C67536">
        <w:rPr>
          <w:rFonts w:ascii="Arial" w:hAnsi="Arial" w:cs="Arial"/>
          <w:sz w:val="26"/>
          <w:szCs w:val="26"/>
        </w:rPr>
        <w:t>es</w:t>
      </w:r>
      <w:r w:rsidRPr="00C67536">
        <w:rPr>
          <w:rFonts w:ascii="Arial" w:hAnsi="Arial" w:cs="Arial"/>
          <w:spacing w:val="-9"/>
          <w:sz w:val="26"/>
          <w:szCs w:val="26"/>
        </w:rPr>
        <w:t xml:space="preserve"> </w:t>
      </w:r>
      <w:r w:rsidRPr="00C67536">
        <w:rPr>
          <w:rFonts w:ascii="Arial" w:hAnsi="Arial" w:cs="Arial"/>
          <w:sz w:val="26"/>
          <w:szCs w:val="26"/>
        </w:rPr>
        <w:t>la</w:t>
      </w:r>
      <w:r w:rsidRPr="00C67536">
        <w:rPr>
          <w:rFonts w:ascii="Arial" w:hAnsi="Arial" w:cs="Arial"/>
          <w:spacing w:val="-10"/>
          <w:sz w:val="26"/>
          <w:szCs w:val="26"/>
        </w:rPr>
        <w:t xml:space="preserve"> </w:t>
      </w:r>
      <w:r w:rsidRPr="00C67536">
        <w:rPr>
          <w:rFonts w:ascii="Arial" w:hAnsi="Arial" w:cs="Arial"/>
          <w:sz w:val="26"/>
          <w:szCs w:val="26"/>
        </w:rPr>
        <w:t>figura</w:t>
      </w:r>
      <w:r w:rsidRPr="00C67536">
        <w:rPr>
          <w:rFonts w:ascii="Arial" w:hAnsi="Arial" w:cs="Arial"/>
          <w:spacing w:val="-8"/>
          <w:sz w:val="26"/>
          <w:szCs w:val="26"/>
        </w:rPr>
        <w:t xml:space="preserve"> </w:t>
      </w:r>
      <w:r w:rsidRPr="00C67536">
        <w:rPr>
          <w:rFonts w:ascii="Arial" w:hAnsi="Arial" w:cs="Arial"/>
          <w:sz w:val="26"/>
          <w:szCs w:val="26"/>
        </w:rPr>
        <w:t>del</w:t>
      </w:r>
      <w:r w:rsidRPr="00C67536">
        <w:rPr>
          <w:rFonts w:ascii="Arial" w:hAnsi="Arial" w:cs="Arial"/>
          <w:spacing w:val="-10"/>
          <w:sz w:val="26"/>
          <w:szCs w:val="26"/>
        </w:rPr>
        <w:t xml:space="preserve"> </w:t>
      </w:r>
      <w:r w:rsidRPr="00C67536">
        <w:rPr>
          <w:rFonts w:ascii="Arial" w:hAnsi="Arial" w:cs="Arial"/>
          <w:sz w:val="26"/>
          <w:szCs w:val="26"/>
        </w:rPr>
        <w:t>octágono,</w:t>
      </w:r>
      <w:r w:rsidRPr="00C67536">
        <w:rPr>
          <w:rFonts w:ascii="Arial" w:hAnsi="Arial" w:cs="Arial"/>
          <w:spacing w:val="-10"/>
          <w:sz w:val="26"/>
          <w:szCs w:val="26"/>
        </w:rPr>
        <w:t xml:space="preserve"> </w:t>
      </w:r>
      <w:r w:rsidRPr="00C67536">
        <w:rPr>
          <w:rFonts w:ascii="Arial" w:hAnsi="Arial" w:cs="Arial"/>
          <w:sz w:val="26"/>
          <w:szCs w:val="26"/>
        </w:rPr>
        <w:t>mismo</w:t>
      </w:r>
      <w:r w:rsidRPr="00C67536">
        <w:rPr>
          <w:rFonts w:ascii="Arial" w:hAnsi="Arial" w:cs="Arial"/>
          <w:spacing w:val="-11"/>
          <w:sz w:val="26"/>
          <w:szCs w:val="26"/>
        </w:rPr>
        <w:t xml:space="preserve"> </w:t>
      </w:r>
      <w:r w:rsidRPr="00C67536">
        <w:rPr>
          <w:rFonts w:ascii="Arial" w:hAnsi="Arial" w:cs="Arial"/>
          <w:sz w:val="26"/>
          <w:szCs w:val="26"/>
        </w:rPr>
        <w:t>que</w:t>
      </w:r>
      <w:r w:rsidRPr="00C67536">
        <w:rPr>
          <w:rFonts w:ascii="Arial" w:hAnsi="Arial" w:cs="Arial"/>
          <w:spacing w:val="-12"/>
          <w:sz w:val="26"/>
          <w:szCs w:val="26"/>
        </w:rPr>
        <w:t xml:space="preserve"> </w:t>
      </w:r>
      <w:r w:rsidRPr="00C67536">
        <w:rPr>
          <w:rFonts w:ascii="Arial" w:hAnsi="Arial" w:cs="Arial"/>
          <w:sz w:val="26"/>
          <w:szCs w:val="26"/>
        </w:rPr>
        <w:t>se recomienda que sea en color negro y de tamaño considerable que sea fácilmente identificable en todas las presentaciones de productos alimenticios y bebidas no alcohólicas.</w:t>
      </w:r>
    </w:p>
    <w:p w14:paraId="232614EC"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En</w:t>
      </w:r>
      <w:r w:rsidRPr="00C67536">
        <w:rPr>
          <w:rFonts w:ascii="Arial" w:hAnsi="Arial" w:cs="Arial"/>
          <w:spacing w:val="-16"/>
          <w:sz w:val="26"/>
          <w:szCs w:val="26"/>
        </w:rPr>
        <w:t xml:space="preserve"> </w:t>
      </w:r>
      <w:r w:rsidRPr="00C67536">
        <w:rPr>
          <w:rFonts w:ascii="Arial" w:hAnsi="Arial" w:cs="Arial"/>
          <w:sz w:val="26"/>
          <w:szCs w:val="26"/>
        </w:rPr>
        <w:t>función</w:t>
      </w:r>
      <w:r w:rsidRPr="00C67536">
        <w:rPr>
          <w:rFonts w:ascii="Arial" w:hAnsi="Arial" w:cs="Arial"/>
          <w:spacing w:val="-18"/>
          <w:sz w:val="26"/>
          <w:szCs w:val="26"/>
        </w:rPr>
        <w:t xml:space="preserve"> </w:t>
      </w:r>
      <w:r w:rsidRPr="00C67536">
        <w:rPr>
          <w:rFonts w:ascii="Arial" w:hAnsi="Arial" w:cs="Arial"/>
          <w:sz w:val="26"/>
          <w:szCs w:val="26"/>
        </w:rPr>
        <w:t>de</w:t>
      </w:r>
      <w:r w:rsidRPr="00C67536">
        <w:rPr>
          <w:rFonts w:ascii="Arial" w:hAnsi="Arial" w:cs="Arial"/>
          <w:spacing w:val="-15"/>
          <w:sz w:val="26"/>
          <w:szCs w:val="26"/>
        </w:rPr>
        <w:t xml:space="preserve"> </w:t>
      </w:r>
      <w:r w:rsidRPr="00C67536">
        <w:rPr>
          <w:rFonts w:ascii="Arial" w:hAnsi="Arial" w:cs="Arial"/>
          <w:sz w:val="26"/>
          <w:szCs w:val="26"/>
        </w:rPr>
        <w:t>lo</w:t>
      </w:r>
      <w:r w:rsidRPr="00C67536">
        <w:rPr>
          <w:rFonts w:ascii="Arial" w:hAnsi="Arial" w:cs="Arial"/>
          <w:spacing w:val="-16"/>
          <w:sz w:val="26"/>
          <w:szCs w:val="26"/>
        </w:rPr>
        <w:t xml:space="preserve"> </w:t>
      </w:r>
      <w:r w:rsidRPr="00C67536">
        <w:rPr>
          <w:rFonts w:ascii="Arial" w:hAnsi="Arial" w:cs="Arial"/>
          <w:sz w:val="26"/>
          <w:szCs w:val="26"/>
        </w:rPr>
        <w:t>anterior</w:t>
      </w:r>
      <w:r w:rsidRPr="00C67536">
        <w:rPr>
          <w:rFonts w:ascii="Arial" w:hAnsi="Arial" w:cs="Arial"/>
          <w:spacing w:val="-17"/>
          <w:sz w:val="26"/>
          <w:szCs w:val="26"/>
        </w:rPr>
        <w:t xml:space="preserve"> </w:t>
      </w:r>
      <w:r w:rsidRPr="00C67536">
        <w:rPr>
          <w:rFonts w:ascii="Arial" w:hAnsi="Arial" w:cs="Arial"/>
          <w:sz w:val="26"/>
          <w:szCs w:val="26"/>
        </w:rPr>
        <w:t>y</w:t>
      </w:r>
      <w:r w:rsidRPr="00C67536">
        <w:rPr>
          <w:rFonts w:ascii="Arial" w:hAnsi="Arial" w:cs="Arial"/>
          <w:spacing w:val="-15"/>
          <w:sz w:val="26"/>
          <w:szCs w:val="26"/>
        </w:rPr>
        <w:t xml:space="preserve"> </w:t>
      </w:r>
      <w:r w:rsidRPr="00C67536">
        <w:rPr>
          <w:rFonts w:ascii="Arial" w:hAnsi="Arial" w:cs="Arial"/>
          <w:sz w:val="26"/>
          <w:szCs w:val="26"/>
        </w:rPr>
        <w:t>retomando</w:t>
      </w:r>
      <w:r w:rsidRPr="00C67536">
        <w:rPr>
          <w:rFonts w:ascii="Arial" w:hAnsi="Arial" w:cs="Arial"/>
          <w:spacing w:val="-16"/>
          <w:sz w:val="26"/>
          <w:szCs w:val="26"/>
        </w:rPr>
        <w:t xml:space="preserve"> </w:t>
      </w:r>
      <w:r w:rsidRPr="00C67536">
        <w:rPr>
          <w:rFonts w:ascii="Arial" w:hAnsi="Arial" w:cs="Arial"/>
          <w:sz w:val="26"/>
          <w:szCs w:val="26"/>
        </w:rPr>
        <w:t>el</w:t>
      </w:r>
      <w:r w:rsidRPr="00C67536">
        <w:rPr>
          <w:rFonts w:ascii="Arial" w:hAnsi="Arial" w:cs="Arial"/>
          <w:spacing w:val="-17"/>
          <w:sz w:val="26"/>
          <w:szCs w:val="26"/>
        </w:rPr>
        <w:t xml:space="preserve"> </w:t>
      </w:r>
      <w:r w:rsidRPr="00C67536">
        <w:rPr>
          <w:rFonts w:ascii="Arial" w:hAnsi="Arial" w:cs="Arial"/>
          <w:sz w:val="26"/>
          <w:szCs w:val="26"/>
        </w:rPr>
        <w:t>caso</w:t>
      </w:r>
      <w:r w:rsidRPr="00C67536">
        <w:rPr>
          <w:rFonts w:ascii="Arial" w:hAnsi="Arial" w:cs="Arial"/>
          <w:spacing w:val="-17"/>
          <w:sz w:val="26"/>
          <w:szCs w:val="26"/>
        </w:rPr>
        <w:t xml:space="preserve"> </w:t>
      </w:r>
      <w:r w:rsidRPr="00C67536">
        <w:rPr>
          <w:rFonts w:ascii="Arial" w:hAnsi="Arial" w:cs="Arial"/>
          <w:sz w:val="26"/>
          <w:szCs w:val="26"/>
        </w:rPr>
        <w:t>de</w:t>
      </w:r>
      <w:r w:rsidRPr="00C67536">
        <w:rPr>
          <w:rFonts w:ascii="Arial" w:hAnsi="Arial" w:cs="Arial"/>
          <w:spacing w:val="-16"/>
          <w:sz w:val="26"/>
          <w:szCs w:val="26"/>
        </w:rPr>
        <w:t xml:space="preserve"> </w:t>
      </w:r>
      <w:r w:rsidRPr="00C67536">
        <w:rPr>
          <w:rFonts w:ascii="Arial" w:hAnsi="Arial" w:cs="Arial"/>
          <w:sz w:val="26"/>
          <w:szCs w:val="26"/>
        </w:rPr>
        <w:t>Chile,</w:t>
      </w:r>
      <w:r w:rsidRPr="00C67536">
        <w:rPr>
          <w:rFonts w:ascii="Arial" w:hAnsi="Arial" w:cs="Arial"/>
          <w:spacing w:val="-16"/>
          <w:sz w:val="26"/>
          <w:szCs w:val="26"/>
        </w:rPr>
        <w:t xml:space="preserve"> </w:t>
      </w:r>
      <w:r w:rsidRPr="00C67536">
        <w:rPr>
          <w:rFonts w:ascii="Arial" w:hAnsi="Arial" w:cs="Arial"/>
          <w:sz w:val="26"/>
          <w:szCs w:val="26"/>
        </w:rPr>
        <w:t>es</w:t>
      </w:r>
      <w:r w:rsidRPr="00C67536">
        <w:rPr>
          <w:rFonts w:ascii="Arial" w:hAnsi="Arial" w:cs="Arial"/>
          <w:spacing w:val="-15"/>
          <w:sz w:val="26"/>
          <w:szCs w:val="26"/>
        </w:rPr>
        <w:t xml:space="preserve"> </w:t>
      </w:r>
      <w:r w:rsidRPr="00C67536">
        <w:rPr>
          <w:rFonts w:ascii="Arial" w:hAnsi="Arial" w:cs="Arial"/>
          <w:sz w:val="26"/>
          <w:szCs w:val="26"/>
        </w:rPr>
        <w:t>importante</w:t>
      </w:r>
      <w:r w:rsidRPr="00C67536">
        <w:rPr>
          <w:rFonts w:ascii="Arial" w:hAnsi="Arial" w:cs="Arial"/>
          <w:spacing w:val="-17"/>
          <w:sz w:val="26"/>
          <w:szCs w:val="26"/>
        </w:rPr>
        <w:t xml:space="preserve"> </w:t>
      </w:r>
      <w:r w:rsidRPr="00C67536">
        <w:rPr>
          <w:rFonts w:ascii="Arial" w:hAnsi="Arial" w:cs="Arial"/>
          <w:sz w:val="26"/>
          <w:szCs w:val="26"/>
        </w:rPr>
        <w:t>que</w:t>
      </w:r>
      <w:r w:rsidRPr="00C67536">
        <w:rPr>
          <w:rFonts w:ascii="Arial" w:hAnsi="Arial" w:cs="Arial"/>
          <w:spacing w:val="-16"/>
          <w:sz w:val="26"/>
          <w:szCs w:val="26"/>
        </w:rPr>
        <w:t xml:space="preserve"> </w:t>
      </w:r>
      <w:r w:rsidRPr="00C67536">
        <w:rPr>
          <w:rFonts w:ascii="Arial" w:hAnsi="Arial" w:cs="Arial"/>
          <w:sz w:val="26"/>
          <w:szCs w:val="26"/>
        </w:rPr>
        <w:t>tratándose de cualquier alimento o producto alimenticio que, en su composición nutricional contenga</w:t>
      </w:r>
      <w:r w:rsidRPr="00C67536">
        <w:rPr>
          <w:rFonts w:ascii="Arial" w:hAnsi="Arial" w:cs="Arial"/>
          <w:spacing w:val="-7"/>
          <w:sz w:val="26"/>
          <w:szCs w:val="26"/>
        </w:rPr>
        <w:t xml:space="preserve"> </w:t>
      </w:r>
      <w:r w:rsidRPr="00C67536">
        <w:rPr>
          <w:rFonts w:ascii="Arial" w:hAnsi="Arial" w:cs="Arial"/>
          <w:sz w:val="26"/>
          <w:szCs w:val="26"/>
        </w:rPr>
        <w:t>energía,</w:t>
      </w:r>
      <w:r w:rsidRPr="00C67536">
        <w:rPr>
          <w:rFonts w:ascii="Arial" w:hAnsi="Arial" w:cs="Arial"/>
          <w:spacing w:val="-8"/>
          <w:sz w:val="26"/>
          <w:szCs w:val="26"/>
        </w:rPr>
        <w:t xml:space="preserve"> </w:t>
      </w:r>
      <w:r w:rsidRPr="00C67536">
        <w:rPr>
          <w:rFonts w:ascii="Arial" w:hAnsi="Arial" w:cs="Arial"/>
          <w:sz w:val="26"/>
          <w:szCs w:val="26"/>
        </w:rPr>
        <w:t>sodio,</w:t>
      </w:r>
      <w:r w:rsidRPr="00C67536">
        <w:rPr>
          <w:rFonts w:ascii="Arial" w:hAnsi="Arial" w:cs="Arial"/>
          <w:spacing w:val="-5"/>
          <w:sz w:val="26"/>
          <w:szCs w:val="26"/>
        </w:rPr>
        <w:t xml:space="preserve"> </w:t>
      </w:r>
      <w:r w:rsidRPr="00C67536">
        <w:rPr>
          <w:rFonts w:ascii="Arial" w:hAnsi="Arial" w:cs="Arial"/>
          <w:sz w:val="26"/>
          <w:szCs w:val="26"/>
        </w:rPr>
        <w:t>azúcares</w:t>
      </w:r>
      <w:r w:rsidRPr="00C67536">
        <w:rPr>
          <w:rFonts w:ascii="Arial" w:hAnsi="Arial" w:cs="Arial"/>
          <w:spacing w:val="-8"/>
          <w:sz w:val="26"/>
          <w:szCs w:val="26"/>
        </w:rPr>
        <w:t xml:space="preserve"> </w:t>
      </w:r>
      <w:r w:rsidRPr="00C67536">
        <w:rPr>
          <w:rFonts w:ascii="Arial" w:hAnsi="Arial" w:cs="Arial"/>
          <w:sz w:val="26"/>
          <w:szCs w:val="26"/>
        </w:rPr>
        <w:t>o</w:t>
      </w:r>
      <w:r w:rsidRPr="00C67536">
        <w:rPr>
          <w:rFonts w:ascii="Arial" w:hAnsi="Arial" w:cs="Arial"/>
          <w:spacing w:val="-7"/>
          <w:sz w:val="26"/>
          <w:szCs w:val="26"/>
        </w:rPr>
        <w:t xml:space="preserve"> </w:t>
      </w:r>
      <w:r w:rsidRPr="00C67536">
        <w:rPr>
          <w:rFonts w:ascii="Arial" w:hAnsi="Arial" w:cs="Arial"/>
          <w:sz w:val="26"/>
          <w:szCs w:val="26"/>
        </w:rPr>
        <w:t>grasa</w:t>
      </w:r>
      <w:r w:rsidRPr="00C67536">
        <w:rPr>
          <w:rFonts w:ascii="Arial" w:hAnsi="Arial" w:cs="Arial"/>
          <w:spacing w:val="-5"/>
          <w:sz w:val="26"/>
          <w:szCs w:val="26"/>
        </w:rPr>
        <w:t xml:space="preserve"> </w:t>
      </w:r>
      <w:r w:rsidRPr="00C67536">
        <w:rPr>
          <w:rFonts w:ascii="Arial" w:hAnsi="Arial" w:cs="Arial"/>
          <w:sz w:val="26"/>
          <w:szCs w:val="26"/>
        </w:rPr>
        <w:t>saturada</w:t>
      </w:r>
      <w:r w:rsidRPr="00C67536">
        <w:rPr>
          <w:rFonts w:ascii="Arial" w:hAnsi="Arial" w:cs="Arial"/>
          <w:spacing w:val="-7"/>
          <w:sz w:val="26"/>
          <w:szCs w:val="26"/>
        </w:rPr>
        <w:t xml:space="preserve"> </w:t>
      </w:r>
      <w:r w:rsidRPr="00C67536">
        <w:rPr>
          <w:rFonts w:ascii="Arial" w:hAnsi="Arial" w:cs="Arial"/>
          <w:sz w:val="26"/>
          <w:szCs w:val="26"/>
        </w:rPr>
        <w:t>en</w:t>
      </w:r>
      <w:r w:rsidRPr="00C67536">
        <w:rPr>
          <w:rFonts w:ascii="Arial" w:hAnsi="Arial" w:cs="Arial"/>
          <w:spacing w:val="-5"/>
          <w:sz w:val="26"/>
          <w:szCs w:val="26"/>
        </w:rPr>
        <w:t xml:space="preserve"> </w:t>
      </w:r>
      <w:r w:rsidRPr="00C67536">
        <w:rPr>
          <w:rFonts w:ascii="Arial" w:hAnsi="Arial" w:cs="Arial"/>
          <w:sz w:val="26"/>
          <w:szCs w:val="26"/>
        </w:rPr>
        <w:t>cantidades</w:t>
      </w:r>
      <w:r w:rsidRPr="00C67536">
        <w:rPr>
          <w:rFonts w:ascii="Arial" w:hAnsi="Arial" w:cs="Arial"/>
          <w:spacing w:val="-5"/>
          <w:sz w:val="26"/>
          <w:szCs w:val="26"/>
        </w:rPr>
        <w:t xml:space="preserve"> </w:t>
      </w:r>
      <w:r w:rsidRPr="00C67536">
        <w:rPr>
          <w:rFonts w:ascii="Arial" w:hAnsi="Arial" w:cs="Arial"/>
          <w:sz w:val="26"/>
          <w:szCs w:val="26"/>
        </w:rPr>
        <w:t>superiores</w:t>
      </w:r>
      <w:r w:rsidRPr="00C67536">
        <w:rPr>
          <w:rFonts w:ascii="Arial" w:hAnsi="Arial" w:cs="Arial"/>
          <w:spacing w:val="-8"/>
          <w:sz w:val="26"/>
          <w:szCs w:val="26"/>
        </w:rPr>
        <w:t xml:space="preserve"> </w:t>
      </w:r>
      <w:r w:rsidRPr="00C67536">
        <w:rPr>
          <w:rFonts w:ascii="Arial" w:hAnsi="Arial" w:cs="Arial"/>
          <w:sz w:val="26"/>
          <w:szCs w:val="26"/>
        </w:rPr>
        <w:t>a</w:t>
      </w:r>
      <w:r w:rsidRPr="00C67536">
        <w:rPr>
          <w:rFonts w:ascii="Arial" w:hAnsi="Arial" w:cs="Arial"/>
          <w:spacing w:val="-5"/>
          <w:sz w:val="26"/>
          <w:szCs w:val="26"/>
        </w:rPr>
        <w:t xml:space="preserve"> </w:t>
      </w:r>
      <w:r w:rsidRPr="00C67536">
        <w:rPr>
          <w:rFonts w:ascii="Arial" w:hAnsi="Arial" w:cs="Arial"/>
          <w:sz w:val="26"/>
          <w:szCs w:val="26"/>
        </w:rPr>
        <w:t>las establecidas, o se le haya adicionado sodio, azúcares o grasas saturadas, y su contenido</w:t>
      </w:r>
      <w:r w:rsidRPr="00C67536">
        <w:rPr>
          <w:rFonts w:ascii="Arial" w:hAnsi="Arial" w:cs="Arial"/>
          <w:spacing w:val="-6"/>
          <w:sz w:val="26"/>
          <w:szCs w:val="26"/>
        </w:rPr>
        <w:t xml:space="preserve"> </w:t>
      </w:r>
      <w:r w:rsidRPr="00C67536">
        <w:rPr>
          <w:rFonts w:ascii="Arial" w:hAnsi="Arial" w:cs="Arial"/>
          <w:sz w:val="26"/>
          <w:szCs w:val="26"/>
        </w:rPr>
        <w:t>supere</w:t>
      </w:r>
      <w:r w:rsidRPr="00C67536">
        <w:rPr>
          <w:rFonts w:ascii="Arial" w:hAnsi="Arial" w:cs="Arial"/>
          <w:spacing w:val="-6"/>
          <w:sz w:val="26"/>
          <w:szCs w:val="26"/>
        </w:rPr>
        <w:t xml:space="preserve"> </w:t>
      </w:r>
      <w:r w:rsidRPr="00C67536">
        <w:rPr>
          <w:rFonts w:ascii="Arial" w:hAnsi="Arial" w:cs="Arial"/>
          <w:sz w:val="26"/>
          <w:szCs w:val="26"/>
        </w:rPr>
        <w:t>el</w:t>
      </w:r>
      <w:r w:rsidRPr="00C67536">
        <w:rPr>
          <w:rFonts w:ascii="Arial" w:hAnsi="Arial" w:cs="Arial"/>
          <w:spacing w:val="-6"/>
          <w:sz w:val="26"/>
          <w:szCs w:val="26"/>
        </w:rPr>
        <w:t xml:space="preserve"> </w:t>
      </w:r>
      <w:r w:rsidRPr="00C67536">
        <w:rPr>
          <w:rFonts w:ascii="Arial" w:hAnsi="Arial" w:cs="Arial"/>
          <w:sz w:val="26"/>
          <w:szCs w:val="26"/>
        </w:rPr>
        <w:t>valor</w:t>
      </w:r>
      <w:r w:rsidRPr="00C67536">
        <w:rPr>
          <w:rFonts w:ascii="Arial" w:hAnsi="Arial" w:cs="Arial"/>
          <w:spacing w:val="-7"/>
          <w:sz w:val="26"/>
          <w:szCs w:val="26"/>
        </w:rPr>
        <w:t xml:space="preserve"> </w:t>
      </w:r>
      <w:r w:rsidRPr="00C67536">
        <w:rPr>
          <w:rFonts w:ascii="Arial" w:hAnsi="Arial" w:cs="Arial"/>
          <w:sz w:val="26"/>
          <w:szCs w:val="26"/>
        </w:rPr>
        <w:t>establecido</w:t>
      </w:r>
      <w:r w:rsidRPr="00C67536">
        <w:rPr>
          <w:rFonts w:ascii="Arial" w:hAnsi="Arial" w:cs="Arial"/>
          <w:spacing w:val="-7"/>
          <w:sz w:val="26"/>
          <w:szCs w:val="26"/>
        </w:rPr>
        <w:t xml:space="preserve"> </w:t>
      </w:r>
      <w:r w:rsidRPr="00C67536">
        <w:rPr>
          <w:rFonts w:ascii="Arial" w:hAnsi="Arial" w:cs="Arial"/>
          <w:sz w:val="26"/>
          <w:szCs w:val="26"/>
        </w:rPr>
        <w:t>por</w:t>
      </w:r>
      <w:r w:rsidRPr="00C67536">
        <w:rPr>
          <w:rFonts w:ascii="Arial" w:hAnsi="Arial" w:cs="Arial"/>
          <w:spacing w:val="-6"/>
          <w:sz w:val="26"/>
          <w:szCs w:val="26"/>
        </w:rPr>
        <w:t xml:space="preserve"> </w:t>
      </w:r>
      <w:r w:rsidRPr="00C67536">
        <w:rPr>
          <w:rFonts w:ascii="Arial" w:hAnsi="Arial" w:cs="Arial"/>
          <w:sz w:val="26"/>
          <w:szCs w:val="26"/>
        </w:rPr>
        <w:t>la</w:t>
      </w:r>
      <w:r w:rsidRPr="00C67536">
        <w:rPr>
          <w:rFonts w:ascii="Arial" w:hAnsi="Arial" w:cs="Arial"/>
          <w:spacing w:val="-9"/>
          <w:sz w:val="26"/>
          <w:szCs w:val="26"/>
        </w:rPr>
        <w:t xml:space="preserve"> </w:t>
      </w:r>
      <w:r w:rsidRPr="00C67536">
        <w:rPr>
          <w:rFonts w:ascii="Arial" w:hAnsi="Arial" w:cs="Arial"/>
          <w:sz w:val="26"/>
          <w:szCs w:val="26"/>
        </w:rPr>
        <w:t>Secretaría</w:t>
      </w:r>
      <w:r w:rsidRPr="00C67536">
        <w:rPr>
          <w:rFonts w:ascii="Arial" w:hAnsi="Arial" w:cs="Arial"/>
          <w:spacing w:val="-7"/>
          <w:sz w:val="26"/>
          <w:szCs w:val="26"/>
        </w:rPr>
        <w:t xml:space="preserve"> </w:t>
      </w:r>
      <w:r w:rsidRPr="00C67536">
        <w:rPr>
          <w:rFonts w:ascii="Arial" w:hAnsi="Arial" w:cs="Arial"/>
          <w:sz w:val="26"/>
          <w:szCs w:val="26"/>
        </w:rPr>
        <w:t>de</w:t>
      </w:r>
      <w:r w:rsidRPr="00C67536">
        <w:rPr>
          <w:rFonts w:ascii="Arial" w:hAnsi="Arial" w:cs="Arial"/>
          <w:spacing w:val="-7"/>
          <w:sz w:val="26"/>
          <w:szCs w:val="26"/>
        </w:rPr>
        <w:t xml:space="preserve"> </w:t>
      </w:r>
      <w:r w:rsidRPr="00C67536">
        <w:rPr>
          <w:rFonts w:ascii="Arial" w:hAnsi="Arial" w:cs="Arial"/>
          <w:sz w:val="26"/>
          <w:szCs w:val="26"/>
        </w:rPr>
        <w:t>Salud,</w:t>
      </w:r>
      <w:r w:rsidRPr="00C67536">
        <w:rPr>
          <w:rFonts w:ascii="Arial" w:hAnsi="Arial" w:cs="Arial"/>
          <w:spacing w:val="-6"/>
          <w:sz w:val="26"/>
          <w:szCs w:val="26"/>
        </w:rPr>
        <w:t xml:space="preserve"> </w:t>
      </w:r>
      <w:r w:rsidRPr="00C67536">
        <w:rPr>
          <w:rFonts w:ascii="Arial" w:hAnsi="Arial" w:cs="Arial"/>
          <w:sz w:val="26"/>
          <w:szCs w:val="26"/>
        </w:rPr>
        <w:t>deberá</w:t>
      </w:r>
      <w:r w:rsidRPr="00C67536">
        <w:rPr>
          <w:rFonts w:ascii="Arial" w:hAnsi="Arial" w:cs="Arial"/>
          <w:spacing w:val="-6"/>
          <w:sz w:val="26"/>
          <w:szCs w:val="26"/>
        </w:rPr>
        <w:t xml:space="preserve"> </w:t>
      </w:r>
      <w:r w:rsidRPr="00C67536">
        <w:rPr>
          <w:rFonts w:ascii="Arial" w:hAnsi="Arial" w:cs="Arial"/>
          <w:sz w:val="26"/>
          <w:szCs w:val="26"/>
        </w:rPr>
        <w:t>rotular</w:t>
      </w:r>
      <w:r w:rsidRPr="00C67536">
        <w:rPr>
          <w:rFonts w:ascii="Arial" w:hAnsi="Arial" w:cs="Arial"/>
          <w:spacing w:val="-6"/>
          <w:sz w:val="26"/>
          <w:szCs w:val="26"/>
        </w:rPr>
        <w:t xml:space="preserve"> </w:t>
      </w:r>
      <w:r w:rsidRPr="00C67536">
        <w:rPr>
          <w:rFonts w:ascii="Arial" w:hAnsi="Arial" w:cs="Arial"/>
          <w:sz w:val="26"/>
          <w:szCs w:val="26"/>
        </w:rPr>
        <w:t>la</w:t>
      </w:r>
      <w:r w:rsidRPr="00C67536">
        <w:rPr>
          <w:rFonts w:ascii="Arial" w:hAnsi="Arial" w:cs="Arial"/>
          <w:spacing w:val="-6"/>
          <w:sz w:val="26"/>
          <w:szCs w:val="26"/>
        </w:rPr>
        <w:t xml:space="preserve"> </w:t>
      </w:r>
      <w:r w:rsidRPr="00C67536">
        <w:rPr>
          <w:rFonts w:ascii="Arial" w:hAnsi="Arial" w:cs="Arial"/>
          <w:sz w:val="26"/>
          <w:szCs w:val="26"/>
        </w:rPr>
        <w:t>o las características nutricionales en las que supera el valor</w:t>
      </w:r>
      <w:r w:rsidRPr="00C67536">
        <w:rPr>
          <w:rFonts w:ascii="Arial" w:hAnsi="Arial" w:cs="Arial"/>
          <w:spacing w:val="-10"/>
          <w:sz w:val="26"/>
          <w:szCs w:val="26"/>
        </w:rPr>
        <w:t xml:space="preserve"> </w:t>
      </w:r>
      <w:r w:rsidRPr="00C67536">
        <w:rPr>
          <w:rFonts w:ascii="Arial" w:hAnsi="Arial" w:cs="Arial"/>
          <w:sz w:val="26"/>
          <w:szCs w:val="26"/>
        </w:rPr>
        <w:t>establecido.</w:t>
      </w:r>
    </w:p>
    <w:p w14:paraId="06FD6EFD" w14:textId="77777777" w:rsidR="00D03349" w:rsidRPr="00C67536" w:rsidRDefault="00D03349" w:rsidP="00D03349">
      <w:pPr>
        <w:pStyle w:val="BodyText"/>
        <w:ind w:left="567" w:right="567"/>
        <w:jc w:val="both"/>
        <w:rPr>
          <w:rFonts w:ascii="Arial" w:hAnsi="Arial" w:cs="Arial"/>
          <w:sz w:val="26"/>
          <w:szCs w:val="26"/>
        </w:rPr>
      </w:pPr>
      <w:r w:rsidRPr="00C67536">
        <w:rPr>
          <w:rFonts w:ascii="Arial" w:hAnsi="Arial" w:cs="Arial"/>
          <w:sz w:val="26"/>
          <w:szCs w:val="26"/>
        </w:rPr>
        <w:t>La forma de destacar las características nutricionales indicadas en el párrafo anterior de este artículo será rotulando un símbolo octagonal de fondo color negro y borde blanco, y en su interior el texto “alto en”, seguido de: “grasas saturadas”, “sodio”, “azúcares” o “calorías”, en uno o más símbolos independientes, según corresponda. Las letras del texto deberán ser mayúsculas y de color blanco. Además, en el mismo símbolo, deberá inscribirse en letras blancas, la frase “Secretaría de Salud”</w:t>
      </w:r>
    </w:p>
    <w:p w14:paraId="43979DCD" w14:textId="39C3D88A" w:rsidR="00D03349" w:rsidRPr="00C67536" w:rsidRDefault="00D03349" w:rsidP="00D03349">
      <w:pPr>
        <w:pStyle w:val="BodyText"/>
        <w:spacing w:before="1"/>
        <w:ind w:left="567" w:right="567"/>
        <w:jc w:val="both"/>
        <w:rPr>
          <w:rFonts w:ascii="Arial" w:hAnsi="Arial" w:cs="Arial"/>
          <w:sz w:val="26"/>
          <w:szCs w:val="26"/>
        </w:rPr>
      </w:pPr>
      <w:r w:rsidRPr="00C67536">
        <w:rPr>
          <w:rFonts w:ascii="Arial" w:hAnsi="Arial" w:cs="Arial"/>
          <w:sz w:val="26"/>
          <w:szCs w:val="26"/>
        </w:rPr>
        <w:t>En función de lo anterior, cualquier producto alimenticio o bebida no alcohólica que requiera rotular su etiqueta, no podrá realizar publicidad dirigida a menores de 14 años,</w:t>
      </w:r>
      <w:r w:rsidRPr="00C67536">
        <w:rPr>
          <w:rFonts w:ascii="Arial" w:hAnsi="Arial" w:cs="Arial"/>
          <w:spacing w:val="-16"/>
          <w:sz w:val="26"/>
          <w:szCs w:val="26"/>
        </w:rPr>
        <w:t xml:space="preserve"> </w:t>
      </w:r>
      <w:r w:rsidRPr="00C67536">
        <w:rPr>
          <w:rFonts w:ascii="Arial" w:hAnsi="Arial" w:cs="Arial"/>
          <w:sz w:val="26"/>
          <w:szCs w:val="26"/>
        </w:rPr>
        <w:t>cualquiera</w:t>
      </w:r>
      <w:r w:rsidRPr="00C67536">
        <w:rPr>
          <w:rFonts w:ascii="Arial" w:hAnsi="Arial" w:cs="Arial"/>
          <w:spacing w:val="-16"/>
          <w:sz w:val="26"/>
          <w:szCs w:val="26"/>
        </w:rPr>
        <w:t xml:space="preserve"> </w:t>
      </w:r>
      <w:r w:rsidRPr="00C67536">
        <w:rPr>
          <w:rFonts w:ascii="Arial" w:hAnsi="Arial" w:cs="Arial"/>
          <w:sz w:val="26"/>
          <w:szCs w:val="26"/>
        </w:rPr>
        <w:t>que</w:t>
      </w:r>
      <w:r w:rsidRPr="00C67536">
        <w:rPr>
          <w:rFonts w:ascii="Arial" w:hAnsi="Arial" w:cs="Arial"/>
          <w:spacing w:val="-13"/>
          <w:sz w:val="26"/>
          <w:szCs w:val="26"/>
        </w:rPr>
        <w:t xml:space="preserve"> </w:t>
      </w:r>
      <w:r w:rsidRPr="00C67536">
        <w:rPr>
          <w:rFonts w:ascii="Arial" w:hAnsi="Arial" w:cs="Arial"/>
          <w:sz w:val="26"/>
          <w:szCs w:val="26"/>
        </w:rPr>
        <w:t>sea</w:t>
      </w:r>
      <w:r w:rsidRPr="00C67536">
        <w:rPr>
          <w:rFonts w:ascii="Arial" w:hAnsi="Arial" w:cs="Arial"/>
          <w:spacing w:val="-13"/>
          <w:sz w:val="26"/>
          <w:szCs w:val="26"/>
        </w:rPr>
        <w:t xml:space="preserve"> </w:t>
      </w:r>
      <w:r w:rsidRPr="00C67536">
        <w:rPr>
          <w:rFonts w:ascii="Arial" w:hAnsi="Arial" w:cs="Arial"/>
          <w:sz w:val="26"/>
          <w:szCs w:val="26"/>
        </w:rPr>
        <w:t>la</w:t>
      </w:r>
      <w:r w:rsidRPr="00C67536">
        <w:rPr>
          <w:rFonts w:ascii="Arial" w:hAnsi="Arial" w:cs="Arial"/>
          <w:spacing w:val="-15"/>
          <w:sz w:val="26"/>
          <w:szCs w:val="26"/>
        </w:rPr>
        <w:t xml:space="preserve"> </w:t>
      </w:r>
      <w:r w:rsidRPr="00C67536">
        <w:rPr>
          <w:rFonts w:ascii="Arial" w:hAnsi="Arial" w:cs="Arial"/>
          <w:sz w:val="26"/>
          <w:szCs w:val="26"/>
        </w:rPr>
        <w:t>forma</w:t>
      </w:r>
      <w:r w:rsidRPr="00C67536">
        <w:rPr>
          <w:rFonts w:ascii="Arial" w:hAnsi="Arial" w:cs="Arial"/>
          <w:spacing w:val="-13"/>
          <w:sz w:val="26"/>
          <w:szCs w:val="26"/>
        </w:rPr>
        <w:t xml:space="preserve"> </w:t>
      </w:r>
      <w:r w:rsidRPr="00C67536">
        <w:rPr>
          <w:rFonts w:ascii="Arial" w:hAnsi="Arial" w:cs="Arial"/>
          <w:sz w:val="26"/>
          <w:szCs w:val="26"/>
        </w:rPr>
        <w:t>y</w:t>
      </w:r>
      <w:r w:rsidRPr="00C67536">
        <w:rPr>
          <w:rFonts w:ascii="Arial" w:hAnsi="Arial" w:cs="Arial"/>
          <w:spacing w:val="-16"/>
          <w:sz w:val="26"/>
          <w:szCs w:val="26"/>
        </w:rPr>
        <w:t xml:space="preserve"> </w:t>
      </w:r>
      <w:r w:rsidRPr="00C67536">
        <w:rPr>
          <w:rFonts w:ascii="Arial" w:hAnsi="Arial" w:cs="Arial"/>
          <w:sz w:val="26"/>
          <w:szCs w:val="26"/>
        </w:rPr>
        <w:t>el</w:t>
      </w:r>
      <w:r w:rsidRPr="00C67536">
        <w:rPr>
          <w:rFonts w:ascii="Arial" w:hAnsi="Arial" w:cs="Arial"/>
          <w:spacing w:val="-14"/>
          <w:sz w:val="26"/>
          <w:szCs w:val="26"/>
        </w:rPr>
        <w:t xml:space="preserve"> </w:t>
      </w:r>
      <w:r w:rsidRPr="00C67536">
        <w:rPr>
          <w:rFonts w:ascii="Arial" w:hAnsi="Arial" w:cs="Arial"/>
          <w:sz w:val="26"/>
          <w:szCs w:val="26"/>
        </w:rPr>
        <w:t>lugar</w:t>
      </w:r>
      <w:r w:rsidRPr="00C67536">
        <w:rPr>
          <w:rFonts w:ascii="Arial" w:hAnsi="Arial" w:cs="Arial"/>
          <w:spacing w:val="-14"/>
          <w:sz w:val="26"/>
          <w:szCs w:val="26"/>
        </w:rPr>
        <w:t xml:space="preserve"> </w:t>
      </w:r>
      <w:r w:rsidRPr="00C67536">
        <w:rPr>
          <w:rFonts w:ascii="Arial" w:hAnsi="Arial" w:cs="Arial"/>
          <w:sz w:val="26"/>
          <w:szCs w:val="26"/>
        </w:rPr>
        <w:t>donde</w:t>
      </w:r>
      <w:r w:rsidRPr="00C67536">
        <w:rPr>
          <w:rFonts w:ascii="Arial" w:hAnsi="Arial" w:cs="Arial"/>
          <w:spacing w:val="-13"/>
          <w:sz w:val="26"/>
          <w:szCs w:val="26"/>
        </w:rPr>
        <w:t xml:space="preserve"> </w:t>
      </w:r>
      <w:r w:rsidRPr="00C67536">
        <w:rPr>
          <w:rFonts w:ascii="Arial" w:hAnsi="Arial" w:cs="Arial"/>
          <w:sz w:val="26"/>
          <w:szCs w:val="26"/>
        </w:rPr>
        <w:t>ésta</w:t>
      </w:r>
      <w:r w:rsidRPr="00C67536">
        <w:rPr>
          <w:rFonts w:ascii="Arial" w:hAnsi="Arial" w:cs="Arial"/>
          <w:spacing w:val="-13"/>
          <w:sz w:val="26"/>
          <w:szCs w:val="26"/>
        </w:rPr>
        <w:t xml:space="preserve"> </w:t>
      </w:r>
      <w:r w:rsidRPr="00C67536">
        <w:rPr>
          <w:rFonts w:ascii="Arial" w:hAnsi="Arial" w:cs="Arial"/>
          <w:sz w:val="26"/>
          <w:szCs w:val="26"/>
        </w:rPr>
        <w:t>se</w:t>
      </w:r>
      <w:r w:rsidRPr="00C67536">
        <w:rPr>
          <w:rFonts w:ascii="Arial" w:hAnsi="Arial" w:cs="Arial"/>
          <w:spacing w:val="-15"/>
          <w:sz w:val="26"/>
          <w:szCs w:val="26"/>
        </w:rPr>
        <w:t xml:space="preserve"> </w:t>
      </w:r>
      <w:r w:rsidRPr="00C67536">
        <w:rPr>
          <w:rFonts w:ascii="Arial" w:hAnsi="Arial" w:cs="Arial"/>
          <w:sz w:val="26"/>
          <w:szCs w:val="26"/>
        </w:rPr>
        <w:t>realice.</w:t>
      </w:r>
      <w:r w:rsidRPr="00C67536">
        <w:rPr>
          <w:rFonts w:ascii="Arial" w:hAnsi="Arial" w:cs="Arial"/>
          <w:spacing w:val="-15"/>
          <w:sz w:val="26"/>
          <w:szCs w:val="26"/>
        </w:rPr>
        <w:t xml:space="preserve"> </w:t>
      </w:r>
      <w:r w:rsidRPr="00C67536">
        <w:rPr>
          <w:rFonts w:ascii="Arial" w:hAnsi="Arial" w:cs="Arial"/>
          <w:sz w:val="26"/>
          <w:szCs w:val="26"/>
        </w:rPr>
        <w:t>Lo</w:t>
      </w:r>
      <w:r w:rsidRPr="00C67536">
        <w:rPr>
          <w:rFonts w:ascii="Arial" w:hAnsi="Arial" w:cs="Arial"/>
          <w:spacing w:val="-13"/>
          <w:sz w:val="26"/>
          <w:szCs w:val="26"/>
        </w:rPr>
        <w:t xml:space="preserve"> </w:t>
      </w:r>
      <w:r w:rsidRPr="00C67536">
        <w:rPr>
          <w:rFonts w:ascii="Arial" w:hAnsi="Arial" w:cs="Arial"/>
          <w:sz w:val="26"/>
          <w:szCs w:val="26"/>
        </w:rPr>
        <w:t>anterior</w:t>
      </w:r>
      <w:r w:rsidRPr="00C67536">
        <w:rPr>
          <w:rFonts w:ascii="Arial" w:hAnsi="Arial" w:cs="Arial"/>
          <w:spacing w:val="-15"/>
          <w:sz w:val="26"/>
          <w:szCs w:val="26"/>
        </w:rPr>
        <w:t xml:space="preserve"> </w:t>
      </w:r>
      <w:r w:rsidRPr="00C67536">
        <w:rPr>
          <w:rFonts w:ascii="Arial" w:hAnsi="Arial" w:cs="Arial"/>
          <w:sz w:val="26"/>
          <w:szCs w:val="26"/>
        </w:rPr>
        <w:t xml:space="preserve">abona al cumplimiento del </w:t>
      </w:r>
      <w:r w:rsidR="00BF5CD2">
        <w:rPr>
          <w:rFonts w:ascii="Arial" w:hAnsi="Arial" w:cs="Arial"/>
          <w:sz w:val="26"/>
          <w:szCs w:val="26"/>
        </w:rPr>
        <w:t>a</w:t>
      </w:r>
      <w:r w:rsidRPr="00C67536">
        <w:rPr>
          <w:rFonts w:ascii="Arial" w:hAnsi="Arial" w:cs="Arial"/>
          <w:sz w:val="26"/>
          <w:szCs w:val="26"/>
        </w:rPr>
        <w:t xml:space="preserve">rtículo 4to. </w:t>
      </w:r>
      <w:r w:rsidR="00BF5CD2">
        <w:rPr>
          <w:rFonts w:ascii="Arial" w:hAnsi="Arial" w:cs="Arial"/>
          <w:sz w:val="26"/>
          <w:szCs w:val="26"/>
        </w:rPr>
        <w:t>c</w:t>
      </w:r>
      <w:r w:rsidRPr="00C67536">
        <w:rPr>
          <w:rFonts w:ascii="Arial" w:hAnsi="Arial" w:cs="Arial"/>
          <w:sz w:val="26"/>
          <w:szCs w:val="26"/>
        </w:rPr>
        <w:t>onstitucional: En todas las decisiones y actuaciones del Estado se velará y cumplirá con el principio del interés superior de la niñez, garantizando de manera plena sus</w:t>
      </w:r>
      <w:r w:rsidRPr="00C67536">
        <w:rPr>
          <w:rFonts w:ascii="Arial" w:hAnsi="Arial" w:cs="Arial"/>
          <w:spacing w:val="-11"/>
          <w:sz w:val="26"/>
          <w:szCs w:val="26"/>
        </w:rPr>
        <w:t xml:space="preserve"> </w:t>
      </w:r>
      <w:r w:rsidRPr="00C67536">
        <w:rPr>
          <w:rFonts w:ascii="Arial" w:hAnsi="Arial" w:cs="Arial"/>
          <w:sz w:val="26"/>
          <w:szCs w:val="26"/>
        </w:rPr>
        <w:t>derechos.</w:t>
      </w:r>
    </w:p>
    <w:p w14:paraId="2A8D9CA9" w14:textId="77777777" w:rsidR="00D03349" w:rsidRPr="00C67536" w:rsidRDefault="00D03349" w:rsidP="00D03349">
      <w:pPr>
        <w:pStyle w:val="ListParagraph"/>
        <w:ind w:left="567" w:right="567"/>
        <w:jc w:val="both"/>
        <w:rPr>
          <w:rFonts w:ascii="Arial" w:hAnsi="Arial" w:cs="Arial"/>
          <w:sz w:val="26"/>
          <w:szCs w:val="26"/>
        </w:rPr>
      </w:pPr>
      <w:r w:rsidRPr="00C67536">
        <w:rPr>
          <w:rFonts w:ascii="Arial" w:hAnsi="Arial" w:cs="Arial"/>
          <w:sz w:val="26"/>
          <w:szCs w:val="26"/>
        </w:rPr>
        <w:t>…”</w:t>
      </w:r>
    </w:p>
    <w:p w14:paraId="452FF6D3" w14:textId="77777777" w:rsidR="00D03349" w:rsidRPr="00C67536" w:rsidRDefault="00D03349" w:rsidP="00D03349">
      <w:pPr>
        <w:pStyle w:val="corte4fondo"/>
        <w:ind w:firstLine="0"/>
        <w:rPr>
          <w:rFonts w:eastAsiaTheme="minorHAnsi" w:cs="Arial"/>
          <w:bCs/>
          <w:sz w:val="28"/>
          <w:szCs w:val="28"/>
          <w:lang w:eastAsia="en-US"/>
        </w:rPr>
      </w:pPr>
    </w:p>
    <w:p w14:paraId="4159C61E" w14:textId="77777777" w:rsidR="00D03349"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Cs/>
          <w:sz w:val="28"/>
          <w:szCs w:val="28"/>
        </w:rPr>
        <w:t xml:space="preserve">Del citado documento, se aprecia que los motivos del legislador para establecer el actual sistema de etiquetado frontal, fueron que </w:t>
      </w:r>
      <w:r w:rsidRPr="00C67536">
        <w:rPr>
          <w:rFonts w:cs="Arial"/>
          <w:sz w:val="28"/>
          <w:szCs w:val="28"/>
        </w:rPr>
        <w:t>tres de cada cuatro mexicanos mayores de dieciocho años que viven en zonas de bajos ingresos sufren de diabetes, hipertensión, sobrepeso, obesidad y otras enfermedades crónicas, de acuerdo a un reciente estudio realizado por científicos del Instituto Nacional de Salud Pública</w:t>
      </w:r>
      <w:r w:rsidRPr="00C67536">
        <w:rPr>
          <w:rFonts w:cs="Arial"/>
          <w:spacing w:val="-14"/>
          <w:sz w:val="28"/>
          <w:szCs w:val="28"/>
        </w:rPr>
        <w:t xml:space="preserve"> </w:t>
      </w:r>
      <w:r w:rsidRPr="00C67536">
        <w:rPr>
          <w:rFonts w:cs="Arial"/>
          <w:sz w:val="28"/>
          <w:szCs w:val="28"/>
        </w:rPr>
        <w:t>mexicano, por lo que dichas enfermedades crónicas podrían ser consideradas un serio problema de salud pública en México. Además, el país ocupa el primer lugar en prevalencia</w:t>
      </w:r>
      <w:r w:rsidRPr="00C67536">
        <w:rPr>
          <w:rFonts w:cs="Arial"/>
          <w:spacing w:val="-19"/>
          <w:sz w:val="28"/>
          <w:szCs w:val="28"/>
        </w:rPr>
        <w:t xml:space="preserve"> </w:t>
      </w:r>
      <w:r w:rsidRPr="00C67536">
        <w:rPr>
          <w:rFonts w:cs="Arial"/>
          <w:sz w:val="28"/>
          <w:szCs w:val="28"/>
        </w:rPr>
        <w:t>entre</w:t>
      </w:r>
      <w:r w:rsidRPr="00C67536">
        <w:rPr>
          <w:rFonts w:cs="Arial"/>
          <w:spacing w:val="-18"/>
          <w:sz w:val="28"/>
          <w:szCs w:val="28"/>
        </w:rPr>
        <w:t xml:space="preserve"> </w:t>
      </w:r>
      <w:r w:rsidRPr="00C67536">
        <w:rPr>
          <w:rFonts w:cs="Arial"/>
          <w:sz w:val="28"/>
          <w:szCs w:val="28"/>
        </w:rPr>
        <w:t>adultos</w:t>
      </w:r>
      <w:r w:rsidRPr="00C67536">
        <w:rPr>
          <w:rFonts w:cs="Arial"/>
          <w:spacing w:val="-20"/>
          <w:sz w:val="28"/>
          <w:szCs w:val="28"/>
        </w:rPr>
        <w:t xml:space="preserve"> </w:t>
      </w:r>
      <w:r w:rsidRPr="00C67536">
        <w:rPr>
          <w:rFonts w:cs="Arial"/>
          <w:sz w:val="28"/>
          <w:szCs w:val="28"/>
        </w:rPr>
        <w:t>de</w:t>
      </w:r>
      <w:r w:rsidRPr="00C67536">
        <w:rPr>
          <w:rFonts w:cs="Arial"/>
          <w:spacing w:val="-18"/>
          <w:sz w:val="28"/>
          <w:szCs w:val="28"/>
        </w:rPr>
        <w:t xml:space="preserve"> </w:t>
      </w:r>
      <w:r w:rsidRPr="00C67536">
        <w:rPr>
          <w:rFonts w:cs="Arial"/>
          <w:sz w:val="28"/>
          <w:szCs w:val="28"/>
        </w:rPr>
        <w:t>diabetes</w:t>
      </w:r>
      <w:r w:rsidRPr="00C67536">
        <w:rPr>
          <w:rFonts w:cs="Arial"/>
          <w:spacing w:val="-19"/>
          <w:sz w:val="28"/>
          <w:szCs w:val="28"/>
        </w:rPr>
        <w:t xml:space="preserve"> </w:t>
      </w:r>
      <w:r w:rsidRPr="00C67536">
        <w:rPr>
          <w:rFonts w:cs="Arial"/>
          <w:sz w:val="28"/>
          <w:szCs w:val="28"/>
        </w:rPr>
        <w:t>(15.9</w:t>
      </w:r>
      <w:r w:rsidRPr="00C67536">
        <w:rPr>
          <w:rFonts w:cs="Arial"/>
          <w:spacing w:val="-19"/>
          <w:sz w:val="28"/>
          <w:szCs w:val="28"/>
        </w:rPr>
        <w:t xml:space="preserve"> </w:t>
      </w:r>
      <w:r w:rsidRPr="00C67536">
        <w:rPr>
          <w:rFonts w:cs="Arial"/>
          <w:sz w:val="28"/>
          <w:szCs w:val="28"/>
        </w:rPr>
        <w:t>por</w:t>
      </w:r>
      <w:r w:rsidRPr="00C67536">
        <w:rPr>
          <w:rFonts w:cs="Arial"/>
          <w:spacing w:val="-19"/>
          <w:sz w:val="28"/>
          <w:szCs w:val="28"/>
        </w:rPr>
        <w:t xml:space="preserve"> </w:t>
      </w:r>
      <w:r w:rsidRPr="00C67536">
        <w:rPr>
          <w:rFonts w:cs="Arial"/>
          <w:sz w:val="28"/>
          <w:szCs w:val="28"/>
        </w:rPr>
        <w:t>ciento),</w:t>
      </w:r>
      <w:r w:rsidRPr="00C67536">
        <w:rPr>
          <w:rFonts w:cs="Arial"/>
          <w:spacing w:val="-19"/>
          <w:sz w:val="28"/>
          <w:szCs w:val="28"/>
        </w:rPr>
        <w:t xml:space="preserve"> </w:t>
      </w:r>
      <w:r w:rsidRPr="00C67536">
        <w:rPr>
          <w:rFonts w:cs="Arial"/>
          <w:sz w:val="28"/>
          <w:szCs w:val="28"/>
        </w:rPr>
        <w:t>y</w:t>
      </w:r>
      <w:r w:rsidRPr="00C67536">
        <w:rPr>
          <w:rFonts w:cs="Arial"/>
          <w:spacing w:val="-20"/>
          <w:sz w:val="28"/>
          <w:szCs w:val="28"/>
        </w:rPr>
        <w:t xml:space="preserve"> </w:t>
      </w:r>
      <w:r w:rsidRPr="00C67536">
        <w:rPr>
          <w:rFonts w:cs="Arial"/>
          <w:sz w:val="28"/>
          <w:szCs w:val="28"/>
        </w:rPr>
        <w:t>segundo</w:t>
      </w:r>
      <w:r w:rsidRPr="00C67536">
        <w:rPr>
          <w:rFonts w:cs="Arial"/>
          <w:spacing w:val="-18"/>
          <w:sz w:val="28"/>
          <w:szCs w:val="28"/>
        </w:rPr>
        <w:t xml:space="preserve"> </w:t>
      </w:r>
      <w:r w:rsidRPr="00C67536">
        <w:rPr>
          <w:rFonts w:cs="Arial"/>
          <w:sz w:val="28"/>
          <w:szCs w:val="28"/>
        </w:rPr>
        <w:t>en</w:t>
      </w:r>
      <w:r w:rsidRPr="00C67536">
        <w:rPr>
          <w:rFonts w:cs="Arial"/>
          <w:spacing w:val="-20"/>
          <w:sz w:val="28"/>
          <w:szCs w:val="28"/>
        </w:rPr>
        <w:t xml:space="preserve"> </w:t>
      </w:r>
      <w:r w:rsidRPr="00C67536">
        <w:rPr>
          <w:rFonts w:cs="Arial"/>
          <w:sz w:val="28"/>
          <w:szCs w:val="28"/>
        </w:rPr>
        <w:t>obesidad</w:t>
      </w:r>
      <w:r w:rsidRPr="00C67536">
        <w:rPr>
          <w:rFonts w:cs="Arial"/>
          <w:spacing w:val="-19"/>
          <w:sz w:val="28"/>
          <w:szCs w:val="28"/>
        </w:rPr>
        <w:t xml:space="preserve"> </w:t>
      </w:r>
      <w:r w:rsidRPr="00C67536">
        <w:rPr>
          <w:rFonts w:cs="Arial"/>
          <w:sz w:val="28"/>
          <w:szCs w:val="28"/>
        </w:rPr>
        <w:t>(32.4 por</w:t>
      </w:r>
      <w:r w:rsidRPr="00C67536">
        <w:rPr>
          <w:rFonts w:cs="Arial"/>
          <w:spacing w:val="-1"/>
          <w:sz w:val="28"/>
          <w:szCs w:val="28"/>
        </w:rPr>
        <w:t xml:space="preserve"> </w:t>
      </w:r>
      <w:r w:rsidRPr="00C67536">
        <w:rPr>
          <w:rFonts w:cs="Arial"/>
          <w:sz w:val="28"/>
          <w:szCs w:val="28"/>
        </w:rPr>
        <w:t>ciento).</w:t>
      </w:r>
    </w:p>
    <w:p w14:paraId="52C662A0" w14:textId="77777777" w:rsidR="00D03349" w:rsidRPr="00C67536" w:rsidRDefault="00D03349" w:rsidP="00D03349">
      <w:pPr>
        <w:pStyle w:val="corte4fondo"/>
        <w:ind w:firstLine="0"/>
        <w:rPr>
          <w:rFonts w:eastAsiaTheme="minorHAnsi" w:cs="Arial"/>
          <w:bCs/>
          <w:sz w:val="28"/>
          <w:szCs w:val="28"/>
          <w:lang w:eastAsia="en-US"/>
        </w:rPr>
      </w:pPr>
    </w:p>
    <w:p w14:paraId="05929F9D" w14:textId="77777777" w:rsidR="00B365C7"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Entre las políticas y acciones reconocidas para el control de la obesidad y las enfermedades crónicas no trasmisibles, se encuentra la orientación sobre la elección de alimentos saludables, a través de un sistema de etiquetado frontal de alimentos y bebidas (SEFAB).</w:t>
      </w:r>
    </w:p>
    <w:p w14:paraId="6501F56B" w14:textId="77777777" w:rsidR="00B365C7" w:rsidRPr="00C67536" w:rsidRDefault="00B365C7" w:rsidP="00B365C7">
      <w:pPr>
        <w:pStyle w:val="ListParagraph"/>
        <w:rPr>
          <w:rFonts w:cs="Arial"/>
          <w:sz w:val="28"/>
          <w:szCs w:val="28"/>
        </w:rPr>
      </w:pPr>
    </w:p>
    <w:p w14:paraId="547D9AB7" w14:textId="77777777" w:rsidR="00916F62"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Además, que en dos mil quince entró</w:t>
      </w:r>
      <w:r w:rsidRPr="00C67536">
        <w:rPr>
          <w:rFonts w:cs="Arial"/>
          <w:spacing w:val="-14"/>
          <w:sz w:val="28"/>
          <w:szCs w:val="28"/>
        </w:rPr>
        <w:t xml:space="preserve"> </w:t>
      </w:r>
      <w:r w:rsidRPr="00C67536">
        <w:rPr>
          <w:rFonts w:cs="Arial"/>
          <w:sz w:val="28"/>
          <w:szCs w:val="28"/>
        </w:rPr>
        <w:t>en</w:t>
      </w:r>
      <w:r w:rsidRPr="00C67536">
        <w:rPr>
          <w:rFonts w:cs="Arial"/>
          <w:spacing w:val="-13"/>
          <w:sz w:val="28"/>
          <w:szCs w:val="28"/>
        </w:rPr>
        <w:t xml:space="preserve"> </w:t>
      </w:r>
      <w:r w:rsidRPr="00C67536">
        <w:rPr>
          <w:rFonts w:cs="Arial"/>
          <w:sz w:val="28"/>
          <w:szCs w:val="28"/>
        </w:rPr>
        <w:t>vigor</w:t>
      </w:r>
      <w:r w:rsidRPr="00C67536">
        <w:rPr>
          <w:rFonts w:cs="Arial"/>
          <w:spacing w:val="-12"/>
          <w:sz w:val="28"/>
          <w:szCs w:val="28"/>
        </w:rPr>
        <w:t xml:space="preserve"> </w:t>
      </w:r>
      <w:r w:rsidRPr="00C67536">
        <w:rPr>
          <w:rFonts w:cs="Arial"/>
          <w:sz w:val="28"/>
          <w:szCs w:val="28"/>
        </w:rPr>
        <w:t>una</w:t>
      </w:r>
      <w:r w:rsidRPr="00C67536">
        <w:rPr>
          <w:rFonts w:cs="Arial"/>
          <w:spacing w:val="-14"/>
          <w:sz w:val="28"/>
          <w:szCs w:val="28"/>
        </w:rPr>
        <w:t xml:space="preserve"> </w:t>
      </w:r>
      <w:r w:rsidRPr="00C67536">
        <w:rPr>
          <w:rFonts w:cs="Arial"/>
          <w:sz w:val="28"/>
          <w:szCs w:val="28"/>
        </w:rPr>
        <w:t>medida</w:t>
      </w:r>
      <w:r w:rsidRPr="00C67536">
        <w:rPr>
          <w:rFonts w:cs="Arial"/>
          <w:spacing w:val="-11"/>
          <w:sz w:val="28"/>
          <w:szCs w:val="28"/>
        </w:rPr>
        <w:t xml:space="preserve"> </w:t>
      </w:r>
      <w:r w:rsidRPr="00C67536">
        <w:rPr>
          <w:rFonts w:cs="Arial"/>
          <w:sz w:val="28"/>
          <w:szCs w:val="28"/>
        </w:rPr>
        <w:t>regulatoria</w:t>
      </w:r>
      <w:r w:rsidRPr="00C67536">
        <w:rPr>
          <w:rFonts w:cs="Arial"/>
          <w:spacing w:val="-11"/>
          <w:sz w:val="28"/>
          <w:szCs w:val="28"/>
        </w:rPr>
        <w:t xml:space="preserve"> </w:t>
      </w:r>
      <w:r w:rsidRPr="00C67536">
        <w:rPr>
          <w:rFonts w:cs="Arial"/>
          <w:sz w:val="28"/>
          <w:szCs w:val="28"/>
        </w:rPr>
        <w:t>que</w:t>
      </w:r>
      <w:r w:rsidRPr="00C67536">
        <w:rPr>
          <w:rFonts w:cs="Arial"/>
          <w:spacing w:val="-13"/>
          <w:sz w:val="28"/>
          <w:szCs w:val="28"/>
        </w:rPr>
        <w:t xml:space="preserve"> </w:t>
      </w:r>
      <w:r w:rsidRPr="00C67536">
        <w:rPr>
          <w:rFonts w:cs="Arial"/>
          <w:sz w:val="28"/>
          <w:szCs w:val="28"/>
        </w:rPr>
        <w:t xml:space="preserve">delimita a diversos productos alimenticios en el mercado para tener el sistema de etiquetado frontal de acuerdo con las guías diarias de alimentación, llamado “GDA”. </w:t>
      </w:r>
    </w:p>
    <w:p w14:paraId="71A53219" w14:textId="77777777" w:rsidR="00916F62" w:rsidRPr="00C67536" w:rsidRDefault="00916F62" w:rsidP="00916F62">
      <w:pPr>
        <w:pStyle w:val="ListParagraph"/>
        <w:rPr>
          <w:rFonts w:cs="Arial"/>
          <w:sz w:val="28"/>
          <w:szCs w:val="28"/>
        </w:rPr>
      </w:pPr>
    </w:p>
    <w:p w14:paraId="0090BBF5" w14:textId="77777777" w:rsidR="00916F62"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Sin embargo, este sistema de etiquetado había sido objeto de distintas evaluaciones que habían buscado</w:t>
      </w:r>
      <w:r w:rsidRPr="00C67536">
        <w:rPr>
          <w:rFonts w:cs="Arial"/>
          <w:spacing w:val="-11"/>
          <w:sz w:val="28"/>
          <w:szCs w:val="28"/>
        </w:rPr>
        <w:t xml:space="preserve"> </w:t>
      </w:r>
      <w:r w:rsidRPr="00C67536">
        <w:rPr>
          <w:rFonts w:cs="Arial"/>
          <w:sz w:val="28"/>
          <w:szCs w:val="28"/>
        </w:rPr>
        <w:t>identificar</w:t>
      </w:r>
      <w:r w:rsidRPr="00C67536">
        <w:rPr>
          <w:rFonts w:cs="Arial"/>
          <w:spacing w:val="-12"/>
          <w:sz w:val="28"/>
          <w:szCs w:val="28"/>
        </w:rPr>
        <w:t xml:space="preserve"> </w:t>
      </w:r>
      <w:r w:rsidRPr="00C67536">
        <w:rPr>
          <w:rFonts w:cs="Arial"/>
          <w:sz w:val="28"/>
          <w:szCs w:val="28"/>
        </w:rPr>
        <w:t>su</w:t>
      </w:r>
      <w:r w:rsidRPr="00C67536">
        <w:rPr>
          <w:rFonts w:cs="Arial"/>
          <w:spacing w:val="-13"/>
          <w:sz w:val="28"/>
          <w:szCs w:val="28"/>
        </w:rPr>
        <w:t xml:space="preserve"> </w:t>
      </w:r>
      <w:r w:rsidRPr="00C67536">
        <w:rPr>
          <w:rFonts w:cs="Arial"/>
          <w:sz w:val="28"/>
          <w:szCs w:val="28"/>
        </w:rPr>
        <w:t>uso,</w:t>
      </w:r>
      <w:r w:rsidRPr="00C67536">
        <w:rPr>
          <w:rFonts w:cs="Arial"/>
          <w:spacing w:val="-10"/>
          <w:sz w:val="28"/>
          <w:szCs w:val="28"/>
        </w:rPr>
        <w:t xml:space="preserve"> </w:t>
      </w:r>
      <w:r w:rsidRPr="00C67536">
        <w:rPr>
          <w:rFonts w:cs="Arial"/>
          <w:sz w:val="28"/>
          <w:szCs w:val="28"/>
        </w:rPr>
        <w:t>comprensión</w:t>
      </w:r>
      <w:r w:rsidRPr="00C67536">
        <w:rPr>
          <w:rFonts w:cs="Arial"/>
          <w:spacing w:val="-10"/>
          <w:sz w:val="28"/>
          <w:szCs w:val="28"/>
        </w:rPr>
        <w:t xml:space="preserve"> </w:t>
      </w:r>
      <w:r w:rsidRPr="00C67536">
        <w:rPr>
          <w:rFonts w:cs="Arial"/>
          <w:sz w:val="28"/>
          <w:szCs w:val="28"/>
        </w:rPr>
        <w:t>y</w:t>
      </w:r>
      <w:r w:rsidRPr="00C67536">
        <w:rPr>
          <w:rFonts w:cs="Arial"/>
          <w:spacing w:val="-14"/>
          <w:sz w:val="28"/>
          <w:szCs w:val="28"/>
        </w:rPr>
        <w:t xml:space="preserve"> </w:t>
      </w:r>
      <w:r w:rsidRPr="00C67536">
        <w:rPr>
          <w:rFonts w:cs="Arial"/>
          <w:sz w:val="28"/>
          <w:szCs w:val="28"/>
        </w:rPr>
        <w:t>utilidad</w:t>
      </w:r>
      <w:r w:rsidRPr="00C67536">
        <w:rPr>
          <w:rFonts w:cs="Arial"/>
          <w:spacing w:val="-10"/>
          <w:sz w:val="28"/>
          <w:szCs w:val="28"/>
        </w:rPr>
        <w:t xml:space="preserve"> </w:t>
      </w:r>
      <w:r w:rsidRPr="00C67536">
        <w:rPr>
          <w:rFonts w:cs="Arial"/>
          <w:sz w:val="28"/>
          <w:szCs w:val="28"/>
        </w:rPr>
        <w:t>como</w:t>
      </w:r>
      <w:r w:rsidRPr="00C67536">
        <w:rPr>
          <w:rFonts w:cs="Arial"/>
          <w:spacing w:val="-13"/>
          <w:sz w:val="28"/>
          <w:szCs w:val="28"/>
        </w:rPr>
        <w:t xml:space="preserve"> </w:t>
      </w:r>
      <w:r w:rsidRPr="00C67536">
        <w:rPr>
          <w:rFonts w:cs="Arial"/>
          <w:sz w:val="28"/>
          <w:szCs w:val="28"/>
        </w:rPr>
        <w:t>estrategia</w:t>
      </w:r>
      <w:r w:rsidRPr="00C67536">
        <w:rPr>
          <w:rFonts w:cs="Arial"/>
          <w:spacing w:val="-13"/>
          <w:sz w:val="28"/>
          <w:szCs w:val="28"/>
        </w:rPr>
        <w:t xml:space="preserve"> </w:t>
      </w:r>
      <w:r w:rsidRPr="00C67536">
        <w:rPr>
          <w:rFonts w:cs="Arial"/>
          <w:sz w:val="28"/>
          <w:szCs w:val="28"/>
        </w:rPr>
        <w:t>de</w:t>
      </w:r>
      <w:r w:rsidRPr="00C67536">
        <w:rPr>
          <w:rFonts w:cs="Arial"/>
          <w:spacing w:val="-11"/>
          <w:sz w:val="28"/>
          <w:szCs w:val="28"/>
        </w:rPr>
        <w:t xml:space="preserve"> </w:t>
      </w:r>
      <w:r w:rsidRPr="00C67536">
        <w:rPr>
          <w:rFonts w:cs="Arial"/>
          <w:sz w:val="28"/>
          <w:szCs w:val="28"/>
        </w:rPr>
        <w:t>salud</w:t>
      </w:r>
      <w:r w:rsidRPr="00C67536">
        <w:rPr>
          <w:rFonts w:cs="Arial"/>
          <w:spacing w:val="-12"/>
          <w:sz w:val="28"/>
          <w:szCs w:val="28"/>
        </w:rPr>
        <w:t xml:space="preserve"> </w:t>
      </w:r>
      <w:r w:rsidRPr="00C67536">
        <w:rPr>
          <w:rFonts w:cs="Arial"/>
          <w:sz w:val="28"/>
          <w:szCs w:val="28"/>
        </w:rPr>
        <w:t>pública; pero los resultados fueron</w:t>
      </w:r>
      <w:r w:rsidRPr="00C67536">
        <w:rPr>
          <w:rFonts w:cs="Arial"/>
          <w:spacing w:val="-23"/>
          <w:sz w:val="28"/>
          <w:szCs w:val="28"/>
        </w:rPr>
        <w:t xml:space="preserve"> </w:t>
      </w:r>
      <w:r w:rsidRPr="00C67536">
        <w:rPr>
          <w:rFonts w:cs="Arial"/>
          <w:sz w:val="28"/>
          <w:szCs w:val="28"/>
        </w:rPr>
        <w:t>desalentadores. Incluso, el Fondo de las Naciones Unidas para la Infancia (UNICEF) en colaboración con instituciones de diversos países de América</w:t>
      </w:r>
      <w:r w:rsidRPr="00C67536">
        <w:rPr>
          <w:rFonts w:cs="Arial"/>
          <w:spacing w:val="-19"/>
          <w:sz w:val="28"/>
          <w:szCs w:val="28"/>
        </w:rPr>
        <w:t xml:space="preserve"> </w:t>
      </w:r>
      <w:r w:rsidRPr="00C67536">
        <w:rPr>
          <w:rFonts w:cs="Arial"/>
          <w:sz w:val="28"/>
          <w:szCs w:val="28"/>
        </w:rPr>
        <w:t>Latina, determinaron que el sistema de</w:t>
      </w:r>
      <w:r w:rsidRPr="00C67536">
        <w:rPr>
          <w:rFonts w:cs="Arial"/>
          <w:spacing w:val="-20"/>
          <w:sz w:val="28"/>
          <w:szCs w:val="28"/>
        </w:rPr>
        <w:t xml:space="preserve"> </w:t>
      </w:r>
      <w:r w:rsidRPr="00C67536">
        <w:rPr>
          <w:rFonts w:cs="Arial"/>
          <w:sz w:val="28"/>
          <w:szCs w:val="28"/>
        </w:rPr>
        <w:t>etiquetado</w:t>
      </w:r>
      <w:r w:rsidRPr="00C67536">
        <w:rPr>
          <w:rFonts w:cs="Arial"/>
          <w:spacing w:val="-16"/>
          <w:sz w:val="28"/>
          <w:szCs w:val="28"/>
        </w:rPr>
        <w:t xml:space="preserve"> </w:t>
      </w:r>
      <w:r w:rsidRPr="00C67536">
        <w:rPr>
          <w:rFonts w:cs="Arial"/>
          <w:sz w:val="28"/>
          <w:szCs w:val="28"/>
        </w:rPr>
        <w:t>GDA</w:t>
      </w:r>
      <w:r w:rsidRPr="00C67536">
        <w:rPr>
          <w:rFonts w:cs="Arial"/>
          <w:spacing w:val="-19"/>
          <w:sz w:val="28"/>
          <w:szCs w:val="28"/>
        </w:rPr>
        <w:t xml:space="preserve"> </w:t>
      </w:r>
      <w:r w:rsidRPr="00C67536">
        <w:rPr>
          <w:rFonts w:cs="Arial"/>
          <w:sz w:val="28"/>
          <w:szCs w:val="28"/>
        </w:rPr>
        <w:t>mostró</w:t>
      </w:r>
      <w:r w:rsidRPr="00C67536">
        <w:rPr>
          <w:rFonts w:cs="Arial"/>
          <w:spacing w:val="-18"/>
          <w:sz w:val="28"/>
          <w:szCs w:val="28"/>
        </w:rPr>
        <w:t xml:space="preserve"> </w:t>
      </w:r>
      <w:r w:rsidRPr="00C67536">
        <w:rPr>
          <w:rFonts w:cs="Arial"/>
          <w:sz w:val="28"/>
          <w:szCs w:val="28"/>
        </w:rPr>
        <w:t>gran</w:t>
      </w:r>
      <w:r w:rsidRPr="00C67536">
        <w:rPr>
          <w:rFonts w:cs="Arial"/>
          <w:spacing w:val="-17"/>
          <w:sz w:val="28"/>
          <w:szCs w:val="28"/>
        </w:rPr>
        <w:t xml:space="preserve"> </w:t>
      </w:r>
      <w:r w:rsidRPr="00C67536">
        <w:rPr>
          <w:rFonts w:cs="Arial"/>
          <w:sz w:val="28"/>
          <w:szCs w:val="28"/>
        </w:rPr>
        <w:t>dificultad</w:t>
      </w:r>
      <w:r w:rsidRPr="00C67536">
        <w:rPr>
          <w:rFonts w:cs="Arial"/>
          <w:spacing w:val="-19"/>
          <w:sz w:val="28"/>
          <w:szCs w:val="28"/>
        </w:rPr>
        <w:t xml:space="preserve"> </w:t>
      </w:r>
      <w:r w:rsidRPr="00C67536">
        <w:rPr>
          <w:rFonts w:cs="Arial"/>
          <w:sz w:val="28"/>
          <w:szCs w:val="28"/>
        </w:rPr>
        <w:t>para ser adecuadamente comprendido.</w:t>
      </w:r>
    </w:p>
    <w:p w14:paraId="4B874D44" w14:textId="77777777" w:rsidR="00916F62" w:rsidRPr="00C67536" w:rsidRDefault="00916F62" w:rsidP="00916F62">
      <w:pPr>
        <w:pStyle w:val="ListParagraph"/>
        <w:rPr>
          <w:rFonts w:cs="Arial"/>
          <w:sz w:val="28"/>
          <w:szCs w:val="28"/>
        </w:rPr>
      </w:pPr>
    </w:p>
    <w:p w14:paraId="6624C1F6" w14:textId="77777777" w:rsidR="00916F62"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Por ello, la Organización Panamericana de la Salud (OPS) en su Plan de Acción para la prevención de la obesidad en la niñez y la adolescencia, aprobado por</w:t>
      </w:r>
      <w:r w:rsidRPr="00C67536">
        <w:rPr>
          <w:rFonts w:cs="Arial"/>
          <w:spacing w:val="-17"/>
          <w:sz w:val="28"/>
          <w:szCs w:val="28"/>
        </w:rPr>
        <w:t xml:space="preserve"> </w:t>
      </w:r>
      <w:r w:rsidRPr="00C67536">
        <w:rPr>
          <w:rFonts w:cs="Arial"/>
          <w:sz w:val="28"/>
          <w:szCs w:val="28"/>
        </w:rPr>
        <w:t>los</w:t>
      </w:r>
      <w:r w:rsidRPr="00C67536">
        <w:rPr>
          <w:rFonts w:cs="Arial"/>
          <w:spacing w:val="-16"/>
          <w:sz w:val="28"/>
          <w:szCs w:val="28"/>
        </w:rPr>
        <w:t xml:space="preserve"> </w:t>
      </w:r>
      <w:r w:rsidRPr="00C67536">
        <w:rPr>
          <w:rFonts w:cs="Arial"/>
          <w:sz w:val="28"/>
          <w:szCs w:val="28"/>
        </w:rPr>
        <w:t>países</w:t>
      </w:r>
      <w:r w:rsidRPr="00C67536">
        <w:rPr>
          <w:rFonts w:cs="Arial"/>
          <w:spacing w:val="-19"/>
          <w:sz w:val="28"/>
          <w:szCs w:val="28"/>
        </w:rPr>
        <w:t xml:space="preserve"> </w:t>
      </w:r>
      <w:r w:rsidRPr="00C67536">
        <w:rPr>
          <w:rFonts w:cs="Arial"/>
          <w:sz w:val="28"/>
          <w:szCs w:val="28"/>
        </w:rPr>
        <w:t>miembros</w:t>
      </w:r>
      <w:r w:rsidRPr="00C67536">
        <w:rPr>
          <w:rFonts w:cs="Arial"/>
          <w:spacing w:val="-16"/>
          <w:sz w:val="28"/>
          <w:szCs w:val="28"/>
        </w:rPr>
        <w:t xml:space="preserve"> </w:t>
      </w:r>
      <w:r w:rsidRPr="00C67536">
        <w:rPr>
          <w:rFonts w:cs="Arial"/>
          <w:sz w:val="28"/>
          <w:szCs w:val="28"/>
        </w:rPr>
        <w:t>de</w:t>
      </w:r>
      <w:r w:rsidRPr="00C67536">
        <w:rPr>
          <w:rFonts w:cs="Arial"/>
          <w:spacing w:val="-15"/>
          <w:sz w:val="28"/>
          <w:szCs w:val="28"/>
        </w:rPr>
        <w:t xml:space="preserve"> </w:t>
      </w:r>
      <w:r w:rsidRPr="00C67536">
        <w:rPr>
          <w:rFonts w:cs="Arial"/>
          <w:sz w:val="28"/>
          <w:szCs w:val="28"/>
        </w:rPr>
        <w:t>la</w:t>
      </w:r>
      <w:r w:rsidRPr="00C67536">
        <w:rPr>
          <w:rFonts w:cs="Arial"/>
          <w:spacing w:val="-16"/>
          <w:sz w:val="28"/>
          <w:szCs w:val="28"/>
        </w:rPr>
        <w:t xml:space="preserve"> </w:t>
      </w:r>
      <w:r w:rsidRPr="00C67536">
        <w:rPr>
          <w:rFonts w:cs="Arial"/>
          <w:sz w:val="28"/>
          <w:szCs w:val="28"/>
        </w:rPr>
        <w:t>región,</w:t>
      </w:r>
      <w:r w:rsidRPr="00C67536">
        <w:rPr>
          <w:rFonts w:cs="Arial"/>
          <w:spacing w:val="-18"/>
          <w:sz w:val="28"/>
          <w:szCs w:val="28"/>
        </w:rPr>
        <w:t xml:space="preserve"> </w:t>
      </w:r>
      <w:r w:rsidRPr="00C67536">
        <w:rPr>
          <w:rFonts w:cs="Arial"/>
          <w:sz w:val="28"/>
          <w:szCs w:val="28"/>
        </w:rPr>
        <w:t>no</w:t>
      </w:r>
      <w:r w:rsidRPr="00C67536">
        <w:rPr>
          <w:rFonts w:cs="Arial"/>
          <w:spacing w:val="-16"/>
          <w:sz w:val="28"/>
          <w:szCs w:val="28"/>
        </w:rPr>
        <w:t xml:space="preserve"> </w:t>
      </w:r>
      <w:r w:rsidRPr="00C67536">
        <w:rPr>
          <w:rFonts w:cs="Arial"/>
          <w:sz w:val="28"/>
          <w:szCs w:val="28"/>
        </w:rPr>
        <w:t>reconoció</w:t>
      </w:r>
      <w:r w:rsidRPr="00C67536">
        <w:rPr>
          <w:rFonts w:cs="Arial"/>
          <w:spacing w:val="-16"/>
          <w:sz w:val="28"/>
          <w:szCs w:val="28"/>
        </w:rPr>
        <w:t xml:space="preserve"> </w:t>
      </w:r>
      <w:r w:rsidRPr="00C67536">
        <w:rPr>
          <w:rFonts w:cs="Arial"/>
          <w:sz w:val="28"/>
          <w:szCs w:val="28"/>
        </w:rPr>
        <w:t>el</w:t>
      </w:r>
      <w:r w:rsidRPr="00C67536">
        <w:rPr>
          <w:rFonts w:cs="Arial"/>
          <w:spacing w:val="-16"/>
          <w:sz w:val="28"/>
          <w:szCs w:val="28"/>
        </w:rPr>
        <w:t xml:space="preserve"> </w:t>
      </w:r>
      <w:r w:rsidRPr="00C67536">
        <w:rPr>
          <w:rFonts w:cs="Arial"/>
          <w:sz w:val="28"/>
          <w:szCs w:val="28"/>
        </w:rPr>
        <w:t>etiquetado</w:t>
      </w:r>
      <w:r w:rsidRPr="00C67536">
        <w:rPr>
          <w:rFonts w:cs="Arial"/>
          <w:spacing w:val="-16"/>
          <w:sz w:val="28"/>
          <w:szCs w:val="28"/>
        </w:rPr>
        <w:t xml:space="preserve"> </w:t>
      </w:r>
      <w:r w:rsidRPr="00C67536">
        <w:rPr>
          <w:rFonts w:cs="Arial"/>
          <w:sz w:val="28"/>
          <w:szCs w:val="28"/>
        </w:rPr>
        <w:t>frontal</w:t>
      </w:r>
      <w:r w:rsidRPr="00C67536">
        <w:rPr>
          <w:rFonts w:cs="Arial"/>
          <w:spacing w:val="-17"/>
          <w:sz w:val="28"/>
          <w:szCs w:val="28"/>
        </w:rPr>
        <w:t xml:space="preserve"> </w:t>
      </w:r>
      <w:r w:rsidRPr="00C67536">
        <w:rPr>
          <w:rFonts w:cs="Arial"/>
          <w:sz w:val="28"/>
          <w:szCs w:val="28"/>
        </w:rPr>
        <w:t>desarrollado en México como una acción que cumpla con el objetivo 3.3 de ese Plan.</w:t>
      </w:r>
    </w:p>
    <w:p w14:paraId="2B31DACD" w14:textId="77777777" w:rsidR="00916F62" w:rsidRPr="00C67536" w:rsidRDefault="00916F62" w:rsidP="00916F62">
      <w:pPr>
        <w:pStyle w:val="ListParagraph"/>
        <w:rPr>
          <w:rFonts w:cs="Arial"/>
          <w:sz w:val="28"/>
          <w:szCs w:val="28"/>
        </w:rPr>
      </w:pPr>
    </w:p>
    <w:p w14:paraId="2ACFB8CB" w14:textId="77777777" w:rsidR="00916F62"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Asimismo, dicho organismo, con base en la experiencia</w:t>
      </w:r>
      <w:r w:rsidRPr="00C67536">
        <w:rPr>
          <w:rFonts w:cs="Arial"/>
          <w:spacing w:val="-17"/>
          <w:sz w:val="28"/>
          <w:szCs w:val="28"/>
        </w:rPr>
        <w:t xml:space="preserve"> </w:t>
      </w:r>
      <w:r w:rsidRPr="00C67536">
        <w:rPr>
          <w:rFonts w:cs="Arial"/>
          <w:sz w:val="28"/>
          <w:szCs w:val="28"/>
        </w:rPr>
        <w:t>Internacional,</w:t>
      </w:r>
      <w:r w:rsidRPr="00C67536">
        <w:rPr>
          <w:rFonts w:cs="Arial"/>
          <w:spacing w:val="-17"/>
          <w:sz w:val="28"/>
          <w:szCs w:val="28"/>
        </w:rPr>
        <w:t xml:space="preserve"> expuso que </w:t>
      </w:r>
      <w:r w:rsidRPr="00C67536">
        <w:rPr>
          <w:rFonts w:cs="Arial"/>
          <w:sz w:val="28"/>
          <w:szCs w:val="28"/>
        </w:rPr>
        <w:t>Chile</w:t>
      </w:r>
      <w:r w:rsidRPr="00C67536">
        <w:rPr>
          <w:rFonts w:cs="Arial"/>
          <w:spacing w:val="-17"/>
          <w:sz w:val="28"/>
          <w:szCs w:val="28"/>
        </w:rPr>
        <w:t xml:space="preserve"> </w:t>
      </w:r>
      <w:r w:rsidRPr="00C67536">
        <w:rPr>
          <w:rFonts w:cs="Arial"/>
          <w:sz w:val="28"/>
          <w:szCs w:val="28"/>
        </w:rPr>
        <w:t>desarrolló</w:t>
      </w:r>
      <w:r w:rsidRPr="00C67536">
        <w:rPr>
          <w:rFonts w:cs="Arial"/>
          <w:spacing w:val="-17"/>
          <w:sz w:val="28"/>
          <w:szCs w:val="28"/>
        </w:rPr>
        <w:t xml:space="preserve"> </w:t>
      </w:r>
      <w:r w:rsidRPr="00C67536">
        <w:rPr>
          <w:rFonts w:cs="Arial"/>
          <w:sz w:val="28"/>
          <w:szCs w:val="28"/>
        </w:rPr>
        <w:t>un</w:t>
      </w:r>
      <w:r w:rsidRPr="00C67536">
        <w:rPr>
          <w:rFonts w:cs="Arial"/>
          <w:spacing w:val="-17"/>
          <w:sz w:val="28"/>
          <w:szCs w:val="28"/>
        </w:rPr>
        <w:t xml:space="preserve"> </w:t>
      </w:r>
      <w:r w:rsidRPr="00C67536">
        <w:rPr>
          <w:rFonts w:cs="Arial"/>
          <w:sz w:val="28"/>
          <w:szCs w:val="28"/>
        </w:rPr>
        <w:t>sistema de etiquetado fácil de comprender que ha mostrado muy buenos resultados en las primeras evaluaciones. Este etiquetado es conocido como etiquetado de advertencia, debido a que de una forma simple informa al consumidor sobre el contenido excesivo de energía, nutrimentos e ingredientes en los alimentos cuyo consumo excesivo se asocia con varias de las enfermedades descritas.</w:t>
      </w:r>
    </w:p>
    <w:p w14:paraId="7DF11BB5" w14:textId="77777777" w:rsidR="00916F62" w:rsidRPr="00C67536" w:rsidRDefault="00916F62" w:rsidP="00916F62">
      <w:pPr>
        <w:pStyle w:val="ListParagraph"/>
        <w:rPr>
          <w:rFonts w:cs="Arial"/>
          <w:sz w:val="28"/>
          <w:szCs w:val="28"/>
        </w:rPr>
      </w:pPr>
    </w:p>
    <w:p w14:paraId="2DE9149F" w14:textId="1300845A" w:rsidR="00916F62"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Por ello, el legislador propuso que en México se requiere de un etiquetado de advertencia para ingredientes críticos en los alimentos similar al que se propone en Chile, Brasil, Perú y Canadá, por los motivos siguientes: tiene evidencia científica sobre su facilidad de</w:t>
      </w:r>
      <w:r w:rsidRPr="00C67536">
        <w:rPr>
          <w:rFonts w:cs="Arial"/>
          <w:spacing w:val="-15"/>
          <w:sz w:val="28"/>
          <w:szCs w:val="28"/>
        </w:rPr>
        <w:t xml:space="preserve"> </w:t>
      </w:r>
      <w:r w:rsidRPr="00C67536">
        <w:rPr>
          <w:rFonts w:cs="Arial"/>
          <w:sz w:val="28"/>
          <w:szCs w:val="28"/>
        </w:rPr>
        <w:t>comprensión; permite la toma de decisión en unos cuantos</w:t>
      </w:r>
      <w:r w:rsidRPr="00C67536">
        <w:rPr>
          <w:rFonts w:cs="Arial"/>
          <w:spacing w:val="-25"/>
          <w:sz w:val="28"/>
          <w:szCs w:val="28"/>
        </w:rPr>
        <w:t xml:space="preserve"> </w:t>
      </w:r>
      <w:r w:rsidRPr="00C67536">
        <w:rPr>
          <w:rFonts w:cs="Arial"/>
          <w:sz w:val="28"/>
          <w:szCs w:val="28"/>
        </w:rPr>
        <w:t>segundos; existe evidencia de que puede ser comprendido incluso por</w:t>
      </w:r>
      <w:r w:rsidRPr="00C67536">
        <w:rPr>
          <w:rFonts w:cs="Arial"/>
          <w:spacing w:val="-7"/>
          <w:sz w:val="28"/>
          <w:szCs w:val="28"/>
        </w:rPr>
        <w:t xml:space="preserve"> </w:t>
      </w:r>
      <w:r w:rsidRPr="00C67536">
        <w:rPr>
          <w:rFonts w:cs="Arial"/>
          <w:sz w:val="28"/>
          <w:szCs w:val="28"/>
        </w:rPr>
        <w:t>niños; es recomendado por la Organización Panamericana de la Salud y otras organizaciones internacionales y</w:t>
      </w:r>
      <w:r w:rsidRPr="00C67536">
        <w:rPr>
          <w:rFonts w:cs="Arial"/>
          <w:spacing w:val="-2"/>
          <w:sz w:val="28"/>
          <w:szCs w:val="28"/>
        </w:rPr>
        <w:t xml:space="preserve"> </w:t>
      </w:r>
      <w:r w:rsidRPr="00C67536">
        <w:rPr>
          <w:rFonts w:cs="Arial"/>
          <w:sz w:val="28"/>
          <w:szCs w:val="28"/>
        </w:rPr>
        <w:t>nacionales; se ha comprobado que contribuye a elecciones más</w:t>
      </w:r>
      <w:r w:rsidRPr="00C67536">
        <w:rPr>
          <w:rFonts w:cs="Arial"/>
          <w:spacing w:val="-12"/>
          <w:sz w:val="28"/>
          <w:szCs w:val="28"/>
        </w:rPr>
        <w:t xml:space="preserve"> </w:t>
      </w:r>
      <w:r w:rsidRPr="00C67536">
        <w:rPr>
          <w:rFonts w:cs="Arial"/>
          <w:sz w:val="28"/>
          <w:szCs w:val="28"/>
        </w:rPr>
        <w:t>saludables; también, que promueve la reformulación de productos con un perfil poco saludable en un tiempo</w:t>
      </w:r>
      <w:r w:rsidRPr="00C67536">
        <w:rPr>
          <w:rFonts w:cs="Arial"/>
          <w:spacing w:val="-5"/>
          <w:sz w:val="28"/>
          <w:szCs w:val="28"/>
        </w:rPr>
        <w:t xml:space="preserve"> </w:t>
      </w:r>
      <w:r w:rsidRPr="00C67536">
        <w:rPr>
          <w:rFonts w:cs="Arial"/>
          <w:sz w:val="28"/>
          <w:szCs w:val="28"/>
        </w:rPr>
        <w:t>reducido; contribuye a proteger el derecho a la alimentación amparado por la Constitución desde</w:t>
      </w:r>
      <w:r w:rsidR="005E00FC" w:rsidRPr="00C67536">
        <w:rPr>
          <w:rFonts w:cs="Arial"/>
          <w:sz w:val="28"/>
          <w:szCs w:val="28"/>
        </w:rPr>
        <w:t xml:space="preserve"> el año dos mil once</w:t>
      </w:r>
      <w:r w:rsidRPr="00C67536">
        <w:rPr>
          <w:rFonts w:cs="Arial"/>
          <w:sz w:val="28"/>
          <w:szCs w:val="28"/>
        </w:rPr>
        <w:t xml:space="preserve">. De ahí que, se migrara el sistema GDA al sistema de alto o exceso, esto es, de advertencia. </w:t>
      </w:r>
      <w:r w:rsidR="009E6FD1" w:rsidRPr="00C67536">
        <w:rPr>
          <w:rFonts w:cs="Arial"/>
          <w:sz w:val="28"/>
          <w:szCs w:val="28"/>
        </w:rPr>
        <w:t>Es importante precisar que el régimen normativo del cual se revisa su constitucionalidad deriva de una reforma a la Ley General de Salud que versa exclusivamente sobre normas en materia de etiquetado comercial para alimentos y bebidas no alcohólicas preenvasados a fin de advertir sobre el contenido de azucares, grasas o sodio, no así respecto de obligaciones diversas como la comercialización y la publicidad de estos</w:t>
      </w:r>
      <w:r w:rsidR="0029236C" w:rsidRPr="00C67536">
        <w:rPr>
          <w:rFonts w:cs="Arial"/>
          <w:sz w:val="28"/>
          <w:szCs w:val="28"/>
        </w:rPr>
        <w:t>.</w:t>
      </w:r>
    </w:p>
    <w:p w14:paraId="75047202" w14:textId="77777777" w:rsidR="00EC76A7" w:rsidRPr="00C67536" w:rsidRDefault="00EC76A7" w:rsidP="00916F62">
      <w:pPr>
        <w:pStyle w:val="ListParagraph"/>
        <w:rPr>
          <w:rFonts w:cs="Arial"/>
          <w:sz w:val="28"/>
          <w:szCs w:val="28"/>
        </w:rPr>
      </w:pPr>
    </w:p>
    <w:p w14:paraId="4248AB20" w14:textId="6D20D870" w:rsidR="00916F62"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Con base en dichos antecedentes, se aprecia que la reforma a los artículos 212 y 215 de la Ley General de Salud, así como la implementación del nuevo sistema de etiquetado frontal de los denominados de advertencia, fueron con la finalidad de proteger los derechos de alimentación sana, salud y protección al consumidor, previstos en los artículos 4° y 28 de la Constitución Federal.</w:t>
      </w:r>
    </w:p>
    <w:p w14:paraId="78D9CBCE" w14:textId="77777777" w:rsidR="00916F62" w:rsidRPr="00C67536" w:rsidRDefault="00916F62" w:rsidP="00916F62">
      <w:pPr>
        <w:pStyle w:val="ListParagraph"/>
        <w:rPr>
          <w:rFonts w:cs="Arial"/>
          <w:b/>
          <w:bCs/>
          <w:sz w:val="28"/>
          <w:szCs w:val="28"/>
        </w:rPr>
      </w:pPr>
    </w:p>
    <w:p w14:paraId="3624AA47" w14:textId="4C5A7E70" w:rsidR="006F73FB" w:rsidRPr="00C67536" w:rsidRDefault="0098078F" w:rsidP="00B144AE">
      <w:pPr>
        <w:pStyle w:val="corte4fondo"/>
        <w:numPr>
          <w:ilvl w:val="0"/>
          <w:numId w:val="15"/>
        </w:numPr>
        <w:ind w:left="0" w:hanging="567"/>
        <w:rPr>
          <w:rFonts w:eastAsiaTheme="minorHAnsi" w:cs="Arial"/>
          <w:bCs/>
          <w:sz w:val="28"/>
          <w:szCs w:val="28"/>
          <w:lang w:eastAsia="en-US"/>
        </w:rPr>
      </w:pPr>
      <w:r w:rsidRPr="00C67536">
        <w:rPr>
          <w:rFonts w:cs="Arial"/>
          <w:b/>
          <w:bCs/>
          <w:sz w:val="28"/>
          <w:szCs w:val="28"/>
        </w:rPr>
        <w:t>Análisis de la constitucionalidad.</w:t>
      </w:r>
      <w:r w:rsidRPr="00C67536">
        <w:rPr>
          <w:rFonts w:cs="Arial"/>
          <w:sz w:val="28"/>
          <w:szCs w:val="28"/>
        </w:rPr>
        <w:t xml:space="preserve"> </w:t>
      </w:r>
      <w:r w:rsidRPr="00C67536">
        <w:rPr>
          <w:rFonts w:cs="Arial"/>
          <w:bCs/>
          <w:sz w:val="28"/>
          <w:szCs w:val="28"/>
          <w:lang w:val="es-ES"/>
        </w:rPr>
        <w:t xml:space="preserve">Resulta importante precisar </w:t>
      </w:r>
      <w:r w:rsidRPr="00C67536">
        <w:rPr>
          <w:rFonts w:cs="Arial"/>
          <w:sz w:val="28"/>
          <w:szCs w:val="28"/>
        </w:rPr>
        <w:t>que el principio de proporcionalidad, como instrumento metodológico, es un procedimiento interpretativo para resolver conflictos entre los contenidos esenciales de las disposiciones normativas fundamentales, que encuentra asidero constitucional en los diversos principios de igualdad e interdicción de la arbitrariedad, previstos en los artículos 1</w:t>
      </w:r>
      <w:r w:rsidR="005852EB">
        <w:rPr>
          <w:rFonts w:cs="Arial"/>
          <w:sz w:val="28"/>
          <w:szCs w:val="28"/>
        </w:rPr>
        <w:t>°</w:t>
      </w:r>
      <w:r w:rsidRPr="00C67536">
        <w:rPr>
          <w:rFonts w:cs="Arial"/>
          <w:sz w:val="28"/>
          <w:szCs w:val="28"/>
        </w:rPr>
        <w:t>, 14 y 16 de la Constitución Política de los Estados Unidos Mexicanos y que requiere el análisis de diversos elementos, según el nivel de escrutinio.</w:t>
      </w:r>
    </w:p>
    <w:p w14:paraId="37A53E0F" w14:textId="77777777" w:rsidR="006F73FB" w:rsidRPr="00C67536" w:rsidRDefault="006F73FB" w:rsidP="006F73FB">
      <w:pPr>
        <w:pStyle w:val="ListParagraph"/>
        <w:rPr>
          <w:sz w:val="28"/>
          <w:szCs w:val="28"/>
        </w:rPr>
      </w:pPr>
    </w:p>
    <w:p w14:paraId="2CD5B4E4" w14:textId="77777777" w:rsidR="006F73FB" w:rsidRPr="00C67536" w:rsidRDefault="00720AB7"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 xml:space="preserve">Sobre el particular, este Alto Tribunal ha reconocido dos niveles de escrutinio para evaluar una medida legislativa. Uno de carácter laxo u ordinario y otro de carácter intenso o estricto. </w:t>
      </w:r>
    </w:p>
    <w:p w14:paraId="1D8963CD" w14:textId="77777777" w:rsidR="006F73FB" w:rsidRPr="00C67536" w:rsidRDefault="006F73FB" w:rsidP="006F73FB">
      <w:pPr>
        <w:pStyle w:val="ListParagraph"/>
        <w:rPr>
          <w:rFonts w:ascii="Arial" w:hAnsi="Arial" w:cs="Arial"/>
          <w:sz w:val="28"/>
          <w:szCs w:val="28"/>
        </w:rPr>
      </w:pPr>
    </w:p>
    <w:p w14:paraId="0D46758C" w14:textId="46B17AA9" w:rsidR="00534BA8" w:rsidRPr="00C67536" w:rsidRDefault="00720AB7"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El primero debe realizarlo el Juez constitucional en los asuntos que no incidan directamente sobre los derechos humanos y exista un amplio margen de acción y apreciación para la autoridad desde el punto de vista normativo, como ocurre en la materia económica o financiera. En cambio, el segundo se actualiza cuando lo que se tenga que resolver involucre alguna de las categorías detalladas en el artículo 1</w:t>
      </w:r>
      <w:r w:rsidR="005852EB">
        <w:rPr>
          <w:rFonts w:cs="Arial"/>
          <w:sz w:val="28"/>
          <w:szCs w:val="28"/>
        </w:rPr>
        <w:t>°</w:t>
      </w:r>
      <w:r w:rsidRPr="00C67536">
        <w:rPr>
          <w:rFonts w:cs="Arial"/>
          <w:sz w:val="28"/>
          <w:szCs w:val="28"/>
        </w:rPr>
        <w:t xml:space="preserve"> constitucional</w:t>
      </w:r>
      <w:r w:rsidRPr="00C67536">
        <w:rPr>
          <w:rStyle w:val="FootnoteReference"/>
          <w:rFonts w:cs="Arial"/>
          <w:sz w:val="28"/>
          <w:szCs w:val="28"/>
          <w:lang w:eastAsia="es-ES"/>
        </w:rPr>
        <w:footnoteReference w:id="7"/>
      </w:r>
      <w:r w:rsidR="00346DB9" w:rsidRPr="00C67536">
        <w:rPr>
          <w:rFonts w:cs="Arial"/>
          <w:sz w:val="28"/>
          <w:szCs w:val="28"/>
        </w:rPr>
        <w:t>.</w:t>
      </w:r>
    </w:p>
    <w:p w14:paraId="6318273E" w14:textId="77777777" w:rsidR="00534BA8" w:rsidRPr="00C67536" w:rsidRDefault="00534BA8" w:rsidP="00534BA8">
      <w:pPr>
        <w:pStyle w:val="ListParagraph"/>
        <w:rPr>
          <w:rFonts w:ascii="Arial" w:hAnsi="Arial" w:cs="Arial"/>
          <w:sz w:val="28"/>
          <w:szCs w:val="28"/>
        </w:rPr>
      </w:pPr>
    </w:p>
    <w:p w14:paraId="7DEDE167" w14:textId="77777777" w:rsidR="00534BA8" w:rsidRPr="00C67536" w:rsidRDefault="00720AB7"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En tratándose de la materia tributaria se ha dicho que la intensidad del escrutinio constitucional, a la luz de los principios democrático y de división de poderes, no debe ser de carácter estricto, sino flexible o laxo, en razón de que el legislador cuenta con libertad configurativa del sistema tributario sustantivo y adjetivo, de modo que para no vulnerar su libertad política, en campos como el mencionado, las posibilidades de injerencia del Juez constitucional son menores y, por ende, la intensidad de su control se limita a verificar que la intervención legislativa cumpla con los siguientes criterios:</w:t>
      </w:r>
    </w:p>
    <w:p w14:paraId="29ED1CE3" w14:textId="77777777" w:rsidR="00534BA8" w:rsidRPr="00C67536" w:rsidRDefault="00534BA8" w:rsidP="00534BA8">
      <w:pPr>
        <w:pStyle w:val="ListParagraph"/>
        <w:rPr>
          <w:rFonts w:ascii="Arial" w:hAnsi="Arial" w:cs="Arial"/>
          <w:sz w:val="28"/>
          <w:szCs w:val="28"/>
        </w:rPr>
      </w:pPr>
    </w:p>
    <w:p w14:paraId="26A55A39" w14:textId="2FCE007A" w:rsidR="00534BA8" w:rsidRPr="00C67536" w:rsidRDefault="00534BA8" w:rsidP="00B144AE">
      <w:pPr>
        <w:pStyle w:val="corte4fondo"/>
        <w:numPr>
          <w:ilvl w:val="0"/>
          <w:numId w:val="19"/>
        </w:numPr>
        <w:spacing w:after="240"/>
        <w:ind w:right="51"/>
        <w:rPr>
          <w:rFonts w:cs="Arial"/>
          <w:bCs/>
          <w:sz w:val="28"/>
          <w:szCs w:val="28"/>
          <w:lang w:val="es-ES"/>
        </w:rPr>
      </w:pPr>
      <w:r w:rsidRPr="00C67536">
        <w:rPr>
          <w:rFonts w:cs="Arial"/>
          <w:sz w:val="28"/>
          <w:szCs w:val="28"/>
        </w:rPr>
        <w:t>Perseguir una finalidad objetiva y constitucionalmente válida</w:t>
      </w:r>
      <w:r w:rsidRPr="00C67536">
        <w:rPr>
          <w:rStyle w:val="FootnoteReference"/>
          <w:rFonts w:cs="Arial"/>
          <w:sz w:val="28"/>
          <w:szCs w:val="28"/>
        </w:rPr>
        <w:footnoteReference w:id="8"/>
      </w:r>
      <w:r w:rsidR="00346DB9" w:rsidRPr="00C67536">
        <w:rPr>
          <w:rFonts w:cs="Arial"/>
          <w:sz w:val="28"/>
          <w:szCs w:val="28"/>
        </w:rPr>
        <w:t>;</w:t>
      </w:r>
    </w:p>
    <w:p w14:paraId="3082FD39" w14:textId="77777777" w:rsidR="00534BA8" w:rsidRPr="00C67536" w:rsidRDefault="00534BA8" w:rsidP="00B144AE">
      <w:pPr>
        <w:pStyle w:val="corte4fondo"/>
        <w:numPr>
          <w:ilvl w:val="0"/>
          <w:numId w:val="19"/>
        </w:numPr>
        <w:spacing w:after="240"/>
        <w:ind w:right="51"/>
        <w:rPr>
          <w:rFonts w:cs="Arial"/>
          <w:bCs/>
          <w:sz w:val="28"/>
          <w:szCs w:val="28"/>
          <w:lang w:val="es-ES"/>
        </w:rPr>
      </w:pPr>
      <w:r w:rsidRPr="00C67536">
        <w:rPr>
          <w:rFonts w:cs="Arial"/>
          <w:sz w:val="28"/>
          <w:szCs w:val="28"/>
        </w:rPr>
        <w:t xml:space="preserve">Ser adecuada o racional, de manera que constituya no solo un simple medio, sino un medio apto y útil para conducir al fin u objetivo perseguido, existiendo una relación de instrumentalidad medio-fin; y </w:t>
      </w:r>
      <w:r w:rsidRPr="00C67536">
        <w:rPr>
          <w:rStyle w:val="FootnoteReference"/>
          <w:rFonts w:cs="Arial"/>
          <w:sz w:val="28"/>
          <w:szCs w:val="28"/>
        </w:rPr>
        <w:footnoteReference w:id="9"/>
      </w:r>
    </w:p>
    <w:p w14:paraId="2C39363F" w14:textId="3CFC591E" w:rsidR="00534BA8" w:rsidRPr="00C67536" w:rsidRDefault="00534BA8" w:rsidP="00B144AE">
      <w:pPr>
        <w:pStyle w:val="corte4fondo"/>
        <w:numPr>
          <w:ilvl w:val="0"/>
          <w:numId w:val="19"/>
        </w:numPr>
        <w:spacing w:after="240"/>
        <w:ind w:right="51"/>
        <w:rPr>
          <w:rFonts w:cs="Arial"/>
          <w:bCs/>
          <w:sz w:val="28"/>
          <w:szCs w:val="28"/>
          <w:lang w:val="es-ES"/>
        </w:rPr>
      </w:pPr>
      <w:r w:rsidRPr="00C67536">
        <w:rPr>
          <w:rFonts w:cs="Arial"/>
          <w:sz w:val="28"/>
          <w:szCs w:val="28"/>
        </w:rPr>
        <w:t>Ser proporcional en sentido estricto. La medida restrictiva debe respetar una correspondencia entre la importancia del fin buscado por la restricción y los efectos perjudiciales que produce en otros derechos e intereses constitucionales</w:t>
      </w:r>
      <w:r w:rsidRPr="00C67536">
        <w:rPr>
          <w:rStyle w:val="FootnoteReference"/>
          <w:rFonts w:cs="Arial"/>
          <w:sz w:val="28"/>
          <w:szCs w:val="28"/>
        </w:rPr>
        <w:footnoteReference w:id="10"/>
      </w:r>
      <w:r w:rsidR="00F070AB" w:rsidRPr="00C67536">
        <w:rPr>
          <w:rFonts w:cs="Arial"/>
          <w:sz w:val="28"/>
          <w:szCs w:val="28"/>
        </w:rPr>
        <w:t>.</w:t>
      </w:r>
    </w:p>
    <w:p w14:paraId="6764F203" w14:textId="77777777" w:rsidR="00534BA8" w:rsidRPr="00C67536" w:rsidRDefault="00534BA8" w:rsidP="00534BA8">
      <w:pPr>
        <w:pStyle w:val="ListParagraph"/>
        <w:rPr>
          <w:rFonts w:ascii="Arial" w:hAnsi="Arial" w:cs="Arial"/>
          <w:sz w:val="28"/>
          <w:szCs w:val="28"/>
        </w:rPr>
      </w:pPr>
    </w:p>
    <w:p w14:paraId="27E2551B" w14:textId="77777777" w:rsidR="00534BA8" w:rsidRPr="00C67536" w:rsidRDefault="00720AB7"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rPr>
        <w:t>En el entendido de que el cumplimiento de dichos criterios requiere de un mínimo y no de un máximo de justificación. Es decir, basta que la intervención legislativa persiga una finalidad objetiva y constitucionalmente válida; la elección del medio para cumplir tal finalidad no conlleva a exigirle al legislador que dentro de los medios disponibles justifique cuál de todos ellos cumple en todos los grados (cuantitativo, cualitativo y de probabilidad) o niveles de intensidad (eficacia, rapidez, plenitud y seguridad), sino únicamente determinar si el medio elegido es idóneo, exigiéndose un mínimo y no un máximo de idoneidad y, finalmente, debe existir una correspondencia proporcional mínima entre el medio elegido y el fin buscado que justifique la intervención legislativa diferenciada entre los sujetos comparables.</w:t>
      </w:r>
      <w:r w:rsidRPr="00C67536">
        <w:rPr>
          <w:rStyle w:val="FootnoteReference"/>
          <w:rFonts w:cs="Arial"/>
          <w:sz w:val="28"/>
          <w:szCs w:val="28"/>
        </w:rPr>
        <w:footnoteReference w:id="11"/>
      </w:r>
      <w:r w:rsidRPr="00C67536">
        <w:rPr>
          <w:rFonts w:cs="Arial"/>
          <w:sz w:val="28"/>
          <w:szCs w:val="28"/>
        </w:rPr>
        <w:t xml:space="preserve">   </w:t>
      </w:r>
    </w:p>
    <w:p w14:paraId="434A27AE" w14:textId="77777777" w:rsidR="00534BA8" w:rsidRPr="00C67536" w:rsidRDefault="00534BA8" w:rsidP="00534BA8">
      <w:pPr>
        <w:pStyle w:val="corte4fondo"/>
        <w:ind w:firstLine="0"/>
        <w:rPr>
          <w:rFonts w:eastAsiaTheme="minorHAnsi" w:cs="Arial"/>
          <w:bCs/>
          <w:sz w:val="28"/>
          <w:szCs w:val="28"/>
          <w:lang w:eastAsia="en-US"/>
        </w:rPr>
      </w:pPr>
    </w:p>
    <w:p w14:paraId="179F9961" w14:textId="77777777" w:rsidR="005F50DF" w:rsidRPr="00C67536" w:rsidRDefault="00720AB7" w:rsidP="00B144AE">
      <w:pPr>
        <w:pStyle w:val="corte4fondo"/>
        <w:numPr>
          <w:ilvl w:val="0"/>
          <w:numId w:val="15"/>
        </w:numPr>
        <w:ind w:left="0" w:hanging="567"/>
        <w:rPr>
          <w:rStyle w:val="Heading1Char"/>
          <w:rFonts w:ascii="Arial" w:eastAsiaTheme="minorHAnsi" w:hAnsi="Arial" w:cs="Arial"/>
          <w:bCs/>
          <w:color w:val="auto"/>
          <w:sz w:val="28"/>
          <w:szCs w:val="28"/>
          <w:lang w:eastAsia="en-US"/>
        </w:rPr>
      </w:pPr>
      <w:r w:rsidRPr="00C67536">
        <w:rPr>
          <w:rStyle w:val="Heading1Char"/>
          <w:rFonts w:ascii="Arial" w:hAnsi="Arial" w:cs="Arial"/>
          <w:bCs/>
          <w:color w:val="auto"/>
          <w:sz w:val="28"/>
          <w:szCs w:val="28"/>
        </w:rPr>
        <w:t xml:space="preserve">Ahora, para el caso que nos ocupa, a juicio de este Tribunal Pleno la validez de la medida legislativa impugnada debe ser analizada a partir de un </w:t>
      </w:r>
      <w:r w:rsidRPr="00C67536">
        <w:rPr>
          <w:rStyle w:val="Heading1Char"/>
          <w:rFonts w:ascii="Arial" w:hAnsi="Arial" w:cs="Arial"/>
          <w:b/>
          <w:color w:val="auto"/>
          <w:sz w:val="28"/>
          <w:szCs w:val="28"/>
        </w:rPr>
        <w:t>escrutinio ordinario</w:t>
      </w:r>
      <w:r w:rsidRPr="00C67536">
        <w:rPr>
          <w:rStyle w:val="Heading1Char"/>
          <w:rFonts w:ascii="Arial" w:hAnsi="Arial" w:cs="Arial"/>
          <w:bCs/>
          <w:color w:val="auto"/>
          <w:sz w:val="28"/>
          <w:szCs w:val="28"/>
        </w:rPr>
        <w:t xml:space="preserve">. </w:t>
      </w:r>
    </w:p>
    <w:p w14:paraId="60CBC9D8" w14:textId="77777777" w:rsidR="005F50DF" w:rsidRPr="00C67536" w:rsidRDefault="005F50DF" w:rsidP="005F50DF">
      <w:pPr>
        <w:pStyle w:val="ListParagraph"/>
        <w:rPr>
          <w:rStyle w:val="Heading1Char"/>
          <w:rFonts w:ascii="Arial" w:hAnsi="Arial" w:cs="Arial"/>
          <w:bCs/>
          <w:color w:val="auto"/>
          <w:sz w:val="28"/>
          <w:szCs w:val="28"/>
        </w:rPr>
      </w:pPr>
    </w:p>
    <w:p w14:paraId="0523918B" w14:textId="77777777" w:rsidR="005F50DF" w:rsidRPr="00C67536" w:rsidRDefault="00720AB7" w:rsidP="00B144AE">
      <w:pPr>
        <w:pStyle w:val="corte4fondo"/>
        <w:numPr>
          <w:ilvl w:val="0"/>
          <w:numId w:val="15"/>
        </w:numPr>
        <w:ind w:left="0" w:hanging="567"/>
        <w:rPr>
          <w:rStyle w:val="Heading1Char"/>
          <w:rFonts w:ascii="Arial" w:eastAsiaTheme="minorHAnsi" w:hAnsi="Arial" w:cs="Arial"/>
          <w:bCs/>
          <w:color w:val="auto"/>
          <w:sz w:val="28"/>
          <w:szCs w:val="28"/>
          <w:lang w:eastAsia="en-US"/>
        </w:rPr>
      </w:pPr>
      <w:r w:rsidRPr="00C67536">
        <w:rPr>
          <w:rStyle w:val="Heading1Char"/>
          <w:rFonts w:ascii="Arial" w:hAnsi="Arial" w:cs="Arial"/>
          <w:bCs/>
          <w:color w:val="auto"/>
          <w:sz w:val="28"/>
          <w:szCs w:val="28"/>
        </w:rPr>
        <w:t>Esto es así, en primer lugar, porque el diseño legislativo de las porciones normativas impugnadas no hace distinción alguna en perjuicio de una categoría sospechosa.</w:t>
      </w:r>
    </w:p>
    <w:p w14:paraId="40932949" w14:textId="77777777" w:rsidR="005F50DF" w:rsidRPr="00C67536" w:rsidRDefault="005F50DF" w:rsidP="005F50DF">
      <w:pPr>
        <w:pStyle w:val="ListParagraph"/>
        <w:rPr>
          <w:rStyle w:val="Heading1Char"/>
          <w:rFonts w:ascii="Arial" w:hAnsi="Arial" w:cs="Arial"/>
          <w:bCs/>
          <w:color w:val="auto"/>
          <w:sz w:val="28"/>
          <w:szCs w:val="28"/>
        </w:rPr>
      </w:pPr>
    </w:p>
    <w:p w14:paraId="4B1186AB" w14:textId="77777777" w:rsidR="00F26CC7" w:rsidRPr="00C67536" w:rsidRDefault="00720AB7" w:rsidP="00B144AE">
      <w:pPr>
        <w:pStyle w:val="corte4fondo"/>
        <w:numPr>
          <w:ilvl w:val="0"/>
          <w:numId w:val="15"/>
        </w:numPr>
        <w:ind w:left="0" w:hanging="567"/>
        <w:rPr>
          <w:rFonts w:eastAsiaTheme="minorHAnsi" w:cs="Arial"/>
          <w:bCs/>
          <w:sz w:val="28"/>
          <w:szCs w:val="28"/>
          <w:lang w:eastAsia="en-US"/>
        </w:rPr>
      </w:pPr>
      <w:r w:rsidRPr="00C67536">
        <w:rPr>
          <w:rStyle w:val="Heading1Char"/>
          <w:rFonts w:ascii="Arial" w:hAnsi="Arial" w:cs="Arial"/>
          <w:bCs/>
          <w:color w:val="auto"/>
          <w:sz w:val="28"/>
          <w:szCs w:val="28"/>
        </w:rPr>
        <w:t xml:space="preserve">En segundo lugar, porque el sistema de etiquetado frontal de advertencia previsto en los numerales impugnados </w:t>
      </w:r>
      <w:r w:rsidRPr="00C67536">
        <w:rPr>
          <w:rFonts w:cs="Arial"/>
          <w:sz w:val="28"/>
          <w:szCs w:val="28"/>
        </w:rPr>
        <w:t>—</w:t>
      </w:r>
      <w:r w:rsidRPr="00C67536">
        <w:rPr>
          <w:rStyle w:val="Heading1Char"/>
          <w:rFonts w:ascii="Arial" w:hAnsi="Arial" w:cs="Arial"/>
          <w:bCs/>
          <w:color w:val="auto"/>
          <w:sz w:val="28"/>
          <w:szCs w:val="28"/>
        </w:rPr>
        <w:t>visto desde el punto de vista de quien comparece al juicio a demandar la protección de la justicia federal</w:t>
      </w:r>
      <w:r w:rsidR="00F26CC7" w:rsidRPr="00C67536">
        <w:rPr>
          <w:rFonts w:cs="Arial"/>
          <w:sz w:val="28"/>
          <w:szCs w:val="28"/>
        </w:rPr>
        <w:t>-</w:t>
      </w:r>
      <w:r w:rsidRPr="00C67536">
        <w:rPr>
          <w:rStyle w:val="Heading1Char"/>
          <w:rFonts w:ascii="Arial" w:hAnsi="Arial" w:cs="Arial"/>
          <w:bCs/>
          <w:color w:val="auto"/>
          <w:sz w:val="28"/>
          <w:szCs w:val="28"/>
        </w:rPr>
        <w:t xml:space="preserve">, simplemente se limita a imponer </w:t>
      </w:r>
      <w:r w:rsidRPr="00C67536">
        <w:rPr>
          <w:rFonts w:cs="Arial"/>
          <w:bCs/>
          <w:sz w:val="28"/>
          <w:szCs w:val="28"/>
          <w:lang w:val="es-ES"/>
        </w:rPr>
        <w:t>ciertas cargas</w:t>
      </w:r>
      <w:r w:rsidRPr="00C67536">
        <w:rPr>
          <w:rStyle w:val="Heading1Char"/>
          <w:rFonts w:ascii="Arial" w:hAnsi="Arial" w:cs="Arial"/>
          <w:bCs/>
          <w:color w:val="auto"/>
          <w:sz w:val="28"/>
          <w:szCs w:val="28"/>
        </w:rPr>
        <w:t xml:space="preserve"> administrativas a los productores y comercializadoras </w:t>
      </w:r>
      <w:r w:rsidRPr="00C67536">
        <w:rPr>
          <w:rFonts w:cs="Arial"/>
          <w:bCs/>
          <w:sz w:val="28"/>
          <w:szCs w:val="28"/>
          <w:lang w:val="es-ES"/>
        </w:rPr>
        <w:t xml:space="preserve">de alimentos y bebidas no alcohólicas preenvasadas, a fin de garantizar el derecho de protección a la salud del público consumidor. </w:t>
      </w:r>
    </w:p>
    <w:p w14:paraId="7A682EA0" w14:textId="77777777" w:rsidR="00F26CC7" w:rsidRPr="00C67536" w:rsidRDefault="00F26CC7" w:rsidP="00F26CC7">
      <w:pPr>
        <w:pStyle w:val="ListParagraph"/>
        <w:rPr>
          <w:rFonts w:ascii="Arial" w:hAnsi="Arial" w:cs="Arial"/>
          <w:bCs/>
          <w:sz w:val="28"/>
          <w:szCs w:val="28"/>
          <w:lang w:val="es-ES"/>
        </w:rPr>
      </w:pPr>
    </w:p>
    <w:p w14:paraId="35150B84" w14:textId="5270C3BA" w:rsidR="00720AB7" w:rsidRPr="00C67536" w:rsidRDefault="00720AB7" w:rsidP="00B144AE">
      <w:pPr>
        <w:pStyle w:val="corte4fondo"/>
        <w:numPr>
          <w:ilvl w:val="0"/>
          <w:numId w:val="15"/>
        </w:numPr>
        <w:ind w:left="0" w:hanging="567"/>
        <w:rPr>
          <w:rFonts w:eastAsiaTheme="minorHAnsi" w:cs="Arial"/>
          <w:bCs/>
          <w:sz w:val="28"/>
          <w:szCs w:val="28"/>
          <w:lang w:eastAsia="en-US"/>
        </w:rPr>
      </w:pPr>
      <w:r w:rsidRPr="00C67536">
        <w:rPr>
          <w:rFonts w:cs="Arial"/>
          <w:bCs/>
          <w:sz w:val="28"/>
          <w:szCs w:val="28"/>
          <w:lang w:val="es-ES"/>
        </w:rPr>
        <w:t>Lo que significa que la regulación del legislador no incide directamente en algún derecho fundamental del que sea titular la parte quejosa, que amerite una motivación reforzada, como en el caso del derecho a la protección a la salud.</w:t>
      </w:r>
    </w:p>
    <w:p w14:paraId="0367A1FF" w14:textId="77777777" w:rsidR="00720AB7" w:rsidRPr="00C67536" w:rsidRDefault="00720AB7" w:rsidP="00720AB7">
      <w:pPr>
        <w:pStyle w:val="ListParagraph"/>
        <w:rPr>
          <w:rFonts w:ascii="Arial" w:hAnsi="Arial" w:cs="Arial"/>
          <w:bCs/>
          <w:sz w:val="28"/>
          <w:szCs w:val="28"/>
          <w:lang w:val="es-ES"/>
        </w:rPr>
      </w:pPr>
    </w:p>
    <w:p w14:paraId="1949228D" w14:textId="77777777" w:rsidR="009406A1" w:rsidRPr="00C67536" w:rsidRDefault="00720AB7" w:rsidP="00B144AE">
      <w:pPr>
        <w:pStyle w:val="corte4fondo"/>
        <w:numPr>
          <w:ilvl w:val="0"/>
          <w:numId w:val="15"/>
        </w:numPr>
        <w:ind w:left="0" w:hanging="567"/>
        <w:rPr>
          <w:rFonts w:eastAsiaTheme="minorHAnsi" w:cs="Arial"/>
          <w:bCs/>
          <w:sz w:val="28"/>
          <w:szCs w:val="28"/>
          <w:lang w:eastAsia="en-US"/>
        </w:rPr>
      </w:pPr>
      <w:r w:rsidRPr="00C67536">
        <w:rPr>
          <w:rFonts w:cs="Arial"/>
          <w:sz w:val="28"/>
          <w:szCs w:val="28"/>
          <w:lang w:val="es-ES"/>
        </w:rPr>
        <w:t xml:space="preserve">Precisado lo anterior, se procede al análisis de la </w:t>
      </w:r>
      <w:r w:rsidRPr="00C67536">
        <w:rPr>
          <w:rStyle w:val="Heading1Char"/>
          <w:rFonts w:ascii="Arial" w:hAnsi="Arial" w:cs="Arial"/>
          <w:bCs/>
          <w:color w:val="auto"/>
          <w:sz w:val="28"/>
          <w:szCs w:val="28"/>
        </w:rPr>
        <w:t>validez constitucional de la medida legislativa impugnada, a partir de un escrutinio ordinario.</w:t>
      </w:r>
    </w:p>
    <w:p w14:paraId="3825C04F" w14:textId="77777777" w:rsidR="00C93DA1" w:rsidRPr="00C67536" w:rsidRDefault="00C93DA1" w:rsidP="00C93DA1">
      <w:pPr>
        <w:pStyle w:val="ListParagraph"/>
        <w:rPr>
          <w:rFonts w:cs="Arial"/>
          <w:b/>
          <w:sz w:val="28"/>
          <w:szCs w:val="28"/>
        </w:rPr>
      </w:pPr>
    </w:p>
    <w:p w14:paraId="177D6405" w14:textId="4E4DB85A" w:rsidR="00F74282" w:rsidRPr="00C67536" w:rsidRDefault="004801FA" w:rsidP="00EE740D">
      <w:pPr>
        <w:pStyle w:val="corte4fondo"/>
        <w:numPr>
          <w:ilvl w:val="0"/>
          <w:numId w:val="15"/>
        </w:numPr>
        <w:ind w:left="0" w:hanging="567"/>
        <w:rPr>
          <w:rFonts w:eastAsiaTheme="minorHAnsi" w:cs="Arial"/>
          <w:bCs/>
          <w:sz w:val="28"/>
          <w:szCs w:val="28"/>
          <w:lang w:eastAsia="en-US"/>
        </w:rPr>
      </w:pPr>
      <w:r w:rsidRPr="00C67536">
        <w:rPr>
          <w:rFonts w:cs="Arial"/>
          <w:b/>
          <w:sz w:val="28"/>
          <w:szCs w:val="28"/>
        </w:rPr>
        <w:t>Primera etapa del test de proporcionalidad (</w:t>
      </w:r>
      <w:r w:rsidR="00743F8C" w:rsidRPr="00C67536">
        <w:rPr>
          <w:rFonts w:cs="Arial"/>
          <w:b/>
          <w:sz w:val="28"/>
          <w:szCs w:val="28"/>
        </w:rPr>
        <w:t>fin constitucionalmente valido)</w:t>
      </w:r>
      <w:r w:rsidR="0098078F" w:rsidRPr="00C67536">
        <w:rPr>
          <w:rFonts w:cs="Arial"/>
          <w:b/>
          <w:sz w:val="28"/>
          <w:szCs w:val="28"/>
        </w:rPr>
        <w:t xml:space="preserve">. </w:t>
      </w:r>
      <w:r w:rsidR="00EE740D" w:rsidRPr="00C67536">
        <w:rPr>
          <w:rFonts w:eastAsiaTheme="minorHAnsi" w:cs="Arial"/>
          <w:bCs/>
          <w:sz w:val="28"/>
          <w:szCs w:val="28"/>
          <w:lang w:eastAsia="en-US"/>
        </w:rPr>
        <w:t>Es importante señalar que</w:t>
      </w:r>
      <w:r w:rsidR="00A53C31" w:rsidRPr="00C67536">
        <w:rPr>
          <w:rFonts w:eastAsiaTheme="minorHAnsi" w:cs="Arial"/>
          <w:bCs/>
          <w:sz w:val="28"/>
          <w:szCs w:val="28"/>
          <w:lang w:eastAsia="en-US"/>
        </w:rPr>
        <w:t xml:space="preserve"> los agravios no se encuentran dirigidos a combatir esta grada.</w:t>
      </w:r>
    </w:p>
    <w:p w14:paraId="4E22FC8D" w14:textId="77777777" w:rsidR="00C44F8B" w:rsidRPr="00C67536" w:rsidRDefault="00C44F8B" w:rsidP="00C44F8B">
      <w:pPr>
        <w:pStyle w:val="ListParagraph"/>
        <w:rPr>
          <w:rFonts w:ascii="Arial" w:eastAsiaTheme="minorHAnsi" w:hAnsi="Arial" w:cs="Arial"/>
          <w:bCs/>
          <w:sz w:val="28"/>
          <w:szCs w:val="28"/>
          <w:lang w:eastAsia="en-US"/>
        </w:rPr>
      </w:pPr>
    </w:p>
    <w:p w14:paraId="26608493" w14:textId="77777777" w:rsidR="00FA2893" w:rsidRPr="00C67536" w:rsidRDefault="00C44F8B" w:rsidP="00FA2893">
      <w:pPr>
        <w:pStyle w:val="corte4fondo"/>
        <w:numPr>
          <w:ilvl w:val="0"/>
          <w:numId w:val="15"/>
        </w:numPr>
        <w:ind w:left="0" w:hanging="567"/>
        <w:rPr>
          <w:rStyle w:val="Heading1Char"/>
          <w:rFonts w:ascii="Arial" w:eastAsia="Times New Roman" w:hAnsi="Arial" w:cs="Arial"/>
          <w:color w:val="auto"/>
          <w:sz w:val="28"/>
          <w:szCs w:val="28"/>
        </w:rPr>
      </w:pPr>
      <w:r w:rsidRPr="00C67536">
        <w:rPr>
          <w:rFonts w:eastAsiaTheme="minorHAnsi" w:cs="Arial"/>
          <w:bCs/>
          <w:sz w:val="28"/>
          <w:szCs w:val="28"/>
          <w:lang w:eastAsia="en-US"/>
        </w:rPr>
        <w:t>Sin embargo, para</w:t>
      </w:r>
      <w:r w:rsidR="003F145A" w:rsidRPr="00C67536">
        <w:rPr>
          <w:rFonts w:eastAsiaTheme="minorHAnsi" w:cs="Arial"/>
          <w:bCs/>
          <w:sz w:val="28"/>
          <w:szCs w:val="28"/>
          <w:lang w:eastAsia="en-US"/>
        </w:rPr>
        <w:t xml:space="preserve"> fundar y motivar las siguientes gradas, es necesario</w:t>
      </w:r>
      <w:r w:rsidR="00FA2893" w:rsidRPr="00C67536">
        <w:rPr>
          <w:rFonts w:eastAsiaTheme="minorHAnsi" w:cs="Arial"/>
          <w:bCs/>
          <w:sz w:val="28"/>
          <w:szCs w:val="28"/>
          <w:lang w:eastAsia="en-US"/>
        </w:rPr>
        <w:t xml:space="preserve"> </w:t>
      </w:r>
      <w:r w:rsidR="00FA2893" w:rsidRPr="00C67536">
        <w:rPr>
          <w:rStyle w:val="Heading1Char"/>
          <w:rFonts w:ascii="Arial" w:hAnsi="Arial" w:cs="Arial"/>
          <w:color w:val="auto"/>
          <w:sz w:val="28"/>
          <w:szCs w:val="28"/>
          <w:lang w:val="es-ES"/>
        </w:rPr>
        <w:t>identificar cuáles fueron los fines perseguidos por el legislador.</w:t>
      </w:r>
    </w:p>
    <w:p w14:paraId="5FCAB6F8" w14:textId="77777777" w:rsidR="00FA2893" w:rsidRPr="00C67536" w:rsidRDefault="00FA2893" w:rsidP="00FA2893">
      <w:pPr>
        <w:pStyle w:val="ListParagraph"/>
        <w:rPr>
          <w:rStyle w:val="Heading1Char"/>
          <w:rFonts w:ascii="Arial" w:hAnsi="Arial" w:cs="Arial"/>
          <w:color w:val="auto"/>
          <w:sz w:val="28"/>
          <w:szCs w:val="28"/>
          <w:lang w:val="es-ES"/>
        </w:rPr>
      </w:pPr>
    </w:p>
    <w:p w14:paraId="588EE721" w14:textId="77777777" w:rsidR="00FA2893" w:rsidRPr="00C67536" w:rsidRDefault="00FA2893" w:rsidP="00FA2893">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Para ello, resulta importante acudir a los trabajos legislativos que precedieron a la reforma de la Ley General de Salud, publicada en el Diario Oficial de la Federación el ocho de noviembre de dos mil diecinueve.</w:t>
      </w:r>
    </w:p>
    <w:p w14:paraId="7D45B89F" w14:textId="77777777" w:rsidR="00FA2893" w:rsidRPr="00C67536" w:rsidRDefault="00FA2893" w:rsidP="00FA2893">
      <w:pPr>
        <w:pStyle w:val="ListParagraph"/>
        <w:rPr>
          <w:rStyle w:val="Heading1Char"/>
          <w:rFonts w:ascii="Arial" w:hAnsi="Arial" w:cs="Arial"/>
          <w:color w:val="auto"/>
          <w:sz w:val="28"/>
          <w:szCs w:val="28"/>
          <w:lang w:val="es-ES"/>
        </w:rPr>
      </w:pPr>
    </w:p>
    <w:p w14:paraId="1F6C70BE" w14:textId="77777777" w:rsidR="00FA2893" w:rsidRPr="00C67536" w:rsidRDefault="00FA2893" w:rsidP="00FA2893">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 xml:space="preserve"> Así, por ejemplo, del dictamen de la Comisión de Salud de la Cámara de Diputados a las iniciativas con proyecto de Decreto por el que se adicionan y reforman diversos artículos de la Ley General de Salud en materia de sobrepeso, obesidad y etiquetado frontal de advertencia de alimentos y bebidas no alcohólicas, en lo que aquí interesa, se desprende lo siguiente:</w:t>
      </w:r>
    </w:p>
    <w:p w14:paraId="48D4AFB5" w14:textId="77777777" w:rsidR="00EC12EA" w:rsidRPr="00C67536" w:rsidRDefault="00EC12EA" w:rsidP="00EC12EA">
      <w:pPr>
        <w:pStyle w:val="ListParagraph"/>
        <w:ind w:left="709" w:right="616"/>
        <w:rPr>
          <w:rFonts w:ascii="Arial" w:hAnsi="Arial" w:cs="Arial"/>
          <w:sz w:val="28"/>
          <w:szCs w:val="28"/>
        </w:rPr>
      </w:pPr>
    </w:p>
    <w:p w14:paraId="3A738A29" w14:textId="4B811E37" w:rsidR="00FA2893" w:rsidRPr="00C67536" w:rsidRDefault="00FA2893" w:rsidP="00D3671F">
      <w:pPr>
        <w:pStyle w:val="ListParagraph"/>
        <w:ind w:left="709" w:right="616"/>
        <w:jc w:val="both"/>
        <w:rPr>
          <w:rFonts w:ascii="Arial" w:hAnsi="Arial" w:cs="Arial"/>
          <w:sz w:val="26"/>
          <w:szCs w:val="26"/>
        </w:rPr>
      </w:pPr>
      <w:r w:rsidRPr="00C67536">
        <w:rPr>
          <w:rFonts w:ascii="Arial" w:hAnsi="Arial" w:cs="Arial"/>
          <w:sz w:val="26"/>
          <w:szCs w:val="26"/>
        </w:rPr>
        <w:t>“[…] A) FUNDAMENTO JURÍDICO DE LOS DERECHOS HUMANOS</w:t>
      </w:r>
      <w:r w:rsidR="00D3671F">
        <w:rPr>
          <w:rFonts w:ascii="Arial" w:hAnsi="Arial" w:cs="Arial"/>
          <w:sz w:val="26"/>
          <w:szCs w:val="26"/>
        </w:rPr>
        <w:t>.</w:t>
      </w:r>
    </w:p>
    <w:p w14:paraId="6B25D4EA" w14:textId="77777777" w:rsidR="00FA2893" w:rsidRPr="00C67536" w:rsidRDefault="00FA2893" w:rsidP="00EC12EA">
      <w:pPr>
        <w:pStyle w:val="ListParagraph"/>
        <w:ind w:left="709" w:right="616"/>
        <w:jc w:val="both"/>
        <w:rPr>
          <w:rFonts w:ascii="Arial" w:hAnsi="Arial" w:cs="Arial"/>
          <w:sz w:val="26"/>
          <w:szCs w:val="26"/>
        </w:rPr>
      </w:pPr>
      <w:r w:rsidRPr="00C67536">
        <w:rPr>
          <w:rFonts w:ascii="Arial" w:hAnsi="Arial" w:cs="Arial"/>
          <w:sz w:val="26"/>
          <w:szCs w:val="26"/>
        </w:rPr>
        <w:t>Los integrantes de la Comisión de Salud de la Cámara de Diputados consideramos necesario y urgente avanzar en los mecanismos jurídicos que permitan ejercer a plenitud el derecho a la protección de la salud y a la alimentación nutritiva, suficiente y de calidad que poseen todos los mexicanos, acorde con el artículo 4º, así como el derecho al acceso a la información consagrado en el artículo 6º, todos de la Constitución Política de los Estados Unidos Mexicanos (CPEM), la que a su vez, a través de la fracción XVI del artículo 73, dota a esta soberanía con la facultad legislativa en materia de salubridad general en la República y establece las bases jurídicas para dar tratamiento desde el ámbito legislativo a los temas de sobrepeso, obesidad y etiquetado de alimentos y bebidas no alcohólicas.</w:t>
      </w:r>
    </w:p>
    <w:p w14:paraId="256600D5" w14:textId="77777777" w:rsidR="00FA2893" w:rsidRPr="00C67536" w:rsidRDefault="00FA2893" w:rsidP="00FA2893">
      <w:pPr>
        <w:pStyle w:val="ListParagraph"/>
        <w:ind w:left="709" w:right="616"/>
        <w:jc w:val="both"/>
        <w:rPr>
          <w:rFonts w:ascii="Arial" w:hAnsi="Arial" w:cs="Arial"/>
          <w:sz w:val="26"/>
          <w:szCs w:val="26"/>
        </w:rPr>
      </w:pPr>
    </w:p>
    <w:p w14:paraId="553AAD8A"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De esta manera, en nuestro país, el Estado no sólo tiene la obligación de garantizar a toda persona el derecho a la protección a la salud, sino el interés constitucional de procurarles a las personas en lo individual y social, un adecuado estado de salud y bienestar en términos de su artículo cuarto constitucional; del que deriva el marco normativo que permite el acceso a los servicios de salud y su correcta atención.</w:t>
      </w:r>
    </w:p>
    <w:p w14:paraId="47206FE2" w14:textId="77777777" w:rsidR="00FA2893" w:rsidRPr="00C67536" w:rsidRDefault="00FA2893" w:rsidP="00FA2893">
      <w:pPr>
        <w:pStyle w:val="ListParagraph"/>
        <w:ind w:left="709" w:right="616"/>
        <w:jc w:val="both"/>
        <w:rPr>
          <w:rFonts w:ascii="Arial" w:hAnsi="Arial" w:cs="Arial"/>
          <w:sz w:val="26"/>
          <w:szCs w:val="26"/>
        </w:rPr>
      </w:pPr>
    </w:p>
    <w:p w14:paraId="42710865"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 xml:space="preserve">Por lo que, esta comisión dictaminadora comparte la preocupación de los proponentes en torno a la necesidad de dar el primer paso en la implementación de una estrategia que promueva soluciones contundentes frente a la epidemia de obesidad, sobrepeso y la diabetes que se vive en el país. Desde el poder legislativo consideramos importante realizar las reformas necesarias que establezcan las bases de un marco legal que priorice los </w:t>
      </w:r>
      <w:r w:rsidRPr="00C67536">
        <w:rPr>
          <w:rFonts w:ascii="Arial" w:hAnsi="Arial" w:cs="Arial"/>
          <w:sz w:val="26"/>
          <w:szCs w:val="26"/>
          <w:u w:val="single"/>
        </w:rPr>
        <w:t>derechos</w:t>
      </w:r>
      <w:r w:rsidRPr="00C67536">
        <w:rPr>
          <w:rFonts w:ascii="Arial" w:hAnsi="Arial" w:cs="Arial"/>
          <w:sz w:val="26"/>
          <w:szCs w:val="26"/>
        </w:rPr>
        <w:t xml:space="preserve"> a la salud, alimentación, información y el interés superior de la infancia </w:t>
      </w:r>
      <w:r w:rsidRPr="00C67536">
        <w:rPr>
          <w:rFonts w:ascii="Arial" w:hAnsi="Arial" w:cs="Arial"/>
          <w:sz w:val="26"/>
          <w:szCs w:val="26"/>
          <w:u w:val="single"/>
        </w:rPr>
        <w:t>sobre cualquier interés económico de las industrias</w:t>
      </w:r>
      <w:r w:rsidRPr="00C67536">
        <w:rPr>
          <w:rFonts w:ascii="Arial" w:hAnsi="Arial" w:cs="Arial"/>
          <w:sz w:val="26"/>
          <w:szCs w:val="26"/>
        </w:rPr>
        <w:t xml:space="preserve"> que promuevan productos que excedan de sustancias dañinas para la salud como calorías, azucares añadidos, grasas y sodio, y que representan factores de riesgo para el desarrollo de enfermedades crónicas no transmisibles como la diabetes y la hipertensión como la evidencia científica lo ha demostrado.</w:t>
      </w:r>
    </w:p>
    <w:p w14:paraId="055BD5A0" w14:textId="77777777" w:rsidR="00FA2893" w:rsidRPr="00C67536" w:rsidRDefault="00FA2893" w:rsidP="00FA2893">
      <w:pPr>
        <w:pStyle w:val="ListParagraph"/>
        <w:ind w:left="709" w:right="616"/>
        <w:jc w:val="both"/>
        <w:rPr>
          <w:rFonts w:ascii="Arial" w:hAnsi="Arial" w:cs="Arial"/>
          <w:sz w:val="26"/>
          <w:szCs w:val="26"/>
        </w:rPr>
      </w:pPr>
    </w:p>
    <w:p w14:paraId="2F1F00D1"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B) SITUACIÓN DE LA OBESIDAD, SOBREPESO Y DIABETES EN LA POBLACIÓN MEXICANA.</w:t>
      </w:r>
    </w:p>
    <w:p w14:paraId="536F136A" w14:textId="77777777" w:rsidR="00FA2893" w:rsidRPr="00C67536" w:rsidRDefault="00FA2893" w:rsidP="00FA2893">
      <w:pPr>
        <w:pStyle w:val="ListParagraph"/>
        <w:ind w:left="709" w:right="616"/>
        <w:jc w:val="both"/>
        <w:rPr>
          <w:rFonts w:ascii="Arial" w:hAnsi="Arial" w:cs="Arial"/>
          <w:sz w:val="26"/>
          <w:szCs w:val="26"/>
        </w:rPr>
      </w:pPr>
    </w:p>
    <w:p w14:paraId="674899E7"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A nivel mundial y de acuerdo a datos de la Organización Mundial de la Salud (OMS), entre 1975 y 2016, la prevalencia mundial de la obesidad se ha casi triplicado. En 2016, más de 1900 millones de adultos de 18 o más años tenían sobrepeso, de los cuales, más de 650 millones eran obesos, es decir, alrededor del 13% de la población adulta mundial (un 11% de los hombres y un 15% de las mujeres) eran obesos. Para este mismo año, se llegó a estimar que más de 41 millones de niños y niñas menores de cinco años tenían sobrepeso o eran obesos; además que en dicho año había más de 340 millones de niños y adolescentes (de 5 a 19 años) con sobrepeso u obesidad.</w:t>
      </w:r>
    </w:p>
    <w:p w14:paraId="67452F4C" w14:textId="77777777" w:rsidR="00FA2893" w:rsidRPr="00C67536" w:rsidRDefault="00FA2893" w:rsidP="00FA2893">
      <w:pPr>
        <w:pStyle w:val="ListParagraph"/>
        <w:ind w:left="709" w:right="616"/>
        <w:jc w:val="both"/>
        <w:rPr>
          <w:rFonts w:ascii="Arial" w:hAnsi="Arial" w:cs="Arial"/>
          <w:sz w:val="26"/>
          <w:szCs w:val="26"/>
        </w:rPr>
      </w:pPr>
    </w:p>
    <w:p w14:paraId="64346487" w14:textId="0DC4951A"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En el caso específico de México y acorde con la Organización para la Cooperación y el Desarrollo Económicos (OCDE), nos encontramos en el primer lugar a nivel mundial en obesidad infantil. Es decir, el 34% de la niñez en el país o lo que es, 3 de cada 10 niños y niñas entre 5 y 11 años, así como el 35% de los adolescentes entre 12 y 19 años padecen sobrepeso u obesidad. Motivo de preocupación para esta Comisión dictaminadora en virtud de que esta enfermedad comienza a deteriorar la salud desde la infancia, existen estimaciones que indican que, de que, de seguir esta tendencia, uno de cada dos niños desarrollará diabetes a lo largo de su vida.</w:t>
      </w:r>
    </w:p>
    <w:p w14:paraId="49017ACA" w14:textId="77777777" w:rsidR="00FA2893" w:rsidRPr="00C67536" w:rsidRDefault="00FA2893" w:rsidP="00FA2893">
      <w:pPr>
        <w:pStyle w:val="ListParagraph"/>
        <w:ind w:left="709" w:right="616"/>
        <w:jc w:val="both"/>
        <w:rPr>
          <w:rFonts w:ascii="Arial" w:hAnsi="Arial" w:cs="Arial"/>
          <w:sz w:val="26"/>
          <w:szCs w:val="26"/>
        </w:rPr>
      </w:pPr>
    </w:p>
    <w:p w14:paraId="58D078DD"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 xml:space="preserve">En el caso de adultos, nuestro país ocupa el segundo lugar en obesidad en esta categoría a nivel mundial. Ello, ante un escenario en el que 7 de cada 10 adultos, es decir, el 71.2% de la población mexicana padecen sobrepeso u la obesidad. Mientras que la diabetes mellitus, que en 2006, afectaba al 9.2% de la población mexicana, hoy ha alcanzado aproximadamente al 9.4% de nuestra población, lo que equivale a más de 7 millones de personas. </w:t>
      </w:r>
    </w:p>
    <w:p w14:paraId="50B99C30" w14:textId="77777777" w:rsidR="00FA2893" w:rsidRPr="00C67536" w:rsidRDefault="00FA2893" w:rsidP="00FA2893">
      <w:pPr>
        <w:pStyle w:val="ListParagraph"/>
        <w:ind w:left="709" w:right="616"/>
        <w:jc w:val="both"/>
        <w:rPr>
          <w:rFonts w:ascii="Arial" w:hAnsi="Arial" w:cs="Arial"/>
          <w:sz w:val="26"/>
          <w:szCs w:val="26"/>
        </w:rPr>
      </w:pPr>
    </w:p>
    <w:p w14:paraId="7BA9B879"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 xml:space="preserve">En ese contexto y frente a tan alarmantes cifras, en el 2016 la Secretaría de Salud emitió dos declaratorias de emergencia epidemiológica, una por obesidad y la otra por diabetes. En conferencia de prensa, el entonces Secretario de Salud, José Narro Robles dejó en claro que anualmente se registraban en el país, más de 98 mil 521 muertes por estas enfermedades y hoy sabemos que la cifra ya rebasa las 100 mil muertes cada año, constituyéndose en un problema de salud pública debido a su magnitud y trascendencia. </w:t>
      </w:r>
    </w:p>
    <w:p w14:paraId="3916EE65" w14:textId="77777777" w:rsidR="00FA2893" w:rsidRPr="00C67536" w:rsidRDefault="00FA2893" w:rsidP="00FA2893">
      <w:pPr>
        <w:pStyle w:val="ListParagraph"/>
        <w:ind w:left="709" w:right="616"/>
        <w:jc w:val="both"/>
        <w:rPr>
          <w:rFonts w:ascii="Arial" w:hAnsi="Arial" w:cs="Arial"/>
          <w:sz w:val="26"/>
          <w:szCs w:val="26"/>
        </w:rPr>
      </w:pPr>
    </w:p>
    <w:p w14:paraId="3FC47D05"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De esta manera, la obesidad se convirtió en el principal factor de riesgo para el desarrollo de enfermedades no transmisibles (ENT) o crónico degenerativas; su presencia representa un fuerte indicador de crecimiento en las tasas de enfermedades cardiovasculares (ECV), hipertensión arterial (Hta), diabetes mellitus tipo 2 (DM2), enfermedad renal crónica (ERC), problemas de articulaciones, apnea del sueño, depresión, quistes, infertilidad y dificultades reproductivas, y estudios recientes la relacionan con la aparición y progresión de al menos 12 diferentes tipos de cáncer.</w:t>
      </w:r>
    </w:p>
    <w:p w14:paraId="6FFD0AF8" w14:textId="77777777" w:rsidR="00FA2893" w:rsidRPr="00C67536" w:rsidRDefault="00FA2893" w:rsidP="00FA2893">
      <w:pPr>
        <w:pStyle w:val="ListParagraph"/>
        <w:ind w:left="709" w:right="616"/>
        <w:jc w:val="both"/>
        <w:rPr>
          <w:rFonts w:ascii="Arial" w:hAnsi="Arial" w:cs="Arial"/>
          <w:sz w:val="26"/>
          <w:szCs w:val="26"/>
        </w:rPr>
      </w:pPr>
    </w:p>
    <w:p w14:paraId="599ACA59"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 xml:space="preserve">En virtud de lo anterior, esta Comisión dictaminadora considera necesario destacar que, si bien la obesidad se caracteriza por una acumulación anormal o excesiva de grasa que es en definitiva perjudicial para la salud, también se reconoce que se trata de una respuesta ante el desequilibrio energético entre las calorías consumidas y las gastadas, motivo por el cual, se debe considerar que en algunas de las causas subyacentes, como entornos obesogénicos y a la falta de información clara para los consumidores que, tienen un nexo lógico en la problemática, al día de hoy no han sido abordados de manera seria en nuestro país. </w:t>
      </w:r>
    </w:p>
    <w:p w14:paraId="225194B9" w14:textId="77777777" w:rsidR="00FA2893" w:rsidRPr="00C67536" w:rsidRDefault="00FA2893" w:rsidP="00FA2893">
      <w:pPr>
        <w:pStyle w:val="ListParagraph"/>
        <w:ind w:left="709" w:right="616"/>
        <w:jc w:val="both"/>
        <w:rPr>
          <w:rFonts w:ascii="Arial" w:hAnsi="Arial" w:cs="Arial"/>
          <w:sz w:val="26"/>
          <w:szCs w:val="26"/>
        </w:rPr>
      </w:pPr>
    </w:p>
    <w:p w14:paraId="2EC32F43"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 xml:space="preserve">Por ello resulta necesario actuar de manera urgente sobre los determinantes sociales y comerciales de la salud que propician el crecimiento acelerado del sobrepeso y la obesidad. Y que derivan en un incremento de la ingesta de alimentos procesados y ultraprocesados de alto contenido calórico y bajo valor nutrimental, sin mencionar el decremento en la actividad física de las personas que genera elevadas tasas de mortalidad prematura y una disminución en la esperanza y calidad de vida de nuestra población. </w:t>
      </w:r>
    </w:p>
    <w:p w14:paraId="10F8DDB5" w14:textId="77777777" w:rsidR="00FA2893" w:rsidRPr="00C67536" w:rsidRDefault="00FA2893" w:rsidP="00FA2893">
      <w:pPr>
        <w:pStyle w:val="ListParagraph"/>
        <w:ind w:left="709" w:right="616"/>
        <w:jc w:val="both"/>
        <w:rPr>
          <w:rFonts w:ascii="Arial" w:hAnsi="Arial" w:cs="Arial"/>
          <w:sz w:val="26"/>
          <w:szCs w:val="26"/>
        </w:rPr>
      </w:pPr>
    </w:p>
    <w:p w14:paraId="365E1D5B"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Aunado a lo anterior y considerando que, la obesidad genera un impacto social y económico muy importante, pero sobre todo, múltiples afectaciones en la salud de las personas, en los que la mayoría de casos la cadena causal que la origina está fuera de control de las personas, la actuación del Estado para intervenir en la búsqueda de una solución a la epidemia de obesidad que enfrentamos, y para promover, respetar, proteger y garantizar el derecho a la protección de la salud, está más que justificada. Dicha observación ha sido concluida por el máximo tribunal constitucional a través de la siguiente jurisprudencia:</w:t>
      </w:r>
    </w:p>
    <w:p w14:paraId="5398F32A" w14:textId="77777777" w:rsidR="00FA2893" w:rsidRPr="00C67536" w:rsidRDefault="00FA2893" w:rsidP="00FA2893">
      <w:pPr>
        <w:pStyle w:val="ListParagraph"/>
        <w:ind w:left="709" w:right="616"/>
        <w:jc w:val="both"/>
        <w:rPr>
          <w:rFonts w:ascii="Arial" w:hAnsi="Arial" w:cs="Arial"/>
          <w:sz w:val="26"/>
          <w:szCs w:val="26"/>
        </w:rPr>
      </w:pPr>
    </w:p>
    <w:p w14:paraId="2DB57A8F"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DERECHO A LA PROTECCIÓN DE LA SALUD. DIMENSIONES INDIVIDUAL Y SOCIAL.</w:t>
      </w:r>
    </w:p>
    <w:p w14:paraId="262B93CC" w14:textId="77777777" w:rsidR="00FA2893" w:rsidRPr="00C67536" w:rsidRDefault="00FA2893" w:rsidP="00FA2893">
      <w:pPr>
        <w:pStyle w:val="ListParagraph"/>
        <w:ind w:left="709" w:right="616"/>
        <w:jc w:val="both"/>
        <w:rPr>
          <w:rFonts w:ascii="Arial" w:hAnsi="Arial" w:cs="Arial"/>
          <w:sz w:val="26"/>
          <w:szCs w:val="26"/>
        </w:rPr>
      </w:pPr>
    </w:p>
    <w:p w14:paraId="70D1B666"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w:t>
      </w:r>
    </w:p>
    <w:p w14:paraId="384F5739" w14:textId="77777777" w:rsidR="00FA2893" w:rsidRPr="00C67536" w:rsidRDefault="00FA2893" w:rsidP="00FA2893">
      <w:pPr>
        <w:pStyle w:val="ListParagraph"/>
        <w:ind w:left="709" w:right="616"/>
        <w:jc w:val="both"/>
        <w:rPr>
          <w:rFonts w:ascii="Arial" w:hAnsi="Arial" w:cs="Arial"/>
          <w:sz w:val="26"/>
          <w:szCs w:val="26"/>
        </w:rPr>
      </w:pPr>
    </w:p>
    <w:p w14:paraId="56D1FC66"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 xml:space="preserve">En la que se hace hincapié en que la interpretación social del derecho a la salud implica la obligación del Estado de atender los problemas de salud que afectan a la sociedad, como lo es el sobrepeso, la obesidad y la diabetes, así como para emprender las acciones que sean necesarias y lograr ese fin […]”. </w:t>
      </w:r>
    </w:p>
    <w:p w14:paraId="50CCB4F6" w14:textId="77777777" w:rsidR="00FA2893" w:rsidRPr="00C67536" w:rsidRDefault="00FA2893" w:rsidP="00FA2893">
      <w:pPr>
        <w:pStyle w:val="ListParagraph"/>
        <w:ind w:left="709" w:right="616"/>
        <w:jc w:val="both"/>
        <w:rPr>
          <w:rFonts w:ascii="Arial" w:hAnsi="Arial" w:cs="Arial"/>
          <w:sz w:val="26"/>
          <w:szCs w:val="26"/>
        </w:rPr>
      </w:pPr>
    </w:p>
    <w:p w14:paraId="58472E63" w14:textId="77777777" w:rsidR="00FA2893" w:rsidRPr="00C67536" w:rsidRDefault="00FA2893" w:rsidP="00FA2893">
      <w:pPr>
        <w:pStyle w:val="ListParagraph"/>
        <w:ind w:left="709" w:right="616"/>
        <w:jc w:val="both"/>
        <w:rPr>
          <w:rFonts w:ascii="Arial" w:hAnsi="Arial" w:cs="Arial"/>
          <w:sz w:val="26"/>
          <w:szCs w:val="26"/>
        </w:rPr>
      </w:pPr>
      <w:r w:rsidRPr="00C67536">
        <w:rPr>
          <w:rFonts w:ascii="Arial" w:hAnsi="Arial" w:cs="Arial"/>
          <w:sz w:val="26"/>
          <w:szCs w:val="26"/>
        </w:rPr>
        <w:t>C) ETIQUETADO FRONTAL DE ADVERTENCIA COMO PARTE DE LA ESTRATEGIA EN EL COMBATE AL SOBREPESO, LA OBESIDAD Y LA DIABETES.</w:t>
      </w:r>
    </w:p>
    <w:p w14:paraId="3DCB70D2" w14:textId="77777777" w:rsidR="00FA2893" w:rsidRPr="00C67536" w:rsidRDefault="00FA2893" w:rsidP="00FA2893">
      <w:pPr>
        <w:ind w:left="709" w:right="616"/>
        <w:jc w:val="both"/>
        <w:rPr>
          <w:rFonts w:ascii="Arial" w:hAnsi="Arial" w:cs="Arial"/>
          <w:sz w:val="26"/>
          <w:szCs w:val="26"/>
        </w:rPr>
      </w:pPr>
    </w:p>
    <w:p w14:paraId="40B3EE7F"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En el trabajo de dictaminarían, esta Comisión consideró las recomendaciones y evidencia de organismos internacionales como la Organización Mundial de la Salud, la Organización Panamericana de la Salud, la UNICEF y diversas experiencias exitosas; así como recomendaciones puntuales de los expertos referentes en la materia como son el Comité de expertos académicos nacionales del etiquetado frontal de alimentos y bebidas no alcohólicas para una mejor salud. Todos ellos concluyen que el etiquetado actual, conocido como Guías Diario de Alimentación (GDA) utiliza valores de referencia incorrectos y no se ha demostrado que sea comprendido por la población de nuestro país. Mientras que el etiquetado frontal de advertencia responde al contexto nacional de crisis de salud pública por la epidemia de sobrepeso y obesidad.</w:t>
      </w:r>
    </w:p>
    <w:p w14:paraId="51D15F8B" w14:textId="77777777" w:rsidR="00FA2893" w:rsidRPr="00C67536" w:rsidRDefault="00FA2893" w:rsidP="00FA2893">
      <w:pPr>
        <w:ind w:left="709" w:right="616"/>
        <w:jc w:val="both"/>
        <w:rPr>
          <w:rFonts w:ascii="Arial" w:hAnsi="Arial" w:cs="Arial"/>
          <w:sz w:val="26"/>
          <w:szCs w:val="26"/>
        </w:rPr>
      </w:pPr>
    </w:p>
    <w:p w14:paraId="684B366E"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El etiquetado frontal de advertencia es una herramienta de prevención y promoción de la salud pública que entra dentro de una estrategia amplia, integral y basada en evidencia sólida. Diversos planes de acción internacionales incluyen la implementación de etiquetados frontales claros como un pilar fundamental dentro de una estrategia integral de salud pública para mejorar el estado de salud y nutrición. Algunos ejemplos son el Plan de Acción para la Prevención del Sobrepeso en la Infancia y la Adolescencia de la Organización Panamericana de la Salud (OPS), que en su línea de acción estratégica número 3, recomienda “Políticas Fiscales, reglamentación de la publicidad y etiquetado de alimentos”.</w:t>
      </w:r>
    </w:p>
    <w:p w14:paraId="2873F91F" w14:textId="77777777" w:rsidR="00FA2893" w:rsidRPr="00C67536" w:rsidRDefault="00FA2893" w:rsidP="00FA2893">
      <w:pPr>
        <w:ind w:left="709" w:right="616"/>
        <w:jc w:val="both"/>
        <w:rPr>
          <w:rFonts w:ascii="Arial" w:hAnsi="Arial" w:cs="Arial"/>
          <w:sz w:val="26"/>
          <w:szCs w:val="26"/>
        </w:rPr>
      </w:pPr>
    </w:p>
    <w:p w14:paraId="0428E7F7" w14:textId="77DFE511"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 xml:space="preserve">Ahora bien, es importante recordar que al aprobar dicho Plan de Acción, México se comprometió a proteger a los niños, niñas y adolescentes de las amenazas de la obesidad, y los intereses de las industrias productoras de alimentos y bebidas; sin embargo, las evaluaciones realizadas por organizaciones de la sociedad civil como la Coalición ContraPESO, evidencia el incumplimiento a esta promesa, por lo que su instrumentación a través de las leyes es necesaria. </w:t>
      </w:r>
      <w:r w:rsidR="007D3068" w:rsidRPr="00C67536">
        <w:rPr>
          <w:rFonts w:ascii="Arial" w:hAnsi="Arial" w:cs="Arial"/>
          <w:sz w:val="26"/>
          <w:szCs w:val="26"/>
        </w:rPr>
        <w:t xml:space="preserve"> </w:t>
      </w:r>
    </w:p>
    <w:p w14:paraId="05FA51AE" w14:textId="77777777" w:rsidR="004173B9" w:rsidRPr="00C67536" w:rsidRDefault="004173B9" w:rsidP="00FA2893">
      <w:pPr>
        <w:ind w:left="709" w:right="616"/>
        <w:jc w:val="both"/>
        <w:rPr>
          <w:rFonts w:ascii="Arial" w:hAnsi="Arial" w:cs="Arial"/>
          <w:sz w:val="26"/>
          <w:szCs w:val="26"/>
        </w:rPr>
      </w:pPr>
    </w:p>
    <w:p w14:paraId="3057B012"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 xml:space="preserve">También, esta Comisión hizo caso a las recomendaciones de la “Comisión para acabar con la obesidad infantil”, integrada por un grupo de expertos internacionales quienes determinaron que en la actualidad, muchos niños y niñas crecen en un entorno obesogénico que favorece el aumento de peso y la obesidad, y que los etiquetados poco claros propician el consumo de productos malsanos altos en grasas, azucares añadidos, sodio y calorías vacías. Reconociendo que, el consumo de estos productos deteriora la calidad de la alimentación y que las poblaciones que han incrementado su consumo de productos ultraprocesados, tienen en general mayores problemas de salud que aquellas que se apegan a sus dietas tradicionales y mínimamente procesadas. </w:t>
      </w:r>
    </w:p>
    <w:p w14:paraId="2F0A6500" w14:textId="77777777" w:rsidR="00FA2893" w:rsidRPr="00C67536" w:rsidRDefault="00FA2893" w:rsidP="00FA2893">
      <w:pPr>
        <w:ind w:left="709" w:right="616"/>
        <w:jc w:val="both"/>
        <w:rPr>
          <w:rFonts w:ascii="Arial" w:hAnsi="Arial" w:cs="Arial"/>
          <w:sz w:val="26"/>
          <w:szCs w:val="26"/>
        </w:rPr>
      </w:pPr>
    </w:p>
    <w:p w14:paraId="3CD18F43"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 xml:space="preserve">En este sentido, la evidencia ha demostrado que el ultraprocesamiento de los alimentos y las bebidas son, en gran medida, responsables de que estos productos dañen a la salud. Con base en esta evidencia, existen países como Brasil que han incluso moldeado sus guías alimentarias para desaconsejar el consumo frecuente de los mismos. Por ello, se rescata la importancia de que los consumidores puedan distinguir a través de etiquetados claros y sencillos en el frente de los empaques cuando algún producto no sea saludable. </w:t>
      </w:r>
    </w:p>
    <w:p w14:paraId="4E71C426" w14:textId="77777777" w:rsidR="00FA2893" w:rsidRPr="00C67536" w:rsidRDefault="00FA2893" w:rsidP="00FA2893">
      <w:pPr>
        <w:ind w:left="709" w:right="616"/>
        <w:jc w:val="both"/>
        <w:rPr>
          <w:rFonts w:ascii="Arial" w:hAnsi="Arial" w:cs="Arial"/>
          <w:sz w:val="26"/>
          <w:szCs w:val="26"/>
        </w:rPr>
      </w:pPr>
    </w:p>
    <w:p w14:paraId="7D7EB23A"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De igual manera, esta Comisión hace hincapié en que los etiquetados varían de acuerdo a las necesidades de los países en los que son implementados, razón por la cual, un grupo de expertos nacionales independientes, a petición de la Secretaría de Salud, publicó unas recomendaciones de etiquetado para nuestra población en donde concluye que el etiquetado GDA no funciona y debe ser reemplazado por un sistema efectivo, de fácil comprensión y con criterios correctos. Además, recomiendan que se implemente un etiquetado frontal de advertencia para ingredientes críticos en los alimentos similar al que se propone en Chile, Brasil, Perú y Canadá por las siguientes razones.</w:t>
      </w:r>
    </w:p>
    <w:p w14:paraId="008865C4" w14:textId="77777777" w:rsidR="00FA2893" w:rsidRPr="00C67536" w:rsidRDefault="00FA2893" w:rsidP="00FA2893">
      <w:pPr>
        <w:ind w:left="709" w:right="616"/>
        <w:jc w:val="both"/>
        <w:rPr>
          <w:rFonts w:ascii="Arial" w:hAnsi="Arial" w:cs="Arial"/>
          <w:sz w:val="26"/>
          <w:szCs w:val="26"/>
        </w:rPr>
      </w:pPr>
    </w:p>
    <w:p w14:paraId="0BB4CC13" w14:textId="77777777" w:rsidR="00FA2893" w:rsidRPr="00C67536" w:rsidRDefault="00FA2893" w:rsidP="00FA05BE">
      <w:pPr>
        <w:pStyle w:val="ListParagraph"/>
        <w:numPr>
          <w:ilvl w:val="0"/>
          <w:numId w:val="22"/>
        </w:numPr>
        <w:spacing w:after="160" w:line="259" w:lineRule="auto"/>
        <w:ind w:left="1134" w:right="616" w:firstLine="0"/>
        <w:contextualSpacing/>
        <w:jc w:val="both"/>
        <w:rPr>
          <w:rFonts w:ascii="Arial" w:hAnsi="Arial" w:cs="Arial"/>
          <w:sz w:val="26"/>
          <w:szCs w:val="26"/>
        </w:rPr>
      </w:pPr>
      <w:r w:rsidRPr="00C67536">
        <w:rPr>
          <w:rFonts w:ascii="Arial" w:hAnsi="Arial" w:cs="Arial"/>
          <w:sz w:val="26"/>
          <w:szCs w:val="26"/>
        </w:rPr>
        <w:t>Cuenta con la mejor evidencia científica sobre su facilidad de comprensión.</w:t>
      </w:r>
    </w:p>
    <w:p w14:paraId="3205AD67" w14:textId="77777777" w:rsidR="00FA2893" w:rsidRPr="00C67536" w:rsidRDefault="00FA2893" w:rsidP="00FA05BE">
      <w:pPr>
        <w:pStyle w:val="ListParagraph"/>
        <w:numPr>
          <w:ilvl w:val="0"/>
          <w:numId w:val="22"/>
        </w:numPr>
        <w:spacing w:after="160" w:line="259" w:lineRule="auto"/>
        <w:ind w:left="1134" w:right="616" w:firstLine="0"/>
        <w:contextualSpacing/>
        <w:jc w:val="both"/>
        <w:rPr>
          <w:rFonts w:ascii="Arial" w:hAnsi="Arial" w:cs="Arial"/>
          <w:sz w:val="26"/>
          <w:szCs w:val="26"/>
        </w:rPr>
      </w:pPr>
      <w:r w:rsidRPr="00C67536">
        <w:rPr>
          <w:rFonts w:ascii="Arial" w:hAnsi="Arial" w:cs="Arial"/>
          <w:sz w:val="26"/>
          <w:szCs w:val="26"/>
        </w:rPr>
        <w:t xml:space="preserve">Es el mejor comprendido en la población mexicana. </w:t>
      </w:r>
    </w:p>
    <w:p w14:paraId="1EDA05C0" w14:textId="77777777" w:rsidR="00FA2893" w:rsidRPr="00C67536" w:rsidRDefault="00FA2893" w:rsidP="00FA05BE">
      <w:pPr>
        <w:pStyle w:val="ListParagraph"/>
        <w:numPr>
          <w:ilvl w:val="0"/>
          <w:numId w:val="22"/>
        </w:numPr>
        <w:spacing w:after="160" w:line="259" w:lineRule="auto"/>
        <w:ind w:left="1134" w:right="616" w:firstLine="0"/>
        <w:contextualSpacing/>
        <w:jc w:val="both"/>
        <w:rPr>
          <w:rFonts w:ascii="Arial" w:hAnsi="Arial" w:cs="Arial"/>
          <w:sz w:val="26"/>
          <w:szCs w:val="26"/>
        </w:rPr>
      </w:pPr>
      <w:r w:rsidRPr="00C67536">
        <w:rPr>
          <w:rFonts w:ascii="Arial" w:hAnsi="Arial" w:cs="Arial"/>
          <w:sz w:val="26"/>
          <w:szCs w:val="26"/>
        </w:rPr>
        <w:t xml:space="preserve">Al ser más simple, permite la toma de decisión en unos cuantos segundos. </w:t>
      </w:r>
    </w:p>
    <w:p w14:paraId="2D1B50DC" w14:textId="77777777" w:rsidR="00FA2893" w:rsidRPr="00C67536" w:rsidRDefault="00FA2893" w:rsidP="00FA05BE">
      <w:pPr>
        <w:pStyle w:val="ListParagraph"/>
        <w:numPr>
          <w:ilvl w:val="0"/>
          <w:numId w:val="22"/>
        </w:numPr>
        <w:spacing w:after="160" w:line="259" w:lineRule="auto"/>
        <w:ind w:left="1134" w:right="616" w:firstLine="0"/>
        <w:contextualSpacing/>
        <w:jc w:val="both"/>
        <w:rPr>
          <w:rFonts w:ascii="Arial" w:hAnsi="Arial" w:cs="Arial"/>
          <w:sz w:val="26"/>
          <w:szCs w:val="26"/>
        </w:rPr>
      </w:pPr>
      <w:r w:rsidRPr="00C67536">
        <w:rPr>
          <w:rFonts w:ascii="Arial" w:hAnsi="Arial" w:cs="Arial"/>
          <w:sz w:val="26"/>
          <w:szCs w:val="26"/>
        </w:rPr>
        <w:t>Existe evidencia de que puede ser comprendido incluso por niños.</w:t>
      </w:r>
    </w:p>
    <w:p w14:paraId="0BF9C94D" w14:textId="77777777" w:rsidR="00FA2893" w:rsidRPr="00C67536" w:rsidRDefault="00FA2893" w:rsidP="00FA05BE">
      <w:pPr>
        <w:pStyle w:val="ListParagraph"/>
        <w:numPr>
          <w:ilvl w:val="0"/>
          <w:numId w:val="22"/>
        </w:numPr>
        <w:spacing w:after="160" w:line="259" w:lineRule="auto"/>
        <w:ind w:left="1134" w:right="616" w:firstLine="0"/>
        <w:contextualSpacing/>
        <w:jc w:val="both"/>
        <w:rPr>
          <w:rFonts w:ascii="Arial" w:hAnsi="Arial" w:cs="Arial"/>
          <w:sz w:val="26"/>
          <w:szCs w:val="26"/>
        </w:rPr>
      </w:pPr>
      <w:r w:rsidRPr="00C67536">
        <w:rPr>
          <w:rFonts w:ascii="Arial" w:hAnsi="Arial" w:cs="Arial"/>
          <w:sz w:val="26"/>
          <w:szCs w:val="26"/>
        </w:rPr>
        <w:t>Es un sistema recomendado por la Organización Panamericana de la Salud y otras organizaciones internacionales y nacionales.</w:t>
      </w:r>
    </w:p>
    <w:p w14:paraId="08AC41BE"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Finalmente, esta Comisión señala que regular en la LGS el etiquetado frontal es una forma de hacer accesible el derecho a la salud de los consumidores, ya que lejos de ser una regulación prohibitiva, reconoce que el etiquetado frontal “es la única fuente de información con la que cuenta el consumidor en el punto de venta, por lo que es importante que éste sea capaz de localizar, leer, interpretar y comprender la información que se le presenta para así tomar una serie de decisiones respecto a los alimentos y bebidas que consume”, tales como “evaluar si la cantidad de un nutrimento es alta o baja, comparar el contenido de un nutrimento entre productos similares o entre diferentes tipos de producto; y decidir si consumir un producto es saludable o no”.</w:t>
      </w:r>
    </w:p>
    <w:p w14:paraId="5362B8AD" w14:textId="77777777" w:rsidR="00FA2893" w:rsidRPr="00C67536" w:rsidRDefault="00FA2893" w:rsidP="00FA2893">
      <w:pPr>
        <w:pStyle w:val="ListParagraph"/>
        <w:ind w:left="709" w:right="616"/>
        <w:jc w:val="both"/>
        <w:rPr>
          <w:rFonts w:ascii="Arial" w:hAnsi="Arial" w:cs="Arial"/>
          <w:sz w:val="26"/>
          <w:szCs w:val="26"/>
        </w:rPr>
      </w:pPr>
    </w:p>
    <w:p w14:paraId="0D53B235" w14:textId="77777777" w:rsidR="00FA2893" w:rsidRPr="00C67536" w:rsidRDefault="00FA2893" w:rsidP="00FA2893">
      <w:pPr>
        <w:pStyle w:val="ListParagraph"/>
        <w:ind w:left="709" w:right="616"/>
        <w:jc w:val="both"/>
        <w:rPr>
          <w:rFonts w:ascii="Arial" w:hAnsi="Arial" w:cs="Arial"/>
          <w:sz w:val="26"/>
          <w:szCs w:val="26"/>
        </w:rPr>
      </w:pPr>
    </w:p>
    <w:p w14:paraId="5EE865E2"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D) COSTOS PARA EL ESTADO Y EL AHORRO EN TIEMPOS DE</w:t>
      </w:r>
      <w:r w:rsidRPr="00C67536">
        <w:rPr>
          <w:rFonts w:ascii="Arial" w:hAnsi="Arial" w:cs="Arial"/>
          <w:w w:val="102"/>
          <w:sz w:val="26"/>
          <w:szCs w:val="26"/>
        </w:rPr>
        <w:t xml:space="preserve"> </w:t>
      </w:r>
      <w:r w:rsidRPr="00C67536">
        <w:rPr>
          <w:rFonts w:ascii="Arial" w:hAnsi="Arial" w:cs="Arial"/>
          <w:sz w:val="26"/>
          <w:szCs w:val="26"/>
        </w:rPr>
        <w:t>AUSTERIDAD.</w:t>
      </w:r>
    </w:p>
    <w:p w14:paraId="149965A6" w14:textId="77777777" w:rsidR="00FA2893" w:rsidRPr="00C67536" w:rsidRDefault="00FA2893" w:rsidP="00FA2893">
      <w:pPr>
        <w:ind w:left="709" w:right="616"/>
        <w:jc w:val="both"/>
        <w:rPr>
          <w:rFonts w:ascii="Arial" w:hAnsi="Arial" w:cs="Arial"/>
          <w:sz w:val="26"/>
          <w:szCs w:val="26"/>
        </w:rPr>
      </w:pPr>
    </w:p>
    <w:p w14:paraId="5BDD3CE9" w14:textId="77777777" w:rsidR="00FA2893" w:rsidRPr="00C67536" w:rsidRDefault="00FA2893" w:rsidP="00FA2893">
      <w:pPr>
        <w:ind w:left="709" w:right="616"/>
        <w:jc w:val="both"/>
        <w:rPr>
          <w:rFonts w:ascii="Arial" w:hAnsi="Arial" w:cs="Arial"/>
          <w:position w:val="8"/>
          <w:sz w:val="26"/>
          <w:szCs w:val="26"/>
        </w:rPr>
      </w:pPr>
      <w:r w:rsidRPr="00C67536">
        <w:rPr>
          <w:rFonts w:ascii="Arial" w:hAnsi="Arial" w:cs="Arial"/>
          <w:sz w:val="26"/>
          <w:szCs w:val="26"/>
        </w:rPr>
        <w:t>Es</w:t>
      </w:r>
      <w:r w:rsidRPr="00C67536">
        <w:rPr>
          <w:rFonts w:ascii="Arial" w:hAnsi="Arial" w:cs="Arial"/>
          <w:spacing w:val="-8"/>
          <w:sz w:val="26"/>
          <w:szCs w:val="26"/>
        </w:rPr>
        <w:t xml:space="preserve"> </w:t>
      </w:r>
      <w:r w:rsidRPr="00C67536">
        <w:rPr>
          <w:rFonts w:ascii="Arial" w:hAnsi="Arial" w:cs="Arial"/>
          <w:spacing w:val="-20"/>
          <w:sz w:val="26"/>
          <w:szCs w:val="26"/>
        </w:rPr>
        <w:t>i</w:t>
      </w:r>
      <w:r w:rsidRPr="00C67536">
        <w:rPr>
          <w:rFonts w:ascii="Arial" w:hAnsi="Arial" w:cs="Arial"/>
          <w:sz w:val="26"/>
          <w:szCs w:val="26"/>
        </w:rPr>
        <w:t>mportante</w:t>
      </w:r>
      <w:r w:rsidRPr="00C67536">
        <w:rPr>
          <w:rFonts w:ascii="Arial" w:hAnsi="Arial" w:cs="Arial"/>
          <w:spacing w:val="-5"/>
          <w:sz w:val="26"/>
          <w:szCs w:val="26"/>
        </w:rPr>
        <w:t xml:space="preserve"> </w:t>
      </w:r>
      <w:r w:rsidRPr="00C67536">
        <w:rPr>
          <w:rFonts w:ascii="Arial" w:hAnsi="Arial" w:cs="Arial"/>
          <w:sz w:val="26"/>
          <w:szCs w:val="26"/>
        </w:rPr>
        <w:t>cons</w:t>
      </w:r>
      <w:r w:rsidRPr="00C67536">
        <w:rPr>
          <w:rFonts w:ascii="Arial" w:hAnsi="Arial" w:cs="Arial"/>
          <w:spacing w:val="1"/>
          <w:sz w:val="26"/>
          <w:szCs w:val="26"/>
        </w:rPr>
        <w:t>i</w:t>
      </w:r>
      <w:r w:rsidRPr="00C67536">
        <w:rPr>
          <w:rFonts w:ascii="Arial" w:hAnsi="Arial" w:cs="Arial"/>
          <w:sz w:val="26"/>
          <w:szCs w:val="26"/>
        </w:rPr>
        <w:t>derar</w:t>
      </w:r>
      <w:r w:rsidRPr="00C67536">
        <w:rPr>
          <w:rFonts w:ascii="Arial" w:hAnsi="Arial" w:cs="Arial"/>
          <w:spacing w:val="8"/>
          <w:sz w:val="26"/>
          <w:szCs w:val="26"/>
        </w:rPr>
        <w:t xml:space="preserve"> </w:t>
      </w:r>
      <w:r w:rsidRPr="00C67536">
        <w:rPr>
          <w:rFonts w:ascii="Arial" w:hAnsi="Arial" w:cs="Arial"/>
          <w:sz w:val="26"/>
          <w:szCs w:val="26"/>
        </w:rPr>
        <w:t>que</w:t>
      </w:r>
      <w:r w:rsidRPr="00C67536">
        <w:rPr>
          <w:rFonts w:ascii="Arial" w:hAnsi="Arial" w:cs="Arial"/>
          <w:spacing w:val="7"/>
          <w:sz w:val="26"/>
          <w:szCs w:val="26"/>
        </w:rPr>
        <w:t xml:space="preserve"> </w:t>
      </w:r>
      <w:r w:rsidRPr="00C67536">
        <w:rPr>
          <w:rFonts w:ascii="Arial" w:hAnsi="Arial" w:cs="Arial"/>
          <w:sz w:val="26"/>
          <w:szCs w:val="26"/>
        </w:rPr>
        <w:t>la</w:t>
      </w:r>
      <w:r w:rsidRPr="00C67536">
        <w:rPr>
          <w:rFonts w:ascii="Arial" w:hAnsi="Arial" w:cs="Arial"/>
          <w:spacing w:val="-6"/>
          <w:sz w:val="26"/>
          <w:szCs w:val="26"/>
        </w:rPr>
        <w:t xml:space="preserve"> </w:t>
      </w:r>
      <w:r w:rsidRPr="00C67536">
        <w:rPr>
          <w:rFonts w:ascii="Arial" w:hAnsi="Arial" w:cs="Arial"/>
          <w:sz w:val="26"/>
          <w:szCs w:val="26"/>
        </w:rPr>
        <w:t>obes</w:t>
      </w:r>
      <w:r w:rsidRPr="00C67536">
        <w:rPr>
          <w:rFonts w:ascii="Arial" w:hAnsi="Arial" w:cs="Arial"/>
          <w:spacing w:val="7"/>
          <w:sz w:val="26"/>
          <w:szCs w:val="26"/>
        </w:rPr>
        <w:t>i</w:t>
      </w:r>
      <w:r w:rsidRPr="00C67536">
        <w:rPr>
          <w:rFonts w:ascii="Arial" w:hAnsi="Arial" w:cs="Arial"/>
          <w:sz w:val="26"/>
          <w:szCs w:val="26"/>
        </w:rPr>
        <w:t>dad</w:t>
      </w:r>
      <w:r w:rsidRPr="00C67536">
        <w:rPr>
          <w:rFonts w:ascii="Arial" w:hAnsi="Arial" w:cs="Arial"/>
          <w:spacing w:val="6"/>
          <w:sz w:val="26"/>
          <w:szCs w:val="26"/>
        </w:rPr>
        <w:t xml:space="preserve"> </w:t>
      </w:r>
      <w:r w:rsidRPr="00C67536">
        <w:rPr>
          <w:rFonts w:ascii="Arial" w:hAnsi="Arial" w:cs="Arial"/>
          <w:sz w:val="26"/>
          <w:szCs w:val="26"/>
        </w:rPr>
        <w:t>no</w:t>
      </w:r>
      <w:r w:rsidRPr="00C67536">
        <w:rPr>
          <w:rFonts w:ascii="Arial" w:hAnsi="Arial" w:cs="Arial"/>
          <w:spacing w:val="-9"/>
          <w:sz w:val="26"/>
          <w:szCs w:val="26"/>
        </w:rPr>
        <w:t xml:space="preserve"> </w:t>
      </w:r>
      <w:r w:rsidRPr="00C67536">
        <w:rPr>
          <w:rFonts w:ascii="Arial" w:hAnsi="Arial" w:cs="Arial"/>
          <w:sz w:val="26"/>
          <w:szCs w:val="26"/>
        </w:rPr>
        <w:t>solo</w:t>
      </w:r>
      <w:r w:rsidRPr="00C67536">
        <w:rPr>
          <w:rFonts w:ascii="Arial" w:hAnsi="Arial" w:cs="Arial"/>
          <w:spacing w:val="7"/>
          <w:sz w:val="26"/>
          <w:szCs w:val="26"/>
        </w:rPr>
        <w:t xml:space="preserve"> </w:t>
      </w:r>
      <w:r w:rsidRPr="00C67536">
        <w:rPr>
          <w:rFonts w:ascii="Arial" w:hAnsi="Arial" w:cs="Arial"/>
          <w:sz w:val="26"/>
          <w:szCs w:val="26"/>
        </w:rPr>
        <w:t>es</w:t>
      </w:r>
      <w:r w:rsidRPr="00C67536">
        <w:rPr>
          <w:rFonts w:ascii="Arial" w:hAnsi="Arial" w:cs="Arial"/>
          <w:spacing w:val="1"/>
          <w:sz w:val="26"/>
          <w:szCs w:val="26"/>
        </w:rPr>
        <w:t xml:space="preserve"> </w:t>
      </w:r>
      <w:r w:rsidRPr="00C67536">
        <w:rPr>
          <w:rFonts w:ascii="Arial" w:hAnsi="Arial" w:cs="Arial"/>
          <w:sz w:val="26"/>
          <w:szCs w:val="26"/>
        </w:rPr>
        <w:t>un</w:t>
      </w:r>
      <w:r w:rsidRPr="00C67536">
        <w:rPr>
          <w:rFonts w:ascii="Arial" w:hAnsi="Arial" w:cs="Arial"/>
          <w:spacing w:val="-2"/>
          <w:sz w:val="26"/>
          <w:szCs w:val="26"/>
        </w:rPr>
        <w:t xml:space="preserve"> </w:t>
      </w:r>
      <w:r w:rsidRPr="00C67536">
        <w:rPr>
          <w:rFonts w:ascii="Arial" w:hAnsi="Arial" w:cs="Arial"/>
          <w:sz w:val="26"/>
          <w:szCs w:val="26"/>
        </w:rPr>
        <w:t>prob</w:t>
      </w:r>
      <w:r w:rsidRPr="00C67536">
        <w:rPr>
          <w:rFonts w:ascii="Arial" w:hAnsi="Arial" w:cs="Arial"/>
          <w:spacing w:val="-11"/>
          <w:sz w:val="26"/>
          <w:szCs w:val="26"/>
        </w:rPr>
        <w:t>l</w:t>
      </w:r>
      <w:r w:rsidRPr="00C67536">
        <w:rPr>
          <w:rFonts w:ascii="Arial" w:hAnsi="Arial" w:cs="Arial"/>
          <w:sz w:val="26"/>
          <w:szCs w:val="26"/>
        </w:rPr>
        <w:t>ema</w:t>
      </w:r>
      <w:r w:rsidRPr="00C67536">
        <w:rPr>
          <w:rFonts w:ascii="Arial" w:hAnsi="Arial" w:cs="Arial"/>
          <w:spacing w:val="3"/>
          <w:sz w:val="26"/>
          <w:szCs w:val="26"/>
        </w:rPr>
        <w:t xml:space="preserve"> </w:t>
      </w:r>
      <w:r w:rsidRPr="00C67536">
        <w:rPr>
          <w:rFonts w:ascii="Arial" w:hAnsi="Arial" w:cs="Arial"/>
          <w:sz w:val="26"/>
          <w:szCs w:val="26"/>
        </w:rPr>
        <w:t>de</w:t>
      </w:r>
      <w:r w:rsidRPr="00C67536">
        <w:rPr>
          <w:rFonts w:ascii="Arial" w:hAnsi="Arial" w:cs="Arial"/>
          <w:spacing w:val="-2"/>
          <w:sz w:val="26"/>
          <w:szCs w:val="26"/>
        </w:rPr>
        <w:t xml:space="preserve"> </w:t>
      </w:r>
      <w:r w:rsidRPr="00C67536">
        <w:rPr>
          <w:rFonts w:ascii="Arial" w:hAnsi="Arial" w:cs="Arial"/>
          <w:sz w:val="26"/>
          <w:szCs w:val="26"/>
        </w:rPr>
        <w:t>salud</w:t>
      </w:r>
      <w:r w:rsidRPr="00C67536">
        <w:rPr>
          <w:rFonts w:ascii="Arial" w:hAnsi="Arial" w:cs="Arial"/>
          <w:spacing w:val="9"/>
          <w:sz w:val="26"/>
          <w:szCs w:val="26"/>
        </w:rPr>
        <w:t xml:space="preserve"> </w:t>
      </w:r>
      <w:r w:rsidRPr="00C67536">
        <w:rPr>
          <w:rFonts w:ascii="Arial" w:hAnsi="Arial" w:cs="Arial"/>
          <w:sz w:val="26"/>
          <w:szCs w:val="26"/>
        </w:rPr>
        <w:t>pública,</w:t>
      </w:r>
      <w:r w:rsidRPr="00C67536">
        <w:rPr>
          <w:rFonts w:ascii="Arial" w:hAnsi="Arial" w:cs="Arial"/>
          <w:w w:val="98"/>
          <w:sz w:val="26"/>
          <w:szCs w:val="26"/>
        </w:rPr>
        <w:t xml:space="preserve"> </w:t>
      </w:r>
      <w:r w:rsidRPr="00C67536">
        <w:rPr>
          <w:rFonts w:ascii="Arial" w:hAnsi="Arial" w:cs="Arial"/>
          <w:sz w:val="26"/>
          <w:szCs w:val="26"/>
        </w:rPr>
        <w:t>sino</w:t>
      </w:r>
      <w:r w:rsidRPr="00C67536">
        <w:rPr>
          <w:rFonts w:ascii="Arial" w:hAnsi="Arial" w:cs="Arial"/>
          <w:spacing w:val="46"/>
          <w:sz w:val="26"/>
          <w:szCs w:val="26"/>
        </w:rPr>
        <w:t xml:space="preserve"> </w:t>
      </w:r>
      <w:r w:rsidRPr="00C67536">
        <w:rPr>
          <w:rFonts w:ascii="Arial" w:hAnsi="Arial" w:cs="Arial"/>
          <w:sz w:val="26"/>
          <w:szCs w:val="26"/>
        </w:rPr>
        <w:t>también,</w:t>
      </w:r>
      <w:r w:rsidRPr="00C67536">
        <w:rPr>
          <w:rFonts w:ascii="Arial" w:hAnsi="Arial" w:cs="Arial"/>
          <w:spacing w:val="59"/>
          <w:sz w:val="26"/>
          <w:szCs w:val="26"/>
        </w:rPr>
        <w:t xml:space="preserve"> </w:t>
      </w:r>
      <w:r w:rsidRPr="00C67536">
        <w:rPr>
          <w:rFonts w:ascii="Arial" w:hAnsi="Arial" w:cs="Arial"/>
          <w:sz w:val="26"/>
          <w:szCs w:val="26"/>
        </w:rPr>
        <w:t>una</w:t>
      </w:r>
      <w:r w:rsidRPr="00C67536">
        <w:rPr>
          <w:rFonts w:ascii="Arial" w:hAnsi="Arial" w:cs="Arial"/>
          <w:spacing w:val="43"/>
          <w:sz w:val="26"/>
          <w:szCs w:val="26"/>
        </w:rPr>
        <w:t xml:space="preserve"> </w:t>
      </w:r>
      <w:r w:rsidRPr="00C67536">
        <w:rPr>
          <w:rFonts w:ascii="Arial" w:hAnsi="Arial" w:cs="Arial"/>
          <w:sz w:val="26"/>
          <w:szCs w:val="26"/>
        </w:rPr>
        <w:t>carga</w:t>
      </w:r>
      <w:r w:rsidRPr="00C67536">
        <w:rPr>
          <w:rFonts w:ascii="Arial" w:hAnsi="Arial" w:cs="Arial"/>
          <w:spacing w:val="49"/>
          <w:sz w:val="26"/>
          <w:szCs w:val="26"/>
        </w:rPr>
        <w:t xml:space="preserve"> </w:t>
      </w:r>
      <w:r w:rsidRPr="00C67536">
        <w:rPr>
          <w:rFonts w:ascii="Arial" w:hAnsi="Arial" w:cs="Arial"/>
          <w:sz w:val="26"/>
          <w:szCs w:val="26"/>
        </w:rPr>
        <w:t>financiera</w:t>
      </w:r>
      <w:r w:rsidRPr="00C67536">
        <w:rPr>
          <w:rFonts w:ascii="Arial" w:hAnsi="Arial" w:cs="Arial"/>
          <w:spacing w:val="52"/>
          <w:sz w:val="26"/>
          <w:szCs w:val="26"/>
        </w:rPr>
        <w:t xml:space="preserve"> </w:t>
      </w:r>
      <w:r w:rsidRPr="00C67536">
        <w:rPr>
          <w:rFonts w:ascii="Arial" w:hAnsi="Arial" w:cs="Arial"/>
          <w:sz w:val="26"/>
          <w:szCs w:val="26"/>
        </w:rPr>
        <w:t>considerable.</w:t>
      </w:r>
      <w:r w:rsidRPr="00C67536">
        <w:rPr>
          <w:rFonts w:ascii="Arial" w:hAnsi="Arial" w:cs="Arial"/>
          <w:spacing w:val="6"/>
          <w:sz w:val="26"/>
          <w:szCs w:val="26"/>
        </w:rPr>
        <w:t xml:space="preserve"> </w:t>
      </w:r>
      <w:r w:rsidRPr="00C67536">
        <w:rPr>
          <w:rFonts w:ascii="Arial" w:hAnsi="Arial" w:cs="Arial"/>
          <w:sz w:val="26"/>
          <w:szCs w:val="26"/>
        </w:rPr>
        <w:t>De</w:t>
      </w:r>
      <w:r w:rsidRPr="00C67536">
        <w:rPr>
          <w:rFonts w:ascii="Arial" w:hAnsi="Arial" w:cs="Arial"/>
          <w:spacing w:val="34"/>
          <w:sz w:val="26"/>
          <w:szCs w:val="26"/>
        </w:rPr>
        <w:t xml:space="preserve"> </w:t>
      </w:r>
      <w:r w:rsidRPr="00C67536">
        <w:rPr>
          <w:rFonts w:ascii="Arial" w:hAnsi="Arial" w:cs="Arial"/>
          <w:sz w:val="26"/>
          <w:szCs w:val="26"/>
        </w:rPr>
        <w:t>acuerdo</w:t>
      </w:r>
      <w:r w:rsidRPr="00C67536">
        <w:rPr>
          <w:rFonts w:ascii="Arial" w:hAnsi="Arial" w:cs="Arial"/>
          <w:spacing w:val="53"/>
          <w:sz w:val="26"/>
          <w:szCs w:val="26"/>
        </w:rPr>
        <w:t xml:space="preserve"> </w:t>
      </w:r>
      <w:r w:rsidRPr="00C67536">
        <w:rPr>
          <w:rFonts w:ascii="Arial" w:hAnsi="Arial" w:cs="Arial"/>
          <w:sz w:val="26"/>
          <w:szCs w:val="26"/>
        </w:rPr>
        <w:t>con</w:t>
      </w:r>
      <w:r w:rsidRPr="00C67536">
        <w:rPr>
          <w:rFonts w:ascii="Arial" w:hAnsi="Arial" w:cs="Arial"/>
          <w:spacing w:val="43"/>
          <w:sz w:val="26"/>
          <w:szCs w:val="26"/>
        </w:rPr>
        <w:t xml:space="preserve"> </w:t>
      </w:r>
      <w:r w:rsidRPr="00C67536">
        <w:rPr>
          <w:rFonts w:ascii="Arial" w:hAnsi="Arial" w:cs="Arial"/>
          <w:sz w:val="26"/>
          <w:szCs w:val="26"/>
        </w:rPr>
        <w:t>estimaciones</w:t>
      </w:r>
      <w:r w:rsidRPr="00C67536">
        <w:rPr>
          <w:rFonts w:ascii="Arial" w:hAnsi="Arial" w:cs="Arial"/>
          <w:spacing w:val="32"/>
          <w:w w:val="99"/>
          <w:sz w:val="26"/>
          <w:szCs w:val="26"/>
        </w:rPr>
        <w:t xml:space="preserve"> </w:t>
      </w:r>
      <w:r w:rsidRPr="00C67536">
        <w:rPr>
          <w:rFonts w:ascii="Arial" w:hAnsi="Arial" w:cs="Arial"/>
          <w:sz w:val="26"/>
          <w:szCs w:val="26"/>
        </w:rPr>
        <w:t>internaciona</w:t>
      </w:r>
      <w:r w:rsidRPr="00C67536">
        <w:rPr>
          <w:rFonts w:ascii="Arial" w:hAnsi="Arial" w:cs="Arial"/>
          <w:spacing w:val="7"/>
          <w:sz w:val="26"/>
          <w:szCs w:val="26"/>
        </w:rPr>
        <w:t>l</w:t>
      </w:r>
      <w:r w:rsidRPr="00C67536">
        <w:rPr>
          <w:rFonts w:ascii="Arial" w:hAnsi="Arial" w:cs="Arial"/>
          <w:sz w:val="26"/>
          <w:szCs w:val="26"/>
        </w:rPr>
        <w:t>es</w:t>
      </w:r>
      <w:r w:rsidRPr="00C67536">
        <w:rPr>
          <w:rFonts w:ascii="Arial" w:hAnsi="Arial" w:cs="Arial"/>
          <w:spacing w:val="12"/>
          <w:sz w:val="26"/>
          <w:szCs w:val="26"/>
        </w:rPr>
        <w:t xml:space="preserve"> </w:t>
      </w:r>
      <w:r w:rsidRPr="00C67536">
        <w:rPr>
          <w:rFonts w:ascii="Arial" w:hAnsi="Arial" w:cs="Arial"/>
          <w:sz w:val="26"/>
          <w:szCs w:val="26"/>
        </w:rPr>
        <w:t>del</w:t>
      </w:r>
      <w:r w:rsidRPr="00C67536">
        <w:rPr>
          <w:rFonts w:ascii="Arial" w:hAnsi="Arial" w:cs="Arial"/>
          <w:spacing w:val="18"/>
          <w:sz w:val="26"/>
          <w:szCs w:val="26"/>
        </w:rPr>
        <w:t xml:space="preserve"> </w:t>
      </w:r>
      <w:r w:rsidRPr="00C67536">
        <w:rPr>
          <w:rFonts w:ascii="Arial" w:hAnsi="Arial" w:cs="Arial"/>
          <w:i/>
          <w:sz w:val="26"/>
          <w:szCs w:val="26"/>
        </w:rPr>
        <w:t>McKinsey</w:t>
      </w:r>
      <w:r w:rsidRPr="00C67536">
        <w:rPr>
          <w:rFonts w:ascii="Arial" w:hAnsi="Arial" w:cs="Arial"/>
          <w:i/>
          <w:spacing w:val="41"/>
          <w:sz w:val="26"/>
          <w:szCs w:val="26"/>
        </w:rPr>
        <w:t xml:space="preserve"> </w:t>
      </w:r>
      <w:r w:rsidRPr="00C67536">
        <w:rPr>
          <w:rFonts w:ascii="Arial" w:hAnsi="Arial" w:cs="Arial"/>
          <w:i/>
          <w:sz w:val="26"/>
          <w:szCs w:val="26"/>
        </w:rPr>
        <w:t>Global</w:t>
      </w:r>
      <w:r w:rsidRPr="00C67536">
        <w:rPr>
          <w:rFonts w:ascii="Arial" w:hAnsi="Arial" w:cs="Arial"/>
          <w:i/>
          <w:spacing w:val="10"/>
          <w:sz w:val="26"/>
          <w:szCs w:val="26"/>
        </w:rPr>
        <w:t xml:space="preserve"> </w:t>
      </w:r>
      <w:r w:rsidRPr="00C67536">
        <w:rPr>
          <w:rFonts w:ascii="Arial" w:hAnsi="Arial" w:cs="Arial"/>
          <w:i/>
          <w:sz w:val="26"/>
          <w:szCs w:val="26"/>
        </w:rPr>
        <w:t>lnstitute,</w:t>
      </w:r>
      <w:r w:rsidRPr="00C67536">
        <w:rPr>
          <w:rFonts w:ascii="Arial" w:hAnsi="Arial" w:cs="Arial"/>
          <w:i/>
          <w:spacing w:val="37"/>
          <w:sz w:val="26"/>
          <w:szCs w:val="26"/>
        </w:rPr>
        <w:t xml:space="preserve"> </w:t>
      </w:r>
      <w:r w:rsidRPr="00C67536">
        <w:rPr>
          <w:rFonts w:ascii="Arial" w:hAnsi="Arial" w:cs="Arial"/>
          <w:sz w:val="26"/>
          <w:szCs w:val="26"/>
        </w:rPr>
        <w:t>la</w:t>
      </w:r>
      <w:r w:rsidRPr="00C67536">
        <w:rPr>
          <w:rFonts w:ascii="Arial" w:hAnsi="Arial" w:cs="Arial"/>
          <w:spacing w:val="10"/>
          <w:sz w:val="26"/>
          <w:szCs w:val="26"/>
        </w:rPr>
        <w:t xml:space="preserve"> </w:t>
      </w:r>
      <w:r w:rsidRPr="00C67536">
        <w:rPr>
          <w:rFonts w:ascii="Arial" w:hAnsi="Arial" w:cs="Arial"/>
          <w:sz w:val="26"/>
          <w:szCs w:val="26"/>
        </w:rPr>
        <w:t>obesidad</w:t>
      </w:r>
      <w:r w:rsidRPr="00C67536">
        <w:rPr>
          <w:rFonts w:ascii="Arial" w:hAnsi="Arial" w:cs="Arial"/>
          <w:spacing w:val="35"/>
          <w:sz w:val="26"/>
          <w:szCs w:val="26"/>
        </w:rPr>
        <w:t xml:space="preserve"> </w:t>
      </w:r>
      <w:r w:rsidRPr="00C67536">
        <w:rPr>
          <w:rFonts w:ascii="Arial" w:hAnsi="Arial" w:cs="Arial"/>
          <w:sz w:val="26"/>
          <w:szCs w:val="26"/>
        </w:rPr>
        <w:t>a</w:t>
      </w:r>
      <w:r w:rsidRPr="00C67536">
        <w:rPr>
          <w:rFonts w:ascii="Arial" w:hAnsi="Arial" w:cs="Arial"/>
          <w:spacing w:val="20"/>
          <w:sz w:val="26"/>
          <w:szCs w:val="26"/>
        </w:rPr>
        <w:t xml:space="preserve"> </w:t>
      </w:r>
      <w:r w:rsidRPr="00C67536">
        <w:rPr>
          <w:rFonts w:ascii="Arial" w:hAnsi="Arial" w:cs="Arial"/>
          <w:sz w:val="26"/>
          <w:szCs w:val="26"/>
        </w:rPr>
        <w:t>nivel</w:t>
      </w:r>
      <w:r w:rsidRPr="00C67536">
        <w:rPr>
          <w:rFonts w:ascii="Arial" w:hAnsi="Arial" w:cs="Arial"/>
          <w:spacing w:val="13"/>
          <w:sz w:val="26"/>
          <w:szCs w:val="26"/>
        </w:rPr>
        <w:t xml:space="preserve"> </w:t>
      </w:r>
      <w:r w:rsidRPr="00C67536">
        <w:rPr>
          <w:rFonts w:ascii="Arial" w:hAnsi="Arial" w:cs="Arial"/>
          <w:sz w:val="26"/>
          <w:szCs w:val="26"/>
        </w:rPr>
        <w:t>mund</w:t>
      </w:r>
      <w:r w:rsidRPr="00C67536">
        <w:rPr>
          <w:rFonts w:ascii="Arial" w:hAnsi="Arial" w:cs="Arial"/>
          <w:spacing w:val="-5"/>
          <w:sz w:val="26"/>
          <w:szCs w:val="26"/>
        </w:rPr>
        <w:t>i</w:t>
      </w:r>
      <w:r w:rsidRPr="00C67536">
        <w:rPr>
          <w:rFonts w:ascii="Arial" w:hAnsi="Arial" w:cs="Arial"/>
          <w:sz w:val="26"/>
          <w:szCs w:val="26"/>
        </w:rPr>
        <w:t>al</w:t>
      </w:r>
      <w:r w:rsidRPr="00C67536">
        <w:rPr>
          <w:rFonts w:ascii="Arial" w:hAnsi="Arial" w:cs="Arial"/>
          <w:spacing w:val="18"/>
          <w:sz w:val="26"/>
          <w:szCs w:val="26"/>
        </w:rPr>
        <w:t xml:space="preserve"> </w:t>
      </w:r>
      <w:r w:rsidRPr="00C67536">
        <w:rPr>
          <w:rFonts w:ascii="Arial" w:hAnsi="Arial" w:cs="Arial"/>
          <w:spacing w:val="-18"/>
          <w:sz w:val="26"/>
          <w:szCs w:val="26"/>
        </w:rPr>
        <w:t>i</w:t>
      </w:r>
      <w:r w:rsidRPr="00C67536">
        <w:rPr>
          <w:rFonts w:ascii="Arial" w:hAnsi="Arial" w:cs="Arial"/>
          <w:sz w:val="26"/>
          <w:szCs w:val="26"/>
        </w:rPr>
        <w:t>mpone</w:t>
      </w:r>
      <w:r w:rsidRPr="00C67536">
        <w:rPr>
          <w:rFonts w:ascii="Arial" w:hAnsi="Arial" w:cs="Arial"/>
          <w:w w:val="99"/>
          <w:sz w:val="26"/>
          <w:szCs w:val="26"/>
        </w:rPr>
        <w:t xml:space="preserve"> </w:t>
      </w:r>
      <w:r w:rsidRPr="00C67536">
        <w:rPr>
          <w:rFonts w:ascii="Arial" w:hAnsi="Arial" w:cs="Arial"/>
          <w:sz w:val="26"/>
          <w:szCs w:val="26"/>
        </w:rPr>
        <w:t>costos</w:t>
      </w:r>
      <w:r w:rsidRPr="00C67536">
        <w:rPr>
          <w:rFonts w:ascii="Arial" w:hAnsi="Arial" w:cs="Arial"/>
          <w:spacing w:val="-2"/>
          <w:sz w:val="26"/>
          <w:szCs w:val="26"/>
        </w:rPr>
        <w:t xml:space="preserve"> </w:t>
      </w:r>
      <w:r w:rsidRPr="00C67536">
        <w:rPr>
          <w:rFonts w:ascii="Arial" w:hAnsi="Arial" w:cs="Arial"/>
          <w:sz w:val="26"/>
          <w:szCs w:val="26"/>
        </w:rPr>
        <w:t>equivalentes</w:t>
      </w:r>
      <w:r w:rsidRPr="00C67536">
        <w:rPr>
          <w:rFonts w:ascii="Arial" w:hAnsi="Arial" w:cs="Arial"/>
          <w:spacing w:val="9"/>
          <w:sz w:val="26"/>
          <w:szCs w:val="26"/>
        </w:rPr>
        <w:t xml:space="preserve"> </w:t>
      </w:r>
      <w:r w:rsidRPr="00C67536">
        <w:rPr>
          <w:rFonts w:ascii="Arial" w:hAnsi="Arial" w:cs="Arial"/>
          <w:sz w:val="26"/>
          <w:szCs w:val="26"/>
        </w:rPr>
        <w:t>a</w:t>
      </w:r>
      <w:r w:rsidRPr="00C67536">
        <w:rPr>
          <w:rFonts w:ascii="Arial" w:hAnsi="Arial" w:cs="Arial"/>
          <w:spacing w:val="-13"/>
          <w:sz w:val="26"/>
          <w:szCs w:val="26"/>
        </w:rPr>
        <w:t xml:space="preserve"> </w:t>
      </w:r>
      <w:r w:rsidRPr="00C67536">
        <w:rPr>
          <w:rFonts w:ascii="Arial" w:hAnsi="Arial" w:cs="Arial"/>
          <w:sz w:val="26"/>
          <w:szCs w:val="26"/>
        </w:rPr>
        <w:t>2.8%</w:t>
      </w:r>
      <w:r w:rsidRPr="00C67536">
        <w:rPr>
          <w:rFonts w:ascii="Arial" w:hAnsi="Arial" w:cs="Arial"/>
          <w:spacing w:val="2"/>
          <w:sz w:val="26"/>
          <w:szCs w:val="26"/>
        </w:rPr>
        <w:t xml:space="preserve"> </w:t>
      </w:r>
      <w:r w:rsidRPr="00C67536">
        <w:rPr>
          <w:rFonts w:ascii="Arial" w:hAnsi="Arial" w:cs="Arial"/>
          <w:sz w:val="26"/>
          <w:szCs w:val="26"/>
        </w:rPr>
        <w:t>del</w:t>
      </w:r>
      <w:r w:rsidRPr="00C67536">
        <w:rPr>
          <w:rFonts w:ascii="Arial" w:hAnsi="Arial" w:cs="Arial"/>
          <w:spacing w:val="-2"/>
          <w:sz w:val="26"/>
          <w:szCs w:val="26"/>
        </w:rPr>
        <w:t xml:space="preserve"> </w:t>
      </w:r>
      <w:r w:rsidRPr="00C67536">
        <w:rPr>
          <w:rFonts w:ascii="Arial" w:hAnsi="Arial" w:cs="Arial"/>
          <w:sz w:val="26"/>
          <w:szCs w:val="26"/>
        </w:rPr>
        <w:t>PIB</w:t>
      </w:r>
      <w:r w:rsidRPr="00C67536">
        <w:rPr>
          <w:rFonts w:ascii="Arial" w:hAnsi="Arial" w:cs="Arial"/>
          <w:spacing w:val="-7"/>
          <w:sz w:val="26"/>
          <w:szCs w:val="26"/>
        </w:rPr>
        <w:t xml:space="preserve"> </w:t>
      </w:r>
      <w:r w:rsidRPr="00C67536">
        <w:rPr>
          <w:rFonts w:ascii="Arial" w:hAnsi="Arial" w:cs="Arial"/>
          <w:sz w:val="26"/>
          <w:szCs w:val="26"/>
        </w:rPr>
        <w:t>global.</w:t>
      </w:r>
      <w:r w:rsidRPr="00C67536">
        <w:rPr>
          <w:rFonts w:ascii="Arial" w:hAnsi="Arial" w:cs="Arial"/>
          <w:spacing w:val="8"/>
          <w:sz w:val="26"/>
          <w:szCs w:val="26"/>
        </w:rPr>
        <w:t xml:space="preserve"> </w:t>
      </w:r>
      <w:r w:rsidRPr="00C67536">
        <w:rPr>
          <w:rFonts w:ascii="Arial" w:hAnsi="Arial" w:cs="Arial"/>
          <w:sz w:val="26"/>
          <w:szCs w:val="26"/>
        </w:rPr>
        <w:t>Esta</w:t>
      </w:r>
      <w:r w:rsidRPr="00C67536">
        <w:rPr>
          <w:rFonts w:ascii="Arial" w:hAnsi="Arial" w:cs="Arial"/>
          <w:spacing w:val="-7"/>
          <w:sz w:val="26"/>
          <w:szCs w:val="26"/>
        </w:rPr>
        <w:t xml:space="preserve"> </w:t>
      </w:r>
      <w:r w:rsidRPr="00C67536">
        <w:rPr>
          <w:rFonts w:ascii="Arial" w:hAnsi="Arial" w:cs="Arial"/>
          <w:sz w:val="26"/>
          <w:szCs w:val="26"/>
        </w:rPr>
        <w:t>cifra</w:t>
      </w:r>
      <w:r w:rsidRPr="00C67536">
        <w:rPr>
          <w:rFonts w:ascii="Arial" w:hAnsi="Arial" w:cs="Arial"/>
          <w:spacing w:val="-6"/>
          <w:sz w:val="26"/>
          <w:szCs w:val="26"/>
        </w:rPr>
        <w:t xml:space="preserve"> </w:t>
      </w:r>
      <w:r w:rsidRPr="00C67536">
        <w:rPr>
          <w:rFonts w:ascii="Arial" w:hAnsi="Arial" w:cs="Arial"/>
          <w:sz w:val="26"/>
          <w:szCs w:val="26"/>
        </w:rPr>
        <w:t>casi</w:t>
      </w:r>
      <w:r w:rsidRPr="00C67536">
        <w:rPr>
          <w:rFonts w:ascii="Arial" w:hAnsi="Arial" w:cs="Arial"/>
          <w:spacing w:val="-3"/>
          <w:sz w:val="26"/>
          <w:szCs w:val="26"/>
        </w:rPr>
        <w:t xml:space="preserve"> </w:t>
      </w:r>
      <w:r w:rsidRPr="00C67536">
        <w:rPr>
          <w:rFonts w:ascii="Arial" w:hAnsi="Arial" w:cs="Arial"/>
          <w:sz w:val="26"/>
          <w:szCs w:val="26"/>
        </w:rPr>
        <w:t>igual</w:t>
      </w:r>
      <w:r w:rsidRPr="00C67536">
        <w:rPr>
          <w:rFonts w:ascii="Arial" w:hAnsi="Arial" w:cs="Arial"/>
          <w:spacing w:val="-14"/>
          <w:sz w:val="26"/>
          <w:szCs w:val="26"/>
        </w:rPr>
        <w:t xml:space="preserve"> </w:t>
      </w:r>
      <w:r w:rsidRPr="00C67536">
        <w:rPr>
          <w:rFonts w:ascii="Arial" w:hAnsi="Arial" w:cs="Arial"/>
          <w:sz w:val="26"/>
          <w:szCs w:val="26"/>
        </w:rPr>
        <w:t>a</w:t>
      </w:r>
      <w:r w:rsidRPr="00C67536">
        <w:rPr>
          <w:rFonts w:ascii="Arial" w:hAnsi="Arial" w:cs="Arial"/>
          <w:spacing w:val="4"/>
          <w:sz w:val="26"/>
          <w:szCs w:val="26"/>
        </w:rPr>
        <w:t xml:space="preserve"> </w:t>
      </w:r>
      <w:r w:rsidRPr="00C67536">
        <w:rPr>
          <w:rFonts w:ascii="Arial" w:hAnsi="Arial" w:cs="Arial"/>
          <w:spacing w:val="-12"/>
          <w:sz w:val="26"/>
          <w:szCs w:val="26"/>
        </w:rPr>
        <w:t>l</w:t>
      </w:r>
      <w:r w:rsidRPr="00C67536">
        <w:rPr>
          <w:rFonts w:ascii="Arial" w:hAnsi="Arial" w:cs="Arial"/>
          <w:spacing w:val="-16"/>
          <w:sz w:val="26"/>
          <w:szCs w:val="26"/>
        </w:rPr>
        <w:t>a</w:t>
      </w:r>
      <w:r w:rsidRPr="00C67536">
        <w:rPr>
          <w:rFonts w:ascii="Arial" w:hAnsi="Arial" w:cs="Arial"/>
          <w:spacing w:val="-4"/>
          <w:sz w:val="26"/>
          <w:szCs w:val="26"/>
        </w:rPr>
        <w:t xml:space="preserve"> </w:t>
      </w:r>
      <w:r w:rsidRPr="00C67536">
        <w:rPr>
          <w:rFonts w:ascii="Arial" w:hAnsi="Arial" w:cs="Arial"/>
          <w:sz w:val="26"/>
          <w:szCs w:val="26"/>
        </w:rPr>
        <w:t>que</w:t>
      </w:r>
      <w:r w:rsidRPr="00C67536">
        <w:rPr>
          <w:rFonts w:ascii="Arial" w:hAnsi="Arial" w:cs="Arial"/>
          <w:spacing w:val="-3"/>
          <w:sz w:val="26"/>
          <w:szCs w:val="26"/>
        </w:rPr>
        <w:t xml:space="preserve"> </w:t>
      </w:r>
      <w:r w:rsidRPr="00C67536">
        <w:rPr>
          <w:rFonts w:ascii="Arial" w:hAnsi="Arial" w:cs="Arial"/>
          <w:sz w:val="26"/>
          <w:szCs w:val="26"/>
        </w:rPr>
        <w:t>generan</w:t>
      </w:r>
      <w:r w:rsidRPr="00C67536">
        <w:rPr>
          <w:rFonts w:ascii="Arial" w:hAnsi="Arial" w:cs="Arial"/>
          <w:spacing w:val="10"/>
          <w:sz w:val="26"/>
          <w:szCs w:val="26"/>
        </w:rPr>
        <w:t xml:space="preserve"> </w:t>
      </w:r>
      <w:r w:rsidRPr="00C67536">
        <w:rPr>
          <w:rFonts w:ascii="Arial" w:hAnsi="Arial" w:cs="Arial"/>
          <w:sz w:val="26"/>
          <w:szCs w:val="26"/>
        </w:rPr>
        <w:t>los</w:t>
      </w:r>
      <w:r w:rsidRPr="00C67536">
        <w:rPr>
          <w:rFonts w:ascii="Arial" w:hAnsi="Arial" w:cs="Arial"/>
          <w:spacing w:val="21"/>
          <w:w w:val="102"/>
          <w:sz w:val="26"/>
          <w:szCs w:val="26"/>
        </w:rPr>
        <w:t xml:space="preserve"> </w:t>
      </w:r>
      <w:r w:rsidRPr="00C67536">
        <w:rPr>
          <w:rFonts w:ascii="Arial" w:hAnsi="Arial" w:cs="Arial"/>
          <w:sz w:val="26"/>
          <w:szCs w:val="26"/>
        </w:rPr>
        <w:t>conflictos</w:t>
      </w:r>
      <w:r w:rsidRPr="00C67536">
        <w:rPr>
          <w:rFonts w:ascii="Arial" w:hAnsi="Arial" w:cs="Arial"/>
          <w:spacing w:val="15"/>
          <w:sz w:val="26"/>
          <w:szCs w:val="26"/>
        </w:rPr>
        <w:t xml:space="preserve"> </w:t>
      </w:r>
      <w:r w:rsidRPr="00C67536">
        <w:rPr>
          <w:rFonts w:ascii="Arial" w:hAnsi="Arial" w:cs="Arial"/>
          <w:sz w:val="26"/>
          <w:szCs w:val="26"/>
        </w:rPr>
        <w:t>armados</w:t>
      </w:r>
      <w:r w:rsidRPr="00C67536">
        <w:rPr>
          <w:rFonts w:ascii="Arial" w:hAnsi="Arial" w:cs="Arial"/>
          <w:spacing w:val="1"/>
          <w:sz w:val="26"/>
          <w:szCs w:val="26"/>
        </w:rPr>
        <w:t xml:space="preserve"> </w:t>
      </w:r>
      <w:r w:rsidRPr="00C67536">
        <w:rPr>
          <w:rFonts w:ascii="Arial" w:hAnsi="Arial" w:cs="Arial"/>
          <w:sz w:val="26"/>
          <w:szCs w:val="26"/>
        </w:rPr>
        <w:t>y</w:t>
      </w:r>
      <w:r w:rsidRPr="00C67536">
        <w:rPr>
          <w:rFonts w:ascii="Arial" w:hAnsi="Arial" w:cs="Arial"/>
          <w:spacing w:val="2"/>
          <w:sz w:val="26"/>
          <w:szCs w:val="26"/>
        </w:rPr>
        <w:t xml:space="preserve"> </w:t>
      </w:r>
      <w:r w:rsidRPr="00C67536">
        <w:rPr>
          <w:rFonts w:ascii="Arial" w:hAnsi="Arial" w:cs="Arial"/>
          <w:sz w:val="26"/>
          <w:szCs w:val="26"/>
        </w:rPr>
        <w:t>el</w:t>
      </w:r>
      <w:r w:rsidRPr="00C67536">
        <w:rPr>
          <w:rFonts w:ascii="Arial" w:hAnsi="Arial" w:cs="Arial"/>
          <w:spacing w:val="-7"/>
          <w:sz w:val="26"/>
          <w:szCs w:val="26"/>
        </w:rPr>
        <w:t xml:space="preserve"> </w:t>
      </w:r>
      <w:r w:rsidRPr="00C67536">
        <w:rPr>
          <w:rFonts w:ascii="Arial" w:hAnsi="Arial" w:cs="Arial"/>
          <w:sz w:val="26"/>
          <w:szCs w:val="26"/>
        </w:rPr>
        <w:t>tabaquismo.</w:t>
      </w:r>
      <w:r w:rsidRPr="00C67536">
        <w:rPr>
          <w:rFonts w:ascii="Arial" w:hAnsi="Arial" w:cs="Arial"/>
          <w:spacing w:val="-37"/>
          <w:sz w:val="26"/>
          <w:szCs w:val="26"/>
        </w:rPr>
        <w:t xml:space="preserve"> </w:t>
      </w:r>
      <w:r w:rsidRPr="00C67536">
        <w:rPr>
          <w:rFonts w:ascii="Arial" w:hAnsi="Arial" w:cs="Arial"/>
          <w:sz w:val="26"/>
          <w:szCs w:val="26"/>
        </w:rPr>
        <w:t>En</w:t>
      </w:r>
      <w:r w:rsidRPr="00C67536">
        <w:rPr>
          <w:rFonts w:ascii="Arial" w:hAnsi="Arial" w:cs="Arial"/>
          <w:spacing w:val="-9"/>
          <w:sz w:val="26"/>
          <w:szCs w:val="26"/>
        </w:rPr>
        <w:t xml:space="preserve"> </w:t>
      </w:r>
      <w:r w:rsidRPr="00C67536">
        <w:rPr>
          <w:rFonts w:ascii="Arial" w:hAnsi="Arial" w:cs="Arial"/>
          <w:sz w:val="26"/>
          <w:szCs w:val="26"/>
        </w:rPr>
        <w:t>el</w:t>
      </w:r>
      <w:r w:rsidRPr="00C67536">
        <w:rPr>
          <w:rFonts w:ascii="Arial" w:hAnsi="Arial" w:cs="Arial"/>
          <w:spacing w:val="1"/>
          <w:sz w:val="26"/>
          <w:szCs w:val="26"/>
        </w:rPr>
        <w:t xml:space="preserve"> </w:t>
      </w:r>
      <w:r w:rsidRPr="00C67536">
        <w:rPr>
          <w:rFonts w:ascii="Arial" w:hAnsi="Arial" w:cs="Arial"/>
          <w:sz w:val="26"/>
          <w:szCs w:val="26"/>
        </w:rPr>
        <w:t>caso</w:t>
      </w:r>
      <w:r w:rsidRPr="00C67536">
        <w:rPr>
          <w:rFonts w:ascii="Arial" w:hAnsi="Arial" w:cs="Arial"/>
          <w:spacing w:val="11"/>
          <w:sz w:val="26"/>
          <w:szCs w:val="26"/>
        </w:rPr>
        <w:t xml:space="preserve"> </w:t>
      </w:r>
      <w:r w:rsidRPr="00C67536">
        <w:rPr>
          <w:rFonts w:ascii="Arial" w:hAnsi="Arial" w:cs="Arial"/>
          <w:sz w:val="26"/>
          <w:szCs w:val="26"/>
        </w:rPr>
        <w:t>de</w:t>
      </w:r>
      <w:r w:rsidRPr="00C67536">
        <w:rPr>
          <w:rFonts w:ascii="Arial" w:hAnsi="Arial" w:cs="Arial"/>
          <w:spacing w:val="7"/>
          <w:sz w:val="26"/>
          <w:szCs w:val="26"/>
        </w:rPr>
        <w:t xml:space="preserve"> </w:t>
      </w:r>
      <w:r w:rsidRPr="00C67536">
        <w:rPr>
          <w:rFonts w:ascii="Arial" w:hAnsi="Arial" w:cs="Arial"/>
          <w:sz w:val="26"/>
          <w:szCs w:val="26"/>
        </w:rPr>
        <w:t>México,</w:t>
      </w:r>
      <w:r w:rsidRPr="00C67536">
        <w:rPr>
          <w:rFonts w:ascii="Arial" w:hAnsi="Arial" w:cs="Arial"/>
          <w:spacing w:val="7"/>
          <w:sz w:val="26"/>
          <w:szCs w:val="26"/>
        </w:rPr>
        <w:t xml:space="preserve"> </w:t>
      </w:r>
      <w:r w:rsidRPr="00C67536">
        <w:rPr>
          <w:rFonts w:ascii="Arial" w:hAnsi="Arial" w:cs="Arial"/>
          <w:sz w:val="26"/>
          <w:szCs w:val="26"/>
        </w:rPr>
        <w:t>la</w:t>
      </w:r>
      <w:r w:rsidRPr="00C67536">
        <w:rPr>
          <w:rFonts w:ascii="Arial" w:hAnsi="Arial" w:cs="Arial"/>
          <w:spacing w:val="2"/>
          <w:sz w:val="26"/>
          <w:szCs w:val="26"/>
        </w:rPr>
        <w:t xml:space="preserve"> </w:t>
      </w:r>
      <w:r w:rsidRPr="00C67536">
        <w:rPr>
          <w:rFonts w:ascii="Arial" w:hAnsi="Arial" w:cs="Arial"/>
          <w:sz w:val="26"/>
          <w:szCs w:val="26"/>
        </w:rPr>
        <w:t>OMS</w:t>
      </w:r>
      <w:r w:rsidRPr="00C67536">
        <w:rPr>
          <w:rFonts w:ascii="Arial" w:hAnsi="Arial" w:cs="Arial"/>
          <w:spacing w:val="6"/>
          <w:sz w:val="26"/>
          <w:szCs w:val="26"/>
        </w:rPr>
        <w:t xml:space="preserve"> </w:t>
      </w:r>
      <w:r w:rsidRPr="00C67536">
        <w:rPr>
          <w:rFonts w:ascii="Arial" w:hAnsi="Arial" w:cs="Arial"/>
          <w:sz w:val="26"/>
          <w:szCs w:val="26"/>
        </w:rPr>
        <w:t>estima</w:t>
      </w:r>
      <w:r w:rsidRPr="00C67536">
        <w:rPr>
          <w:rFonts w:ascii="Arial" w:hAnsi="Arial" w:cs="Arial"/>
          <w:spacing w:val="16"/>
          <w:sz w:val="26"/>
          <w:szCs w:val="26"/>
        </w:rPr>
        <w:t xml:space="preserve"> </w:t>
      </w:r>
      <w:r w:rsidRPr="00C67536">
        <w:rPr>
          <w:rFonts w:ascii="Arial" w:hAnsi="Arial" w:cs="Arial"/>
          <w:sz w:val="26"/>
          <w:szCs w:val="26"/>
        </w:rPr>
        <w:t>que</w:t>
      </w:r>
      <w:r w:rsidRPr="00C67536">
        <w:rPr>
          <w:rFonts w:ascii="Arial" w:hAnsi="Arial" w:cs="Arial"/>
          <w:spacing w:val="13"/>
          <w:sz w:val="26"/>
          <w:szCs w:val="26"/>
        </w:rPr>
        <w:t xml:space="preserve"> </w:t>
      </w:r>
      <w:r w:rsidRPr="00C67536">
        <w:rPr>
          <w:rFonts w:ascii="Arial" w:hAnsi="Arial" w:cs="Arial"/>
          <w:sz w:val="26"/>
          <w:szCs w:val="26"/>
        </w:rPr>
        <w:t>la</w:t>
      </w:r>
      <w:r w:rsidRPr="00C67536">
        <w:rPr>
          <w:rFonts w:ascii="Arial" w:hAnsi="Arial" w:cs="Arial"/>
          <w:w w:val="99"/>
          <w:sz w:val="26"/>
          <w:szCs w:val="26"/>
        </w:rPr>
        <w:t xml:space="preserve"> </w:t>
      </w:r>
      <w:r w:rsidRPr="00C67536">
        <w:rPr>
          <w:rFonts w:ascii="Arial" w:hAnsi="Arial" w:cs="Arial"/>
          <w:sz w:val="26"/>
          <w:szCs w:val="26"/>
        </w:rPr>
        <w:t>obesidad</w:t>
      </w:r>
      <w:r w:rsidRPr="00C67536">
        <w:rPr>
          <w:rFonts w:ascii="Arial" w:hAnsi="Arial" w:cs="Arial"/>
          <w:spacing w:val="21"/>
          <w:sz w:val="26"/>
          <w:szCs w:val="26"/>
        </w:rPr>
        <w:t xml:space="preserve"> </w:t>
      </w:r>
      <w:r w:rsidRPr="00C67536">
        <w:rPr>
          <w:rFonts w:ascii="Arial" w:hAnsi="Arial" w:cs="Arial"/>
          <w:sz w:val="26"/>
          <w:szCs w:val="26"/>
        </w:rPr>
        <w:t>y</w:t>
      </w:r>
      <w:r w:rsidRPr="00C67536">
        <w:rPr>
          <w:rFonts w:ascii="Arial" w:hAnsi="Arial" w:cs="Arial"/>
          <w:spacing w:val="13"/>
          <w:sz w:val="26"/>
          <w:szCs w:val="26"/>
        </w:rPr>
        <w:t xml:space="preserve"> </w:t>
      </w:r>
      <w:r w:rsidRPr="00C67536">
        <w:rPr>
          <w:rFonts w:ascii="Arial" w:hAnsi="Arial" w:cs="Arial"/>
          <w:sz w:val="26"/>
          <w:szCs w:val="26"/>
        </w:rPr>
        <w:t>sus</w:t>
      </w:r>
      <w:r w:rsidRPr="00C67536">
        <w:rPr>
          <w:rFonts w:ascii="Arial" w:hAnsi="Arial" w:cs="Arial"/>
          <w:spacing w:val="11"/>
          <w:sz w:val="26"/>
          <w:szCs w:val="26"/>
        </w:rPr>
        <w:t xml:space="preserve"> </w:t>
      </w:r>
      <w:r w:rsidRPr="00C67536">
        <w:rPr>
          <w:rFonts w:ascii="Arial" w:hAnsi="Arial" w:cs="Arial"/>
          <w:sz w:val="26"/>
          <w:szCs w:val="26"/>
        </w:rPr>
        <w:t>complicaciones</w:t>
      </w:r>
      <w:r w:rsidRPr="00C67536">
        <w:rPr>
          <w:rFonts w:ascii="Arial" w:hAnsi="Arial" w:cs="Arial"/>
          <w:spacing w:val="39"/>
          <w:sz w:val="26"/>
          <w:szCs w:val="26"/>
        </w:rPr>
        <w:t xml:space="preserve"> </w:t>
      </w:r>
      <w:r w:rsidRPr="00C67536">
        <w:rPr>
          <w:rFonts w:ascii="Arial" w:hAnsi="Arial" w:cs="Arial"/>
          <w:sz w:val="26"/>
          <w:szCs w:val="26"/>
        </w:rPr>
        <w:t>le</w:t>
      </w:r>
      <w:r w:rsidRPr="00C67536">
        <w:rPr>
          <w:rFonts w:ascii="Arial" w:hAnsi="Arial" w:cs="Arial"/>
          <w:spacing w:val="10"/>
          <w:sz w:val="26"/>
          <w:szCs w:val="26"/>
        </w:rPr>
        <w:t xml:space="preserve"> </w:t>
      </w:r>
      <w:r w:rsidRPr="00C67536">
        <w:rPr>
          <w:rFonts w:ascii="Arial" w:hAnsi="Arial" w:cs="Arial"/>
          <w:sz w:val="26"/>
          <w:szCs w:val="26"/>
        </w:rPr>
        <w:t>cuesta</w:t>
      </w:r>
      <w:r w:rsidRPr="00C67536">
        <w:rPr>
          <w:rFonts w:ascii="Arial" w:hAnsi="Arial" w:cs="Arial"/>
          <w:spacing w:val="26"/>
          <w:sz w:val="26"/>
          <w:szCs w:val="26"/>
        </w:rPr>
        <w:t xml:space="preserve"> </w:t>
      </w:r>
      <w:r w:rsidRPr="00C67536">
        <w:rPr>
          <w:rFonts w:ascii="Arial" w:hAnsi="Arial" w:cs="Arial"/>
          <w:sz w:val="26"/>
          <w:szCs w:val="26"/>
        </w:rPr>
        <w:t>al</w:t>
      </w:r>
      <w:r w:rsidRPr="00C67536">
        <w:rPr>
          <w:rFonts w:ascii="Arial" w:hAnsi="Arial" w:cs="Arial"/>
          <w:spacing w:val="10"/>
          <w:sz w:val="26"/>
          <w:szCs w:val="26"/>
        </w:rPr>
        <w:t xml:space="preserve"> </w:t>
      </w:r>
      <w:r w:rsidRPr="00C67536">
        <w:rPr>
          <w:rFonts w:ascii="Arial" w:hAnsi="Arial" w:cs="Arial"/>
          <w:sz w:val="26"/>
          <w:szCs w:val="26"/>
        </w:rPr>
        <w:t>país</w:t>
      </w:r>
      <w:r w:rsidRPr="00C67536">
        <w:rPr>
          <w:rFonts w:ascii="Arial" w:hAnsi="Arial" w:cs="Arial"/>
          <w:spacing w:val="6"/>
          <w:sz w:val="26"/>
          <w:szCs w:val="26"/>
        </w:rPr>
        <w:t xml:space="preserve"> </w:t>
      </w:r>
      <w:r w:rsidRPr="00C67536">
        <w:rPr>
          <w:rFonts w:ascii="Arial" w:hAnsi="Arial" w:cs="Arial"/>
          <w:spacing w:val="-2"/>
          <w:sz w:val="26"/>
          <w:szCs w:val="26"/>
        </w:rPr>
        <w:t>siete</w:t>
      </w:r>
      <w:r w:rsidRPr="00C67536">
        <w:rPr>
          <w:rFonts w:ascii="Arial" w:hAnsi="Arial" w:cs="Arial"/>
          <w:spacing w:val="19"/>
          <w:sz w:val="26"/>
          <w:szCs w:val="26"/>
        </w:rPr>
        <w:t xml:space="preserve"> </w:t>
      </w:r>
      <w:r w:rsidRPr="00C67536">
        <w:rPr>
          <w:rFonts w:ascii="Arial" w:hAnsi="Arial" w:cs="Arial"/>
          <w:sz w:val="26"/>
          <w:szCs w:val="26"/>
        </w:rPr>
        <w:t>mil</w:t>
      </w:r>
      <w:r w:rsidRPr="00C67536">
        <w:rPr>
          <w:rFonts w:ascii="Arial" w:hAnsi="Arial" w:cs="Arial"/>
          <w:spacing w:val="6"/>
          <w:sz w:val="26"/>
          <w:szCs w:val="26"/>
        </w:rPr>
        <w:t xml:space="preserve"> </w:t>
      </w:r>
      <w:r w:rsidRPr="00C67536">
        <w:rPr>
          <w:rFonts w:ascii="Arial" w:hAnsi="Arial" w:cs="Arial"/>
          <w:sz w:val="26"/>
          <w:szCs w:val="26"/>
        </w:rPr>
        <w:t>800</w:t>
      </w:r>
      <w:r w:rsidRPr="00C67536">
        <w:rPr>
          <w:rFonts w:ascii="Arial" w:hAnsi="Arial" w:cs="Arial"/>
          <w:spacing w:val="26"/>
          <w:sz w:val="26"/>
          <w:szCs w:val="26"/>
        </w:rPr>
        <w:t xml:space="preserve"> </w:t>
      </w:r>
      <w:r w:rsidRPr="00C67536">
        <w:rPr>
          <w:rFonts w:ascii="Arial" w:hAnsi="Arial" w:cs="Arial"/>
          <w:sz w:val="26"/>
          <w:szCs w:val="26"/>
        </w:rPr>
        <w:t>millones</w:t>
      </w:r>
      <w:r w:rsidRPr="00C67536">
        <w:rPr>
          <w:rFonts w:ascii="Arial" w:hAnsi="Arial" w:cs="Arial"/>
          <w:spacing w:val="14"/>
          <w:sz w:val="26"/>
          <w:szCs w:val="26"/>
        </w:rPr>
        <w:t xml:space="preserve"> </w:t>
      </w:r>
      <w:r w:rsidRPr="00C67536">
        <w:rPr>
          <w:rFonts w:ascii="Arial" w:hAnsi="Arial" w:cs="Arial"/>
          <w:sz w:val="26"/>
          <w:szCs w:val="26"/>
        </w:rPr>
        <w:t>de</w:t>
      </w:r>
      <w:r w:rsidRPr="00C67536">
        <w:rPr>
          <w:rFonts w:ascii="Arial" w:hAnsi="Arial" w:cs="Arial"/>
          <w:spacing w:val="14"/>
          <w:sz w:val="26"/>
          <w:szCs w:val="26"/>
        </w:rPr>
        <w:t xml:space="preserve"> </w:t>
      </w:r>
      <w:r w:rsidRPr="00C67536">
        <w:rPr>
          <w:rFonts w:ascii="Arial" w:hAnsi="Arial" w:cs="Arial"/>
          <w:sz w:val="26"/>
          <w:szCs w:val="26"/>
        </w:rPr>
        <w:t>dólares</w:t>
      </w:r>
      <w:r w:rsidRPr="00C67536">
        <w:rPr>
          <w:rFonts w:ascii="Arial" w:hAnsi="Arial" w:cs="Arial"/>
          <w:spacing w:val="22"/>
          <w:w w:val="99"/>
          <w:sz w:val="26"/>
          <w:szCs w:val="26"/>
        </w:rPr>
        <w:t xml:space="preserve"> </w:t>
      </w:r>
      <w:r w:rsidRPr="00C67536">
        <w:rPr>
          <w:rFonts w:ascii="Arial" w:hAnsi="Arial" w:cs="Arial"/>
          <w:sz w:val="26"/>
          <w:szCs w:val="26"/>
        </w:rPr>
        <w:t>anuales,</w:t>
      </w:r>
      <w:r w:rsidRPr="00C67536">
        <w:rPr>
          <w:rFonts w:ascii="Arial" w:hAnsi="Arial" w:cs="Arial"/>
          <w:spacing w:val="10"/>
          <w:sz w:val="26"/>
          <w:szCs w:val="26"/>
        </w:rPr>
        <w:t xml:space="preserve"> </w:t>
      </w:r>
      <w:r w:rsidRPr="00C67536">
        <w:rPr>
          <w:rFonts w:ascii="Arial" w:hAnsi="Arial" w:cs="Arial"/>
          <w:sz w:val="26"/>
          <w:szCs w:val="26"/>
        </w:rPr>
        <w:t>casi</w:t>
      </w:r>
      <w:r w:rsidRPr="00C67536">
        <w:rPr>
          <w:rFonts w:ascii="Arial" w:hAnsi="Arial" w:cs="Arial"/>
          <w:spacing w:val="-8"/>
          <w:sz w:val="26"/>
          <w:szCs w:val="26"/>
        </w:rPr>
        <w:t xml:space="preserve"> </w:t>
      </w:r>
      <w:r w:rsidRPr="00C67536">
        <w:rPr>
          <w:rFonts w:ascii="Arial" w:hAnsi="Arial" w:cs="Arial"/>
          <w:sz w:val="26"/>
          <w:szCs w:val="26"/>
        </w:rPr>
        <w:t>el</w:t>
      </w:r>
      <w:r w:rsidRPr="00C67536">
        <w:rPr>
          <w:rFonts w:ascii="Arial" w:hAnsi="Arial" w:cs="Arial"/>
          <w:spacing w:val="-11"/>
          <w:sz w:val="26"/>
          <w:szCs w:val="26"/>
        </w:rPr>
        <w:t xml:space="preserve"> </w:t>
      </w:r>
      <w:r w:rsidRPr="00C67536">
        <w:rPr>
          <w:rFonts w:ascii="Arial" w:hAnsi="Arial" w:cs="Arial"/>
          <w:spacing w:val="-1"/>
          <w:sz w:val="26"/>
          <w:szCs w:val="26"/>
        </w:rPr>
        <w:t>doble</w:t>
      </w:r>
      <w:r w:rsidRPr="00C67536">
        <w:rPr>
          <w:rFonts w:ascii="Arial" w:hAnsi="Arial" w:cs="Arial"/>
          <w:spacing w:val="-11"/>
          <w:sz w:val="26"/>
          <w:szCs w:val="26"/>
        </w:rPr>
        <w:t xml:space="preserve"> </w:t>
      </w:r>
      <w:r w:rsidRPr="00C67536">
        <w:rPr>
          <w:rFonts w:ascii="Arial" w:hAnsi="Arial" w:cs="Arial"/>
          <w:sz w:val="26"/>
          <w:szCs w:val="26"/>
        </w:rPr>
        <w:t>de</w:t>
      </w:r>
      <w:r w:rsidRPr="00C67536">
        <w:rPr>
          <w:rFonts w:ascii="Arial" w:hAnsi="Arial" w:cs="Arial"/>
          <w:spacing w:val="2"/>
          <w:sz w:val="26"/>
          <w:szCs w:val="26"/>
        </w:rPr>
        <w:t xml:space="preserve"> </w:t>
      </w:r>
      <w:r w:rsidRPr="00C67536">
        <w:rPr>
          <w:rFonts w:ascii="Arial" w:hAnsi="Arial" w:cs="Arial"/>
          <w:sz w:val="26"/>
          <w:szCs w:val="26"/>
        </w:rPr>
        <w:t>las</w:t>
      </w:r>
      <w:r w:rsidRPr="00C67536">
        <w:rPr>
          <w:rFonts w:ascii="Arial" w:hAnsi="Arial" w:cs="Arial"/>
          <w:spacing w:val="-7"/>
          <w:sz w:val="26"/>
          <w:szCs w:val="26"/>
        </w:rPr>
        <w:t xml:space="preserve"> </w:t>
      </w:r>
      <w:r w:rsidRPr="00C67536">
        <w:rPr>
          <w:rFonts w:ascii="Arial" w:hAnsi="Arial" w:cs="Arial"/>
          <w:sz w:val="26"/>
          <w:szCs w:val="26"/>
        </w:rPr>
        <w:t>pérdidas</w:t>
      </w:r>
      <w:r w:rsidRPr="00C67536">
        <w:rPr>
          <w:rFonts w:ascii="Arial" w:hAnsi="Arial" w:cs="Arial"/>
          <w:spacing w:val="5"/>
          <w:sz w:val="26"/>
          <w:szCs w:val="26"/>
        </w:rPr>
        <w:t xml:space="preserve"> </w:t>
      </w:r>
      <w:r w:rsidRPr="00C67536">
        <w:rPr>
          <w:rFonts w:ascii="Arial" w:hAnsi="Arial" w:cs="Arial"/>
          <w:sz w:val="26"/>
          <w:szCs w:val="26"/>
        </w:rPr>
        <w:t>por</w:t>
      </w:r>
      <w:r w:rsidRPr="00C67536">
        <w:rPr>
          <w:rFonts w:ascii="Arial" w:hAnsi="Arial" w:cs="Arial"/>
          <w:spacing w:val="-10"/>
          <w:sz w:val="26"/>
          <w:szCs w:val="26"/>
        </w:rPr>
        <w:t xml:space="preserve"> </w:t>
      </w:r>
      <w:r w:rsidRPr="00C67536">
        <w:rPr>
          <w:rFonts w:ascii="Arial" w:hAnsi="Arial" w:cs="Arial"/>
          <w:sz w:val="26"/>
          <w:szCs w:val="26"/>
        </w:rPr>
        <w:t>el</w:t>
      </w:r>
      <w:r w:rsidRPr="00C67536">
        <w:rPr>
          <w:rFonts w:ascii="Arial" w:hAnsi="Arial" w:cs="Arial"/>
          <w:spacing w:val="-2"/>
          <w:sz w:val="26"/>
          <w:szCs w:val="26"/>
        </w:rPr>
        <w:t xml:space="preserve"> </w:t>
      </w:r>
      <w:r w:rsidRPr="00C67536">
        <w:rPr>
          <w:rFonts w:ascii="Arial" w:hAnsi="Arial" w:cs="Arial"/>
          <w:sz w:val="26"/>
          <w:szCs w:val="26"/>
        </w:rPr>
        <w:t>robo</w:t>
      </w:r>
      <w:r w:rsidRPr="00C67536">
        <w:rPr>
          <w:rFonts w:ascii="Arial" w:hAnsi="Arial" w:cs="Arial"/>
          <w:spacing w:val="-8"/>
          <w:sz w:val="26"/>
          <w:szCs w:val="26"/>
        </w:rPr>
        <w:t xml:space="preserve"> </w:t>
      </w:r>
      <w:r w:rsidRPr="00C67536">
        <w:rPr>
          <w:rFonts w:ascii="Arial" w:hAnsi="Arial" w:cs="Arial"/>
          <w:sz w:val="26"/>
          <w:szCs w:val="26"/>
        </w:rPr>
        <w:t>de</w:t>
      </w:r>
      <w:r w:rsidRPr="00C67536">
        <w:rPr>
          <w:rFonts w:ascii="Arial" w:hAnsi="Arial" w:cs="Arial"/>
          <w:spacing w:val="-2"/>
          <w:sz w:val="26"/>
          <w:szCs w:val="26"/>
        </w:rPr>
        <w:t xml:space="preserve"> </w:t>
      </w:r>
      <w:r w:rsidRPr="00C67536">
        <w:rPr>
          <w:rFonts w:ascii="Arial" w:hAnsi="Arial" w:cs="Arial"/>
          <w:sz w:val="26"/>
          <w:szCs w:val="26"/>
        </w:rPr>
        <w:t>combustibles.</w:t>
      </w:r>
      <w:r w:rsidRPr="00C67536">
        <w:rPr>
          <w:rFonts w:ascii="Arial" w:hAnsi="Arial" w:cs="Arial"/>
          <w:spacing w:val="-38"/>
          <w:sz w:val="26"/>
          <w:szCs w:val="26"/>
        </w:rPr>
        <w:t xml:space="preserve"> </w:t>
      </w:r>
    </w:p>
    <w:p w14:paraId="5176ABE8" w14:textId="77777777" w:rsidR="00FA2893" w:rsidRPr="00C67536" w:rsidRDefault="00FA2893" w:rsidP="00FA2893">
      <w:pPr>
        <w:ind w:left="709" w:right="616"/>
        <w:jc w:val="both"/>
        <w:rPr>
          <w:rFonts w:ascii="Arial" w:hAnsi="Arial" w:cs="Arial"/>
          <w:position w:val="8"/>
          <w:sz w:val="26"/>
          <w:szCs w:val="26"/>
        </w:rPr>
      </w:pPr>
    </w:p>
    <w:p w14:paraId="50ADC762"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Esto</w:t>
      </w:r>
      <w:r w:rsidRPr="00C67536">
        <w:rPr>
          <w:rFonts w:ascii="Arial" w:hAnsi="Arial" w:cs="Arial"/>
          <w:spacing w:val="14"/>
          <w:sz w:val="26"/>
          <w:szCs w:val="26"/>
        </w:rPr>
        <w:t xml:space="preserve"> </w:t>
      </w:r>
      <w:r w:rsidRPr="00C67536">
        <w:rPr>
          <w:rFonts w:ascii="Arial" w:hAnsi="Arial" w:cs="Arial"/>
          <w:sz w:val="26"/>
          <w:szCs w:val="26"/>
        </w:rPr>
        <w:t>implica</w:t>
      </w:r>
      <w:r w:rsidRPr="00C67536">
        <w:rPr>
          <w:rFonts w:ascii="Arial" w:hAnsi="Arial" w:cs="Arial"/>
          <w:spacing w:val="16"/>
          <w:sz w:val="26"/>
          <w:szCs w:val="26"/>
        </w:rPr>
        <w:t xml:space="preserve"> </w:t>
      </w:r>
      <w:r w:rsidRPr="00C67536">
        <w:rPr>
          <w:rFonts w:ascii="Arial" w:hAnsi="Arial" w:cs="Arial"/>
          <w:sz w:val="26"/>
          <w:szCs w:val="26"/>
        </w:rPr>
        <w:t>una</w:t>
      </w:r>
      <w:r w:rsidRPr="00C67536">
        <w:rPr>
          <w:rFonts w:ascii="Arial" w:hAnsi="Arial" w:cs="Arial"/>
          <w:spacing w:val="5"/>
          <w:sz w:val="26"/>
          <w:szCs w:val="26"/>
        </w:rPr>
        <w:t xml:space="preserve"> </w:t>
      </w:r>
      <w:r w:rsidRPr="00C67536">
        <w:rPr>
          <w:rFonts w:ascii="Arial" w:hAnsi="Arial" w:cs="Arial"/>
          <w:sz w:val="26"/>
          <w:szCs w:val="26"/>
        </w:rPr>
        <w:t>gran</w:t>
      </w:r>
      <w:r w:rsidRPr="00C67536">
        <w:rPr>
          <w:rFonts w:ascii="Arial" w:hAnsi="Arial" w:cs="Arial"/>
          <w:spacing w:val="14"/>
          <w:sz w:val="26"/>
          <w:szCs w:val="26"/>
        </w:rPr>
        <w:t xml:space="preserve"> </w:t>
      </w:r>
      <w:r w:rsidRPr="00C67536">
        <w:rPr>
          <w:rFonts w:ascii="Arial" w:hAnsi="Arial" w:cs="Arial"/>
          <w:sz w:val="26"/>
          <w:szCs w:val="26"/>
        </w:rPr>
        <w:t>presión</w:t>
      </w:r>
      <w:r w:rsidRPr="00C67536">
        <w:rPr>
          <w:rFonts w:ascii="Arial" w:hAnsi="Arial" w:cs="Arial"/>
          <w:spacing w:val="6"/>
          <w:sz w:val="26"/>
          <w:szCs w:val="26"/>
        </w:rPr>
        <w:t xml:space="preserve"> </w:t>
      </w:r>
      <w:r w:rsidRPr="00C67536">
        <w:rPr>
          <w:rFonts w:ascii="Arial" w:hAnsi="Arial" w:cs="Arial"/>
          <w:sz w:val="26"/>
          <w:szCs w:val="26"/>
        </w:rPr>
        <w:t>sobre</w:t>
      </w:r>
      <w:r w:rsidRPr="00C67536">
        <w:rPr>
          <w:rFonts w:ascii="Arial" w:hAnsi="Arial" w:cs="Arial"/>
          <w:spacing w:val="21"/>
          <w:sz w:val="26"/>
          <w:szCs w:val="26"/>
        </w:rPr>
        <w:t xml:space="preserve"> </w:t>
      </w:r>
      <w:r w:rsidRPr="00C67536">
        <w:rPr>
          <w:rFonts w:ascii="Arial" w:hAnsi="Arial" w:cs="Arial"/>
          <w:sz w:val="26"/>
          <w:szCs w:val="26"/>
        </w:rPr>
        <w:t>el</w:t>
      </w:r>
      <w:r w:rsidRPr="00C67536">
        <w:rPr>
          <w:rFonts w:ascii="Arial" w:hAnsi="Arial" w:cs="Arial"/>
          <w:spacing w:val="1"/>
          <w:sz w:val="26"/>
          <w:szCs w:val="26"/>
        </w:rPr>
        <w:t xml:space="preserve"> </w:t>
      </w:r>
      <w:r w:rsidRPr="00C67536">
        <w:rPr>
          <w:rFonts w:ascii="Arial" w:hAnsi="Arial" w:cs="Arial"/>
          <w:sz w:val="26"/>
          <w:szCs w:val="26"/>
        </w:rPr>
        <w:t>presupuesto</w:t>
      </w:r>
      <w:r w:rsidRPr="00C67536">
        <w:rPr>
          <w:rFonts w:ascii="Arial" w:hAnsi="Arial" w:cs="Arial"/>
          <w:spacing w:val="21"/>
          <w:sz w:val="26"/>
          <w:szCs w:val="26"/>
        </w:rPr>
        <w:t xml:space="preserve"> </w:t>
      </w:r>
      <w:r w:rsidRPr="00C67536">
        <w:rPr>
          <w:rFonts w:ascii="Arial" w:hAnsi="Arial" w:cs="Arial"/>
          <w:sz w:val="26"/>
          <w:szCs w:val="26"/>
        </w:rPr>
        <w:t>de</w:t>
      </w:r>
      <w:r w:rsidRPr="00C67536">
        <w:rPr>
          <w:rFonts w:ascii="Arial" w:hAnsi="Arial" w:cs="Arial"/>
          <w:spacing w:val="16"/>
          <w:sz w:val="26"/>
          <w:szCs w:val="26"/>
        </w:rPr>
        <w:t xml:space="preserve"> </w:t>
      </w:r>
      <w:r w:rsidRPr="00C67536">
        <w:rPr>
          <w:rFonts w:ascii="Arial" w:hAnsi="Arial" w:cs="Arial"/>
          <w:sz w:val="26"/>
          <w:szCs w:val="26"/>
        </w:rPr>
        <w:t>los</w:t>
      </w:r>
      <w:r w:rsidRPr="00C67536">
        <w:rPr>
          <w:rFonts w:ascii="Arial" w:hAnsi="Arial" w:cs="Arial"/>
          <w:spacing w:val="1"/>
          <w:sz w:val="26"/>
          <w:szCs w:val="26"/>
        </w:rPr>
        <w:t xml:space="preserve"> </w:t>
      </w:r>
      <w:r w:rsidRPr="00C67536">
        <w:rPr>
          <w:rFonts w:ascii="Arial" w:hAnsi="Arial" w:cs="Arial"/>
          <w:spacing w:val="-1"/>
          <w:sz w:val="26"/>
          <w:szCs w:val="26"/>
        </w:rPr>
        <w:t>si</w:t>
      </w:r>
      <w:r w:rsidRPr="00C67536">
        <w:rPr>
          <w:rFonts w:ascii="Arial" w:hAnsi="Arial" w:cs="Arial"/>
          <w:spacing w:val="-2"/>
          <w:sz w:val="26"/>
          <w:szCs w:val="26"/>
        </w:rPr>
        <w:t>stemas</w:t>
      </w:r>
      <w:r w:rsidRPr="00C67536">
        <w:rPr>
          <w:rFonts w:ascii="Arial" w:hAnsi="Arial" w:cs="Arial"/>
          <w:spacing w:val="15"/>
          <w:sz w:val="26"/>
          <w:szCs w:val="26"/>
        </w:rPr>
        <w:t xml:space="preserve"> </w:t>
      </w:r>
      <w:r w:rsidRPr="00C67536">
        <w:rPr>
          <w:rFonts w:ascii="Arial" w:hAnsi="Arial" w:cs="Arial"/>
          <w:sz w:val="26"/>
          <w:szCs w:val="26"/>
        </w:rPr>
        <w:t>de</w:t>
      </w:r>
      <w:r w:rsidRPr="00C67536">
        <w:rPr>
          <w:rFonts w:ascii="Arial" w:hAnsi="Arial" w:cs="Arial"/>
          <w:spacing w:val="-3"/>
          <w:sz w:val="26"/>
          <w:szCs w:val="26"/>
        </w:rPr>
        <w:t xml:space="preserve"> </w:t>
      </w:r>
      <w:r w:rsidRPr="00C67536">
        <w:rPr>
          <w:rFonts w:ascii="Arial" w:hAnsi="Arial" w:cs="Arial"/>
          <w:sz w:val="26"/>
          <w:szCs w:val="26"/>
        </w:rPr>
        <w:t>salud</w:t>
      </w:r>
      <w:r w:rsidRPr="00C67536">
        <w:rPr>
          <w:rFonts w:ascii="Arial" w:hAnsi="Arial" w:cs="Arial"/>
          <w:spacing w:val="8"/>
          <w:sz w:val="26"/>
          <w:szCs w:val="26"/>
        </w:rPr>
        <w:t xml:space="preserve"> </w:t>
      </w:r>
      <w:r w:rsidRPr="00C67536">
        <w:rPr>
          <w:rFonts w:ascii="Arial" w:hAnsi="Arial" w:cs="Arial"/>
          <w:sz w:val="26"/>
          <w:szCs w:val="26"/>
        </w:rPr>
        <w:t>y</w:t>
      </w:r>
      <w:r w:rsidRPr="00C67536">
        <w:rPr>
          <w:rFonts w:ascii="Arial" w:hAnsi="Arial" w:cs="Arial"/>
          <w:spacing w:val="19"/>
          <w:sz w:val="26"/>
          <w:szCs w:val="26"/>
        </w:rPr>
        <w:t xml:space="preserve"> </w:t>
      </w:r>
      <w:r w:rsidRPr="00C67536">
        <w:rPr>
          <w:rFonts w:ascii="Arial" w:hAnsi="Arial" w:cs="Arial"/>
          <w:sz w:val="26"/>
          <w:szCs w:val="26"/>
        </w:rPr>
        <w:t>las</w:t>
      </w:r>
      <w:r w:rsidRPr="00C67536">
        <w:rPr>
          <w:rFonts w:ascii="Arial" w:hAnsi="Arial" w:cs="Arial"/>
          <w:spacing w:val="20"/>
          <w:w w:val="102"/>
          <w:sz w:val="26"/>
          <w:szCs w:val="26"/>
        </w:rPr>
        <w:t xml:space="preserve"> </w:t>
      </w:r>
      <w:r w:rsidRPr="00C67536">
        <w:rPr>
          <w:rFonts w:ascii="Arial" w:hAnsi="Arial" w:cs="Arial"/>
          <w:sz w:val="26"/>
          <w:szCs w:val="26"/>
        </w:rPr>
        <w:t>finanzas</w:t>
      </w:r>
      <w:r w:rsidRPr="00C67536">
        <w:rPr>
          <w:rFonts w:ascii="Arial" w:hAnsi="Arial" w:cs="Arial"/>
          <w:spacing w:val="14"/>
          <w:sz w:val="26"/>
          <w:szCs w:val="26"/>
        </w:rPr>
        <w:t xml:space="preserve"> </w:t>
      </w:r>
      <w:r w:rsidRPr="00C67536">
        <w:rPr>
          <w:rFonts w:ascii="Arial" w:hAnsi="Arial" w:cs="Arial"/>
          <w:sz w:val="26"/>
          <w:szCs w:val="26"/>
        </w:rPr>
        <w:t>públicas,</w:t>
      </w:r>
      <w:r w:rsidRPr="00C67536">
        <w:rPr>
          <w:rFonts w:ascii="Arial" w:hAnsi="Arial" w:cs="Arial"/>
          <w:spacing w:val="5"/>
          <w:sz w:val="26"/>
          <w:szCs w:val="26"/>
        </w:rPr>
        <w:t xml:space="preserve"> </w:t>
      </w:r>
      <w:r w:rsidRPr="00C67536">
        <w:rPr>
          <w:rFonts w:ascii="Arial" w:hAnsi="Arial" w:cs="Arial"/>
          <w:sz w:val="26"/>
          <w:szCs w:val="26"/>
        </w:rPr>
        <w:t>pero</w:t>
      </w:r>
      <w:r w:rsidRPr="00C67536">
        <w:rPr>
          <w:rFonts w:ascii="Arial" w:hAnsi="Arial" w:cs="Arial"/>
          <w:spacing w:val="-2"/>
          <w:sz w:val="26"/>
          <w:szCs w:val="26"/>
        </w:rPr>
        <w:t xml:space="preserve"> </w:t>
      </w:r>
      <w:r w:rsidRPr="00C67536">
        <w:rPr>
          <w:rFonts w:ascii="Arial" w:hAnsi="Arial" w:cs="Arial"/>
          <w:sz w:val="26"/>
          <w:szCs w:val="26"/>
        </w:rPr>
        <w:t>sobre</w:t>
      </w:r>
      <w:r w:rsidRPr="00C67536">
        <w:rPr>
          <w:rFonts w:ascii="Arial" w:hAnsi="Arial" w:cs="Arial"/>
          <w:spacing w:val="4"/>
          <w:sz w:val="26"/>
          <w:szCs w:val="26"/>
        </w:rPr>
        <w:t xml:space="preserve"> </w:t>
      </w:r>
      <w:r w:rsidRPr="00C67536">
        <w:rPr>
          <w:rFonts w:ascii="Arial" w:hAnsi="Arial" w:cs="Arial"/>
          <w:sz w:val="26"/>
          <w:szCs w:val="26"/>
        </w:rPr>
        <w:t>todo,</w:t>
      </w:r>
      <w:r w:rsidRPr="00C67536">
        <w:rPr>
          <w:rFonts w:ascii="Arial" w:hAnsi="Arial" w:cs="Arial"/>
          <w:spacing w:val="11"/>
          <w:sz w:val="26"/>
          <w:szCs w:val="26"/>
        </w:rPr>
        <w:t xml:space="preserve"> </w:t>
      </w:r>
      <w:r w:rsidRPr="00C67536">
        <w:rPr>
          <w:rFonts w:ascii="Arial" w:hAnsi="Arial" w:cs="Arial"/>
          <w:sz w:val="26"/>
          <w:szCs w:val="26"/>
        </w:rPr>
        <w:t>castiga</w:t>
      </w:r>
      <w:r w:rsidRPr="00C67536">
        <w:rPr>
          <w:rFonts w:ascii="Arial" w:hAnsi="Arial" w:cs="Arial"/>
          <w:spacing w:val="1"/>
          <w:sz w:val="26"/>
          <w:szCs w:val="26"/>
        </w:rPr>
        <w:t xml:space="preserve"> </w:t>
      </w:r>
      <w:r w:rsidRPr="00C67536">
        <w:rPr>
          <w:rFonts w:ascii="Arial" w:hAnsi="Arial" w:cs="Arial"/>
          <w:sz w:val="26"/>
          <w:szCs w:val="26"/>
        </w:rPr>
        <w:t>de manera</w:t>
      </w:r>
      <w:r w:rsidRPr="00C67536">
        <w:rPr>
          <w:rFonts w:ascii="Arial" w:hAnsi="Arial" w:cs="Arial"/>
          <w:spacing w:val="10"/>
          <w:sz w:val="26"/>
          <w:szCs w:val="26"/>
        </w:rPr>
        <w:t xml:space="preserve"> </w:t>
      </w:r>
      <w:r w:rsidRPr="00C67536">
        <w:rPr>
          <w:rFonts w:ascii="Arial" w:hAnsi="Arial" w:cs="Arial"/>
          <w:sz w:val="26"/>
          <w:szCs w:val="26"/>
        </w:rPr>
        <w:t>injusta</w:t>
      </w:r>
      <w:r w:rsidRPr="00C67536">
        <w:rPr>
          <w:rFonts w:ascii="Arial" w:hAnsi="Arial" w:cs="Arial"/>
          <w:spacing w:val="-6"/>
          <w:sz w:val="26"/>
          <w:szCs w:val="26"/>
        </w:rPr>
        <w:t xml:space="preserve"> </w:t>
      </w:r>
      <w:r w:rsidRPr="00C67536">
        <w:rPr>
          <w:rFonts w:ascii="Arial" w:hAnsi="Arial" w:cs="Arial"/>
          <w:sz w:val="26"/>
          <w:szCs w:val="26"/>
        </w:rPr>
        <w:t>a</w:t>
      </w:r>
      <w:r w:rsidRPr="00C67536">
        <w:rPr>
          <w:rFonts w:ascii="Arial" w:hAnsi="Arial" w:cs="Arial"/>
          <w:spacing w:val="5"/>
          <w:sz w:val="26"/>
          <w:szCs w:val="26"/>
        </w:rPr>
        <w:t xml:space="preserve"> </w:t>
      </w:r>
      <w:r w:rsidRPr="00C67536">
        <w:rPr>
          <w:rFonts w:ascii="Arial" w:hAnsi="Arial" w:cs="Arial"/>
          <w:sz w:val="26"/>
          <w:szCs w:val="26"/>
        </w:rPr>
        <w:t>la</w:t>
      </w:r>
      <w:r w:rsidRPr="00C67536">
        <w:rPr>
          <w:rFonts w:ascii="Arial" w:hAnsi="Arial" w:cs="Arial"/>
          <w:spacing w:val="-8"/>
          <w:sz w:val="26"/>
          <w:szCs w:val="26"/>
        </w:rPr>
        <w:t xml:space="preserve"> </w:t>
      </w:r>
      <w:r w:rsidRPr="00C67536">
        <w:rPr>
          <w:rFonts w:ascii="Arial" w:hAnsi="Arial" w:cs="Arial"/>
          <w:sz w:val="26"/>
          <w:szCs w:val="26"/>
        </w:rPr>
        <w:t>economía</w:t>
      </w:r>
      <w:r w:rsidRPr="00C67536">
        <w:rPr>
          <w:rFonts w:ascii="Arial" w:hAnsi="Arial" w:cs="Arial"/>
          <w:spacing w:val="10"/>
          <w:sz w:val="26"/>
          <w:szCs w:val="26"/>
        </w:rPr>
        <w:t xml:space="preserve"> </w:t>
      </w:r>
      <w:r w:rsidRPr="00C67536">
        <w:rPr>
          <w:rFonts w:ascii="Arial" w:hAnsi="Arial" w:cs="Arial"/>
          <w:sz w:val="26"/>
          <w:szCs w:val="26"/>
        </w:rPr>
        <w:t>de</w:t>
      </w:r>
      <w:r w:rsidRPr="00C67536">
        <w:rPr>
          <w:rFonts w:ascii="Arial" w:hAnsi="Arial" w:cs="Arial"/>
          <w:spacing w:val="4"/>
          <w:sz w:val="26"/>
          <w:szCs w:val="26"/>
        </w:rPr>
        <w:t xml:space="preserve"> </w:t>
      </w:r>
      <w:r w:rsidRPr="00C67536">
        <w:rPr>
          <w:rFonts w:ascii="Arial" w:hAnsi="Arial" w:cs="Arial"/>
          <w:sz w:val="26"/>
          <w:szCs w:val="26"/>
        </w:rPr>
        <w:t>las familias más empobrecidas y vulneradas. De no legislar para combatir la obesidad de manera integral, la situación económica se volverá insostenible para todos.</w:t>
      </w:r>
    </w:p>
    <w:p w14:paraId="35C6EE38" w14:textId="77777777" w:rsidR="00FA2893" w:rsidRPr="00C67536" w:rsidRDefault="00FA2893" w:rsidP="00FA2893">
      <w:pPr>
        <w:ind w:left="709" w:right="616"/>
        <w:jc w:val="both"/>
        <w:rPr>
          <w:rFonts w:ascii="Arial" w:hAnsi="Arial" w:cs="Arial"/>
          <w:sz w:val="26"/>
          <w:szCs w:val="26"/>
        </w:rPr>
      </w:pPr>
    </w:p>
    <w:p w14:paraId="2BAD983C"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Para esta Comisión dictaminadora, invertir en la prevención de enfermedades crónicas no transmisibles es una acción costo-efectiva y por lo tanto, es un deber implementar medidas preventivas. Esto puede ser comprobado con diversos estudios que calculan que la implementación de acciones integrales para la prevención de la obesidad (lo que incluye por ejemplo: campañas informativas en medios masivos, etiquetados de alimentos y bebidas con información nutrimental clara, restricción de la publicidad y de productos malsanos dirigida a niños y niñas, medidas fiscales sobre, etc.), costaría 40.85 pesos por persona, mientras que el Instituto Mexicano para la Competitividad (IMCO) estimó que las pérdidas económicas por este problema equivalen a más de 840 pesos por persona.</w:t>
      </w:r>
    </w:p>
    <w:p w14:paraId="3DB610FC" w14:textId="77777777" w:rsidR="00FA2893" w:rsidRPr="00C67536" w:rsidRDefault="00FA2893" w:rsidP="00FA2893">
      <w:pPr>
        <w:ind w:left="709" w:right="616"/>
        <w:jc w:val="both"/>
        <w:rPr>
          <w:rFonts w:ascii="Arial" w:hAnsi="Arial" w:cs="Arial"/>
          <w:sz w:val="26"/>
          <w:szCs w:val="26"/>
        </w:rPr>
      </w:pPr>
    </w:p>
    <w:p w14:paraId="0CB66F90"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También, se han estimado diferentes escenarios sobre cómo vivir con diabetes, afecta en la productividad laboral de las personas trabajadoras. De acuerdo con el Global Burden of Disease, las personas que viven con diabetes y varias complicaciones pierden en promedio 4.94% de su tiempo laboral debido a esta enfermedad.</w:t>
      </w:r>
    </w:p>
    <w:p w14:paraId="4DE29CE3" w14:textId="77777777" w:rsidR="00FA2893" w:rsidRPr="00C67536" w:rsidRDefault="00FA2893" w:rsidP="00FA2893">
      <w:pPr>
        <w:ind w:left="709" w:right="616"/>
        <w:jc w:val="both"/>
        <w:rPr>
          <w:rFonts w:ascii="Arial" w:hAnsi="Arial" w:cs="Arial"/>
          <w:sz w:val="26"/>
          <w:szCs w:val="26"/>
        </w:rPr>
      </w:pPr>
    </w:p>
    <w:p w14:paraId="09A98570"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En resumen, el IMCO ha calculado que los costos totales por diabetes atribuible al sobrepeso y la obesidad, oscilan entre 82 y 98 mil millones de pesos. No hay que olvidar que estas estimaciones, sólo consideran una de las enfermedades crónicas por exceso de peso, la diabetes, y se dejan fuera otras enfermedades directamente relacionadas como la hipertensión arterial, osteoartritis, y diferentes tipos de cáncer. De integrarse en el cálculo, podríamos observar como este se incrementa considerablemente, lo que significa que las personas y los sistemas de salud podrían quedar en quiebra.</w:t>
      </w:r>
    </w:p>
    <w:p w14:paraId="4770CC6A" w14:textId="77777777" w:rsidR="00FA2893" w:rsidRPr="00C67536" w:rsidRDefault="00FA2893" w:rsidP="00FA2893">
      <w:pPr>
        <w:ind w:left="709" w:right="616"/>
        <w:jc w:val="both"/>
        <w:rPr>
          <w:rFonts w:ascii="Arial" w:hAnsi="Arial" w:cs="Arial"/>
          <w:sz w:val="26"/>
          <w:szCs w:val="26"/>
        </w:rPr>
      </w:pPr>
    </w:p>
    <w:p w14:paraId="4D5ED739"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Por otro lado, y de acuerdo con datos de la ENOE, tan solo en 2012, el 66% de la población económicamente activa no tenía acceso a las instituciones de salud. El estudio del IMCO reveló que una persona con diabetes controlada, enfrenta costos totales durante todo el tratamiento de aproximadamente: $92,860 pesos, mientras que el costo total de tratamiento de una persona con complicaciones de diabetes puede incrementar hasta los $1’976,054 pesos.</w:t>
      </w:r>
    </w:p>
    <w:p w14:paraId="4A7381F2" w14:textId="77777777" w:rsidR="00FA2893" w:rsidRPr="00C67536" w:rsidRDefault="00FA2893" w:rsidP="00FA2893">
      <w:pPr>
        <w:ind w:left="709" w:right="616"/>
        <w:jc w:val="both"/>
        <w:rPr>
          <w:rFonts w:ascii="Arial" w:hAnsi="Arial" w:cs="Arial"/>
          <w:sz w:val="26"/>
          <w:szCs w:val="26"/>
        </w:rPr>
      </w:pPr>
    </w:p>
    <w:p w14:paraId="4C4CEB64"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Investigadores concluyen que un mexicano promedio no podría bajo circunstancias normales cubrir estos costos de tratamiento. Incluso si el enfermo siguiera trabajando después de los 65 años, acumularía un ingreso de $1,856,880 pesos (considerando el salario promedio anual de la Encuesta Nacional de Ocupación y Empleo 2012). Cifra que, apenas alcanza para cubrir el 88% del costo total que requeriría el tratamiento necesario. Esta es la razón por la cual, miles de mexicanos y mexicanas que no pueden costear el tratamiento mueren de manera prematura y dolorosa, los mismos mexicanos que se encuentran en mayor vulnerabilidad económica y rezago social.</w:t>
      </w:r>
    </w:p>
    <w:p w14:paraId="3DEF4A4C" w14:textId="77777777" w:rsidR="00FA2893" w:rsidRPr="00C67536" w:rsidRDefault="00FA2893" w:rsidP="00FA2893">
      <w:pPr>
        <w:ind w:left="709" w:right="616"/>
        <w:jc w:val="both"/>
        <w:rPr>
          <w:rFonts w:ascii="Arial" w:hAnsi="Arial" w:cs="Arial"/>
          <w:sz w:val="26"/>
          <w:szCs w:val="26"/>
        </w:rPr>
      </w:pPr>
    </w:p>
    <w:p w14:paraId="20021FD3"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Cabe mencionar que en 2016, IMSS e ISSSTE gastaron en conjunto alrededor de 95 mmdp de sus presupuestos en atender diabetes, hipertensión e insuficiencia renal, suma que equivale al 31.4% del presupuesto total destinado a estas instituciones para salud. Para ambas instituciones, es consistente que la frecuencia en consultas y egresos hospitalarios se concentra en dos de las enfermedades que abordamos: diabetes e hipertensión.</w:t>
      </w:r>
    </w:p>
    <w:p w14:paraId="0C8BAFCE" w14:textId="77777777" w:rsidR="00FA2893" w:rsidRPr="00C67536" w:rsidRDefault="00FA2893" w:rsidP="00FA2893">
      <w:pPr>
        <w:ind w:left="709" w:right="616"/>
        <w:jc w:val="both"/>
        <w:rPr>
          <w:rFonts w:ascii="Arial" w:hAnsi="Arial" w:cs="Arial"/>
          <w:sz w:val="26"/>
          <w:szCs w:val="26"/>
        </w:rPr>
      </w:pPr>
    </w:p>
    <w:p w14:paraId="65E4369E"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Adicionalmente, en 2019, el Dr. Cristian Morales Furhimann, representante de la Organización Panamericana de la Salud declaró que la obesidad y sus complicaciones, cuestan a México más de 7 mil 800 millones de dólares cada año (casi el doble que las pérdidas económicas por el huachicoleo en México), y advirtió que de continuar esta situación, México no podría cumplir con los objetivos de la Agenda 2030 para el Desarrollo Sostenible, un compromiso importante adquirido en el plano internacional para garantizar condiciones de vida y desarrollo dignas para toda la población.</w:t>
      </w:r>
    </w:p>
    <w:p w14:paraId="7F1041DB" w14:textId="77777777" w:rsidR="00FA2893" w:rsidRPr="00C67536" w:rsidRDefault="00FA2893" w:rsidP="00FA2893">
      <w:pPr>
        <w:ind w:left="709" w:right="616"/>
        <w:jc w:val="both"/>
        <w:rPr>
          <w:rFonts w:ascii="Arial" w:hAnsi="Arial" w:cs="Arial"/>
          <w:sz w:val="26"/>
          <w:szCs w:val="26"/>
        </w:rPr>
      </w:pPr>
    </w:p>
    <w:p w14:paraId="2DBB756E"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Situación por la cual, los integrantes de esta Comisión dictaminadora concluyen que es necesario actuar sobre los determinantes de la obesidad y la diabetes, toda vez que, también ponen en gran riesgo a las familias de ingresos medios en virtud de que pueden caer con facilidad en situación de pobreza al intentar cubrir los tratamientos generados por las enfermedades en comento. Lo que permite que se perpetúe la condición de rezago en las familias más pobres de este país.</w:t>
      </w:r>
    </w:p>
    <w:p w14:paraId="0B94D501" w14:textId="77777777" w:rsidR="00FA2893" w:rsidRPr="00C67536" w:rsidRDefault="00FA2893" w:rsidP="00FA2893">
      <w:pPr>
        <w:ind w:left="709" w:right="616"/>
        <w:jc w:val="both"/>
        <w:rPr>
          <w:rFonts w:ascii="Arial" w:hAnsi="Arial" w:cs="Arial"/>
          <w:sz w:val="26"/>
          <w:szCs w:val="26"/>
        </w:rPr>
      </w:pPr>
    </w:p>
    <w:p w14:paraId="67BC4B3F" w14:textId="77777777" w:rsidR="00FA2893" w:rsidRPr="00C67536" w:rsidRDefault="00FA2893" w:rsidP="00FA2893">
      <w:pPr>
        <w:ind w:left="709" w:right="616"/>
        <w:jc w:val="both"/>
        <w:rPr>
          <w:rFonts w:ascii="Arial" w:hAnsi="Arial" w:cs="Arial"/>
          <w:sz w:val="26"/>
          <w:szCs w:val="26"/>
        </w:rPr>
      </w:pPr>
      <w:r w:rsidRPr="00C67536">
        <w:rPr>
          <w:rFonts w:ascii="Arial" w:hAnsi="Arial" w:cs="Arial"/>
          <w:sz w:val="26"/>
          <w:szCs w:val="26"/>
        </w:rPr>
        <w:t>Dada la magnitud del problema, es urgente adoptar una política de Estado lo suficientemente efectiva que incentive a los individuos a adoptar hábitos más saludables. El etiquetado de alimentos y bebidas definitivamente es una política para lograrlo […]”.</w:t>
      </w:r>
    </w:p>
    <w:p w14:paraId="1E2DDE86" w14:textId="77777777" w:rsidR="00FA2893" w:rsidRPr="00C67536" w:rsidRDefault="00FA2893" w:rsidP="00FA05BE">
      <w:pPr>
        <w:pStyle w:val="ListParagraph"/>
        <w:rPr>
          <w:rStyle w:val="Heading1Char"/>
          <w:rFonts w:ascii="Arial" w:hAnsi="Arial" w:cs="Arial"/>
          <w:color w:val="auto"/>
          <w:sz w:val="28"/>
          <w:szCs w:val="28"/>
        </w:rPr>
      </w:pPr>
    </w:p>
    <w:p w14:paraId="57E2FF93" w14:textId="77777777" w:rsidR="00FA2893" w:rsidRPr="00C67536" w:rsidRDefault="00FA2893" w:rsidP="00FA2893">
      <w:pPr>
        <w:pStyle w:val="ListParagraph"/>
        <w:rPr>
          <w:rStyle w:val="Heading1Char"/>
          <w:rFonts w:ascii="Arial" w:hAnsi="Arial" w:cs="Arial"/>
          <w:color w:val="auto"/>
          <w:sz w:val="28"/>
          <w:szCs w:val="28"/>
          <w:lang w:val="es-ES"/>
        </w:rPr>
      </w:pPr>
    </w:p>
    <w:p w14:paraId="5D09919C" w14:textId="77777777" w:rsidR="00FA2893" w:rsidRPr="00C67536" w:rsidRDefault="00FA2893" w:rsidP="00FA2893">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De la anterior transcripción es posible inferir que las modificaciones a las porciones tildadas de inconstitucionales obedecieron a lo siguiente:</w:t>
      </w:r>
    </w:p>
    <w:p w14:paraId="2521AAFE" w14:textId="77777777" w:rsidR="00FA2893" w:rsidRPr="00C67536" w:rsidRDefault="00FA2893" w:rsidP="00FA05BE">
      <w:pPr>
        <w:pStyle w:val="corte4fondo"/>
        <w:spacing w:line="240" w:lineRule="auto"/>
        <w:ind w:firstLine="0"/>
        <w:rPr>
          <w:rStyle w:val="Heading1Char"/>
          <w:rFonts w:ascii="Arial" w:eastAsia="Times New Roman" w:hAnsi="Arial" w:cs="Arial"/>
          <w:color w:val="auto"/>
          <w:sz w:val="28"/>
          <w:szCs w:val="28"/>
        </w:rPr>
      </w:pPr>
    </w:p>
    <w:p w14:paraId="4491EB0D" w14:textId="77777777" w:rsidR="00FA2893" w:rsidRPr="00C67536" w:rsidRDefault="00FA2893" w:rsidP="00FA2893">
      <w:pPr>
        <w:pStyle w:val="corte4fondo"/>
        <w:numPr>
          <w:ilvl w:val="0"/>
          <w:numId w:val="21"/>
        </w:numPr>
        <w:spacing w:after="240"/>
        <w:ind w:right="51"/>
        <w:rPr>
          <w:rFonts w:cs="Arial"/>
          <w:sz w:val="28"/>
          <w:szCs w:val="28"/>
          <w:lang w:val="es-ES"/>
        </w:rPr>
      </w:pPr>
      <w:r w:rsidRPr="00C67536">
        <w:rPr>
          <w:rFonts w:cs="Arial"/>
          <w:sz w:val="28"/>
          <w:szCs w:val="28"/>
          <w:lang w:val="es-ES"/>
        </w:rPr>
        <w:t xml:space="preserve">A las cifras tan alarmantes de obesidad en la población mexicana, particularmente, en tratándose de menores de edad. </w:t>
      </w:r>
    </w:p>
    <w:p w14:paraId="2CF33DD8" w14:textId="77777777" w:rsidR="00FA2893" w:rsidRPr="00C67536" w:rsidRDefault="00FA2893" w:rsidP="00FA05BE">
      <w:pPr>
        <w:pStyle w:val="corte4fondo"/>
        <w:spacing w:line="240" w:lineRule="auto"/>
        <w:ind w:left="1366" w:right="51" w:firstLine="0"/>
        <w:rPr>
          <w:rFonts w:cs="Arial"/>
          <w:sz w:val="28"/>
          <w:szCs w:val="28"/>
          <w:lang w:val="es-ES"/>
        </w:rPr>
      </w:pPr>
    </w:p>
    <w:p w14:paraId="0A98656F" w14:textId="77777777" w:rsidR="00FA2893" w:rsidRPr="00C67536" w:rsidRDefault="00FA2893" w:rsidP="00FA2893">
      <w:pPr>
        <w:pStyle w:val="corte4fondo"/>
        <w:numPr>
          <w:ilvl w:val="0"/>
          <w:numId w:val="21"/>
        </w:numPr>
        <w:spacing w:after="240"/>
        <w:ind w:right="51"/>
        <w:rPr>
          <w:rFonts w:cs="Arial"/>
          <w:sz w:val="28"/>
          <w:szCs w:val="28"/>
          <w:lang w:val="es-ES"/>
        </w:rPr>
      </w:pPr>
      <w:r w:rsidRPr="00C67536">
        <w:rPr>
          <w:rFonts w:cs="Arial"/>
          <w:sz w:val="28"/>
          <w:szCs w:val="28"/>
        </w:rPr>
        <w:t>A las dos declaratorias de emergencia epidemiológica emitidas por la Secretaría de Salud, una por obesidad y la otra por diabetes.</w:t>
      </w:r>
    </w:p>
    <w:p w14:paraId="1377FE43" w14:textId="77777777" w:rsidR="00FA2893" w:rsidRPr="00C67536" w:rsidRDefault="00FA2893" w:rsidP="00FA2893">
      <w:pPr>
        <w:pStyle w:val="ListParagraph"/>
        <w:rPr>
          <w:rFonts w:ascii="Arial" w:hAnsi="Arial" w:cs="Arial"/>
          <w:sz w:val="28"/>
          <w:szCs w:val="28"/>
          <w:lang w:val="es-ES"/>
        </w:rPr>
      </w:pPr>
    </w:p>
    <w:p w14:paraId="7D6206E2" w14:textId="77777777" w:rsidR="00FA2893" w:rsidRPr="00C67536" w:rsidRDefault="00FA2893" w:rsidP="00FA2893">
      <w:pPr>
        <w:pStyle w:val="corte4fondo"/>
        <w:numPr>
          <w:ilvl w:val="0"/>
          <w:numId w:val="21"/>
        </w:numPr>
        <w:spacing w:after="240"/>
        <w:ind w:right="51"/>
        <w:rPr>
          <w:rFonts w:cs="Arial"/>
          <w:b/>
          <w:sz w:val="28"/>
          <w:szCs w:val="28"/>
          <w:lang w:val="es-ES"/>
        </w:rPr>
      </w:pPr>
      <w:r w:rsidRPr="00C67536">
        <w:rPr>
          <w:rFonts w:cs="Arial"/>
          <w:sz w:val="28"/>
          <w:szCs w:val="28"/>
        </w:rPr>
        <w:t>Porque la obesidad se convirtió en el principal factor de riesgo para el desarrollo de enfermedades no transmisibles (ECNT) o crónico degenerativas; y</w:t>
      </w:r>
    </w:p>
    <w:p w14:paraId="34AF154C" w14:textId="77777777" w:rsidR="00FA2893" w:rsidRPr="00C67536" w:rsidRDefault="00FA2893" w:rsidP="00FA2893">
      <w:pPr>
        <w:pStyle w:val="ListParagraph"/>
        <w:rPr>
          <w:rFonts w:ascii="Arial" w:hAnsi="Arial" w:cs="Arial"/>
          <w:b/>
          <w:bCs/>
          <w:sz w:val="28"/>
          <w:szCs w:val="28"/>
        </w:rPr>
      </w:pPr>
    </w:p>
    <w:p w14:paraId="3BD0CE90" w14:textId="77777777" w:rsidR="00FA2893" w:rsidRPr="00C67536" w:rsidRDefault="00FA2893" w:rsidP="00FA2893">
      <w:pPr>
        <w:pStyle w:val="corte4fondo"/>
        <w:numPr>
          <w:ilvl w:val="0"/>
          <w:numId w:val="21"/>
        </w:numPr>
        <w:spacing w:after="240"/>
        <w:ind w:right="51"/>
        <w:rPr>
          <w:rFonts w:cs="Arial"/>
          <w:sz w:val="28"/>
          <w:szCs w:val="28"/>
          <w:lang w:val="es-ES"/>
        </w:rPr>
      </w:pPr>
      <w:r w:rsidRPr="00C67536">
        <w:rPr>
          <w:rFonts w:cs="Arial"/>
          <w:sz w:val="28"/>
          <w:szCs w:val="28"/>
        </w:rPr>
        <w:t>Porque una de las causas subyacentes de la obesidad, lo es la falta de información clara para los consumidores; y</w:t>
      </w:r>
    </w:p>
    <w:p w14:paraId="54914EDE" w14:textId="77777777" w:rsidR="00FA2893" w:rsidRPr="00C67536" w:rsidRDefault="00FA2893" w:rsidP="00FA2893">
      <w:pPr>
        <w:pStyle w:val="ListParagraph"/>
        <w:rPr>
          <w:rFonts w:ascii="Arial" w:hAnsi="Arial" w:cs="Arial"/>
          <w:sz w:val="28"/>
          <w:szCs w:val="28"/>
          <w:lang w:val="es-ES"/>
        </w:rPr>
      </w:pPr>
    </w:p>
    <w:p w14:paraId="658B6B58" w14:textId="77777777" w:rsidR="00FA2893" w:rsidRPr="00C67536" w:rsidRDefault="00FA2893" w:rsidP="00FA2893">
      <w:pPr>
        <w:pStyle w:val="corte4fondo"/>
        <w:numPr>
          <w:ilvl w:val="0"/>
          <w:numId w:val="21"/>
        </w:numPr>
        <w:spacing w:after="240"/>
        <w:ind w:right="51"/>
        <w:rPr>
          <w:rFonts w:cs="Arial"/>
          <w:sz w:val="28"/>
          <w:szCs w:val="28"/>
          <w:lang w:val="es-ES"/>
        </w:rPr>
      </w:pPr>
      <w:r w:rsidRPr="00C67536">
        <w:rPr>
          <w:rFonts w:cs="Arial"/>
          <w:sz w:val="28"/>
          <w:szCs w:val="28"/>
          <w:lang w:val="es-ES"/>
        </w:rPr>
        <w:t xml:space="preserve">Porque la obesidad no es solo un problema de salud pública, sino también una carga financiera considerable, que genera </w:t>
      </w:r>
      <w:r w:rsidRPr="00C67536">
        <w:rPr>
          <w:rFonts w:cs="Arial"/>
          <w:sz w:val="28"/>
          <w:szCs w:val="28"/>
          <w:lang w:val="es-MX"/>
        </w:rPr>
        <w:t>una</w:t>
      </w:r>
      <w:r w:rsidRPr="00C67536">
        <w:rPr>
          <w:rFonts w:cs="Arial"/>
          <w:spacing w:val="5"/>
          <w:sz w:val="28"/>
          <w:szCs w:val="28"/>
          <w:lang w:val="es-MX"/>
        </w:rPr>
        <w:t xml:space="preserve"> </w:t>
      </w:r>
      <w:r w:rsidRPr="00C67536">
        <w:rPr>
          <w:rFonts w:cs="Arial"/>
          <w:sz w:val="28"/>
          <w:szCs w:val="28"/>
          <w:lang w:val="es-MX"/>
        </w:rPr>
        <w:t>gran</w:t>
      </w:r>
      <w:r w:rsidRPr="00C67536">
        <w:rPr>
          <w:rFonts w:cs="Arial"/>
          <w:spacing w:val="14"/>
          <w:sz w:val="28"/>
          <w:szCs w:val="28"/>
          <w:lang w:val="es-MX"/>
        </w:rPr>
        <w:t xml:space="preserve"> </w:t>
      </w:r>
      <w:r w:rsidRPr="00C67536">
        <w:rPr>
          <w:rFonts w:cs="Arial"/>
          <w:sz w:val="28"/>
          <w:szCs w:val="28"/>
          <w:lang w:val="es-MX"/>
        </w:rPr>
        <w:t>presión</w:t>
      </w:r>
      <w:r w:rsidRPr="00C67536">
        <w:rPr>
          <w:rFonts w:cs="Arial"/>
          <w:spacing w:val="6"/>
          <w:sz w:val="28"/>
          <w:szCs w:val="28"/>
          <w:lang w:val="es-MX"/>
        </w:rPr>
        <w:t xml:space="preserve"> </w:t>
      </w:r>
      <w:r w:rsidRPr="00C67536">
        <w:rPr>
          <w:rFonts w:cs="Arial"/>
          <w:sz w:val="28"/>
          <w:szCs w:val="28"/>
          <w:lang w:val="es-MX"/>
        </w:rPr>
        <w:t>sobre</w:t>
      </w:r>
      <w:r w:rsidRPr="00C67536">
        <w:rPr>
          <w:rFonts w:cs="Arial"/>
          <w:spacing w:val="21"/>
          <w:sz w:val="28"/>
          <w:szCs w:val="28"/>
          <w:lang w:val="es-MX"/>
        </w:rPr>
        <w:t xml:space="preserve"> </w:t>
      </w:r>
      <w:r w:rsidRPr="00C67536">
        <w:rPr>
          <w:rFonts w:cs="Arial"/>
          <w:sz w:val="28"/>
          <w:szCs w:val="28"/>
          <w:lang w:val="es-MX"/>
        </w:rPr>
        <w:t>el</w:t>
      </w:r>
      <w:r w:rsidRPr="00C67536">
        <w:rPr>
          <w:rFonts w:cs="Arial"/>
          <w:spacing w:val="1"/>
          <w:sz w:val="28"/>
          <w:szCs w:val="28"/>
          <w:lang w:val="es-MX"/>
        </w:rPr>
        <w:t xml:space="preserve"> </w:t>
      </w:r>
      <w:r w:rsidRPr="00C67536">
        <w:rPr>
          <w:rFonts w:cs="Arial"/>
          <w:sz w:val="28"/>
          <w:szCs w:val="28"/>
          <w:lang w:val="es-MX"/>
        </w:rPr>
        <w:t>presupuesto</w:t>
      </w:r>
      <w:r w:rsidRPr="00C67536">
        <w:rPr>
          <w:rFonts w:cs="Arial"/>
          <w:spacing w:val="21"/>
          <w:sz w:val="28"/>
          <w:szCs w:val="28"/>
          <w:lang w:val="es-MX"/>
        </w:rPr>
        <w:t xml:space="preserve"> </w:t>
      </w:r>
      <w:r w:rsidRPr="00C67536">
        <w:rPr>
          <w:rFonts w:cs="Arial"/>
          <w:sz w:val="28"/>
          <w:szCs w:val="28"/>
          <w:lang w:val="es-MX"/>
        </w:rPr>
        <w:t>de</w:t>
      </w:r>
      <w:r w:rsidRPr="00C67536">
        <w:rPr>
          <w:rFonts w:cs="Arial"/>
          <w:spacing w:val="16"/>
          <w:sz w:val="28"/>
          <w:szCs w:val="28"/>
          <w:lang w:val="es-MX"/>
        </w:rPr>
        <w:t xml:space="preserve"> </w:t>
      </w:r>
      <w:r w:rsidRPr="00C67536">
        <w:rPr>
          <w:rFonts w:cs="Arial"/>
          <w:sz w:val="28"/>
          <w:szCs w:val="28"/>
          <w:lang w:val="es-MX"/>
        </w:rPr>
        <w:t>los</w:t>
      </w:r>
      <w:r w:rsidRPr="00C67536">
        <w:rPr>
          <w:rFonts w:cs="Arial"/>
          <w:spacing w:val="1"/>
          <w:sz w:val="28"/>
          <w:szCs w:val="28"/>
          <w:lang w:val="es-MX"/>
        </w:rPr>
        <w:t xml:space="preserve"> </w:t>
      </w:r>
      <w:r w:rsidRPr="00C67536">
        <w:rPr>
          <w:rFonts w:cs="Arial"/>
          <w:spacing w:val="-1"/>
          <w:sz w:val="28"/>
          <w:szCs w:val="28"/>
          <w:lang w:val="es-MX"/>
        </w:rPr>
        <w:t>si</w:t>
      </w:r>
      <w:r w:rsidRPr="00C67536">
        <w:rPr>
          <w:rFonts w:cs="Arial"/>
          <w:spacing w:val="-2"/>
          <w:sz w:val="28"/>
          <w:szCs w:val="28"/>
          <w:lang w:val="es-MX"/>
        </w:rPr>
        <w:t>stemas</w:t>
      </w:r>
      <w:r w:rsidRPr="00C67536">
        <w:rPr>
          <w:rFonts w:cs="Arial"/>
          <w:spacing w:val="15"/>
          <w:sz w:val="28"/>
          <w:szCs w:val="28"/>
          <w:lang w:val="es-MX"/>
        </w:rPr>
        <w:t xml:space="preserve"> </w:t>
      </w:r>
      <w:r w:rsidRPr="00C67536">
        <w:rPr>
          <w:rFonts w:cs="Arial"/>
          <w:sz w:val="28"/>
          <w:szCs w:val="28"/>
          <w:lang w:val="es-MX"/>
        </w:rPr>
        <w:t>de</w:t>
      </w:r>
      <w:r w:rsidRPr="00C67536">
        <w:rPr>
          <w:rFonts w:cs="Arial"/>
          <w:spacing w:val="-3"/>
          <w:sz w:val="28"/>
          <w:szCs w:val="28"/>
          <w:lang w:val="es-MX"/>
        </w:rPr>
        <w:t xml:space="preserve"> </w:t>
      </w:r>
      <w:r w:rsidRPr="00C67536">
        <w:rPr>
          <w:rFonts w:cs="Arial"/>
          <w:sz w:val="28"/>
          <w:szCs w:val="28"/>
          <w:lang w:val="es-MX"/>
        </w:rPr>
        <w:t>salud</w:t>
      </w:r>
      <w:r w:rsidRPr="00C67536">
        <w:rPr>
          <w:rFonts w:cs="Arial"/>
          <w:spacing w:val="8"/>
          <w:sz w:val="28"/>
          <w:szCs w:val="28"/>
          <w:lang w:val="es-MX"/>
        </w:rPr>
        <w:t xml:space="preserve"> </w:t>
      </w:r>
      <w:r w:rsidRPr="00C67536">
        <w:rPr>
          <w:rFonts w:cs="Arial"/>
          <w:sz w:val="28"/>
          <w:szCs w:val="28"/>
          <w:lang w:val="es-MX"/>
        </w:rPr>
        <w:t>y</w:t>
      </w:r>
      <w:r w:rsidRPr="00C67536">
        <w:rPr>
          <w:rFonts w:cs="Arial"/>
          <w:spacing w:val="19"/>
          <w:sz w:val="28"/>
          <w:szCs w:val="28"/>
          <w:lang w:val="es-MX"/>
        </w:rPr>
        <w:t xml:space="preserve"> </w:t>
      </w:r>
      <w:r w:rsidRPr="00C67536">
        <w:rPr>
          <w:rFonts w:cs="Arial"/>
          <w:sz w:val="28"/>
          <w:szCs w:val="28"/>
          <w:lang w:val="es-MX"/>
        </w:rPr>
        <w:t>las</w:t>
      </w:r>
      <w:r w:rsidRPr="00C67536">
        <w:rPr>
          <w:rFonts w:cs="Arial"/>
          <w:spacing w:val="20"/>
          <w:w w:val="102"/>
          <w:sz w:val="28"/>
          <w:szCs w:val="28"/>
          <w:lang w:val="es-MX"/>
        </w:rPr>
        <w:t xml:space="preserve"> </w:t>
      </w:r>
      <w:r w:rsidRPr="00C67536">
        <w:rPr>
          <w:rFonts w:cs="Arial"/>
          <w:sz w:val="28"/>
          <w:szCs w:val="28"/>
          <w:lang w:val="es-MX"/>
        </w:rPr>
        <w:t>finanzas</w:t>
      </w:r>
      <w:r w:rsidRPr="00C67536">
        <w:rPr>
          <w:rFonts w:cs="Arial"/>
          <w:spacing w:val="14"/>
          <w:sz w:val="28"/>
          <w:szCs w:val="28"/>
          <w:lang w:val="es-MX"/>
        </w:rPr>
        <w:t xml:space="preserve"> </w:t>
      </w:r>
      <w:r w:rsidRPr="00C67536">
        <w:rPr>
          <w:rFonts w:cs="Arial"/>
          <w:sz w:val="28"/>
          <w:szCs w:val="28"/>
          <w:lang w:val="es-MX"/>
        </w:rPr>
        <w:t>públicas.</w:t>
      </w:r>
    </w:p>
    <w:p w14:paraId="6322C75E" w14:textId="77777777" w:rsidR="00FA2893" w:rsidRPr="00C67536" w:rsidRDefault="00FA2893" w:rsidP="00FA2893">
      <w:pPr>
        <w:pStyle w:val="corte4fondo"/>
        <w:spacing w:line="240" w:lineRule="auto"/>
        <w:ind w:firstLine="0"/>
        <w:rPr>
          <w:rStyle w:val="Heading1Char"/>
          <w:rFonts w:ascii="Arial" w:eastAsia="Times New Roman" w:hAnsi="Arial" w:cs="Arial"/>
          <w:color w:val="auto"/>
          <w:sz w:val="28"/>
          <w:szCs w:val="28"/>
        </w:rPr>
      </w:pPr>
    </w:p>
    <w:p w14:paraId="2851D790" w14:textId="77777777" w:rsidR="00FA2893" w:rsidRPr="00C67536" w:rsidRDefault="00FA2893" w:rsidP="00FA2893">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 xml:space="preserve">Así las cosas, se observa que, ante ese escenario, el legislador federal se vio en la necesidad de implementar una estrategia que combatiera frontalmente la epidemia de obesidad, sobrepeso y la diabetes que se vive en el país. </w:t>
      </w:r>
    </w:p>
    <w:p w14:paraId="0CF450BA" w14:textId="77777777" w:rsidR="00FA2893" w:rsidRPr="00C67536" w:rsidRDefault="00FA2893" w:rsidP="00FA2893">
      <w:pPr>
        <w:pStyle w:val="corte4fondo"/>
        <w:ind w:firstLine="0"/>
        <w:rPr>
          <w:rStyle w:val="Heading1Char"/>
          <w:rFonts w:ascii="Arial" w:eastAsia="Times New Roman" w:hAnsi="Arial" w:cs="Arial"/>
          <w:color w:val="auto"/>
          <w:sz w:val="28"/>
          <w:szCs w:val="28"/>
        </w:rPr>
      </w:pPr>
    </w:p>
    <w:p w14:paraId="6B0721D7" w14:textId="77777777" w:rsidR="00FA2893" w:rsidRPr="00C67536" w:rsidRDefault="00FA2893" w:rsidP="00FA2893">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 xml:space="preserve">Como parte de esa estrategia, incorporó al entramado legal precisamente un etiquetado frontal (con ciertas formulas) de advertencia, como una herramienta de prevención y promoción de la salud pública.   </w:t>
      </w:r>
    </w:p>
    <w:p w14:paraId="0BAA1FF5" w14:textId="77777777" w:rsidR="00FA2893" w:rsidRPr="00C67536" w:rsidRDefault="00FA2893" w:rsidP="00FA2893">
      <w:pPr>
        <w:pStyle w:val="ListParagraph"/>
        <w:rPr>
          <w:rFonts w:ascii="Arial" w:hAnsi="Arial" w:cs="Arial"/>
          <w:sz w:val="28"/>
          <w:szCs w:val="28"/>
        </w:rPr>
      </w:pPr>
    </w:p>
    <w:p w14:paraId="00FBAA3F" w14:textId="77777777"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 xml:space="preserve">Ahora bien, de lo anterior es posible determinar que la finalidad </w:t>
      </w:r>
      <w:r w:rsidRPr="00C67536">
        <w:rPr>
          <w:rFonts w:cs="Arial"/>
          <w:b/>
          <w:bCs/>
          <w:sz w:val="28"/>
          <w:szCs w:val="28"/>
        </w:rPr>
        <w:t>inmediata</w:t>
      </w:r>
      <w:r w:rsidRPr="00C67536">
        <w:rPr>
          <w:rFonts w:cs="Arial"/>
          <w:sz w:val="28"/>
          <w:szCs w:val="28"/>
        </w:rPr>
        <w:t xml:space="preserve"> de las porciones normativas impugnadas consistió en que a través de este etiquetado frontal de advertencia, los consumidores pudieran identificar de una manera fácil y rápida aquellos productos industrializados con contenidos excesivos en energía, azucares añadidos, grasas saturadas, sodio y aquellos que contengan otros aditivos como edulcorantes o cafeína, asociados a factores de riesgo para el desarrollo de enfermedades crónicas no transmisibles como la diabetes y la hipertensión. Esto, a fin de poder tomar la mejor decisión alimentaria en la selección de los productos. </w:t>
      </w:r>
    </w:p>
    <w:p w14:paraId="51BEDAD3" w14:textId="77777777" w:rsidR="00FA2893" w:rsidRPr="00C67536" w:rsidRDefault="00FA2893" w:rsidP="00FA2893">
      <w:pPr>
        <w:pStyle w:val="ListParagraph"/>
        <w:rPr>
          <w:rStyle w:val="Heading1Char"/>
          <w:rFonts w:ascii="Arial" w:hAnsi="Arial" w:cs="Arial"/>
          <w:color w:val="auto"/>
          <w:sz w:val="28"/>
          <w:szCs w:val="28"/>
          <w:lang w:val="es-ES"/>
        </w:rPr>
      </w:pPr>
    </w:p>
    <w:p w14:paraId="7073921A" w14:textId="77777777" w:rsidR="00FA2893" w:rsidRPr="00C67536" w:rsidRDefault="00FA2893" w:rsidP="00FA2893">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 xml:space="preserve">En tanto que, la finalidad </w:t>
      </w:r>
      <w:r w:rsidRPr="00C67536">
        <w:rPr>
          <w:rStyle w:val="Heading1Char"/>
          <w:rFonts w:ascii="Arial" w:hAnsi="Arial" w:cs="Arial"/>
          <w:bCs/>
          <w:color w:val="auto"/>
          <w:sz w:val="28"/>
          <w:szCs w:val="28"/>
          <w:lang w:val="es-ES"/>
        </w:rPr>
        <w:t xml:space="preserve">mediata </w:t>
      </w:r>
      <w:r w:rsidRPr="00C67536">
        <w:rPr>
          <w:rStyle w:val="Heading1Char"/>
          <w:rFonts w:ascii="Arial" w:hAnsi="Arial" w:cs="Arial"/>
          <w:color w:val="auto"/>
          <w:sz w:val="28"/>
          <w:szCs w:val="28"/>
          <w:lang w:val="es-ES"/>
        </w:rPr>
        <w:t xml:space="preserve">tiende a proteger el derecho a la salud, a la alimentación nutritiva, a la protección de los derechos del consumidor y al interés superior del menor. </w:t>
      </w:r>
    </w:p>
    <w:p w14:paraId="1CB8E11D" w14:textId="77777777" w:rsidR="00FA2893" w:rsidRPr="00C67536" w:rsidRDefault="00FA2893" w:rsidP="00FA2893">
      <w:pPr>
        <w:pStyle w:val="ListParagraph"/>
        <w:rPr>
          <w:rStyle w:val="Heading1Char"/>
          <w:rFonts w:ascii="Arial" w:hAnsi="Arial" w:cs="Arial"/>
          <w:color w:val="auto"/>
          <w:sz w:val="28"/>
          <w:szCs w:val="28"/>
          <w:lang w:val="es-ES"/>
        </w:rPr>
      </w:pPr>
    </w:p>
    <w:p w14:paraId="775CF0DD" w14:textId="12548647" w:rsidR="00FA2893" w:rsidRPr="00C67536" w:rsidRDefault="00FA2893" w:rsidP="00FA2893">
      <w:pPr>
        <w:pStyle w:val="corte4fondo"/>
        <w:numPr>
          <w:ilvl w:val="0"/>
          <w:numId w:val="15"/>
        </w:numPr>
        <w:ind w:left="0" w:hanging="567"/>
        <w:rPr>
          <w:rFonts w:cs="Arial"/>
          <w:sz w:val="28"/>
          <w:szCs w:val="28"/>
        </w:rPr>
      </w:pPr>
      <w:r w:rsidRPr="00C67536">
        <w:rPr>
          <w:rStyle w:val="Heading1Char"/>
          <w:rFonts w:ascii="Arial" w:hAnsi="Arial" w:cs="Arial"/>
          <w:color w:val="auto"/>
          <w:sz w:val="28"/>
          <w:szCs w:val="28"/>
          <w:lang w:val="es-ES"/>
        </w:rPr>
        <w:t>Todo lo anterior tiene asidero constitucional en los artículos 4 y 28 de la Constitución Política de los Estados Unidos Mexicanos, por lo que a juicio de est</w:t>
      </w:r>
      <w:r w:rsidR="00597224" w:rsidRPr="00C67536">
        <w:rPr>
          <w:rStyle w:val="Heading1Char"/>
          <w:rFonts w:ascii="Arial" w:hAnsi="Arial" w:cs="Arial"/>
          <w:color w:val="auto"/>
          <w:sz w:val="28"/>
          <w:szCs w:val="28"/>
          <w:lang w:val="es-ES"/>
        </w:rPr>
        <w:t xml:space="preserve">e </w:t>
      </w:r>
      <w:r w:rsidR="003D03A5" w:rsidRPr="00C67536">
        <w:rPr>
          <w:rStyle w:val="Heading1Char"/>
          <w:rFonts w:ascii="Arial" w:hAnsi="Arial" w:cs="Arial"/>
          <w:color w:val="auto"/>
          <w:sz w:val="28"/>
          <w:szCs w:val="28"/>
          <w:lang w:val="es-ES"/>
        </w:rPr>
        <w:t xml:space="preserve">Tribunal </w:t>
      </w:r>
      <w:r w:rsidR="00597224" w:rsidRPr="00C67536">
        <w:rPr>
          <w:rStyle w:val="Heading1Char"/>
          <w:rFonts w:ascii="Arial" w:hAnsi="Arial" w:cs="Arial"/>
          <w:color w:val="auto"/>
          <w:sz w:val="28"/>
          <w:szCs w:val="28"/>
          <w:lang w:val="es-ES"/>
        </w:rPr>
        <w:t>Pleno</w:t>
      </w:r>
      <w:r w:rsidR="008D417C" w:rsidRPr="00C67536">
        <w:rPr>
          <w:rStyle w:val="Heading1Char"/>
          <w:rFonts w:ascii="Arial" w:hAnsi="Arial" w:cs="Arial"/>
          <w:color w:val="auto"/>
          <w:sz w:val="28"/>
          <w:szCs w:val="28"/>
          <w:lang w:val="es-ES"/>
        </w:rPr>
        <w:t xml:space="preserve"> </w:t>
      </w:r>
      <w:r w:rsidRPr="00C67536">
        <w:rPr>
          <w:rFonts w:cs="Arial"/>
          <w:sz w:val="28"/>
          <w:szCs w:val="28"/>
        </w:rPr>
        <w:t xml:space="preserve">ambas finalidades </w:t>
      </w:r>
      <w:r w:rsidRPr="00C67536">
        <w:rPr>
          <w:rFonts w:cs="Arial"/>
          <w:b/>
          <w:bCs/>
          <w:sz w:val="28"/>
          <w:szCs w:val="28"/>
        </w:rPr>
        <w:t>son constitucionalmente válidas</w:t>
      </w:r>
      <w:r w:rsidRPr="00C67536">
        <w:rPr>
          <w:rFonts w:cs="Arial"/>
          <w:sz w:val="28"/>
          <w:szCs w:val="28"/>
        </w:rPr>
        <w:t xml:space="preserve">. </w:t>
      </w:r>
    </w:p>
    <w:p w14:paraId="43914C9D" w14:textId="77777777" w:rsidR="00FA2893" w:rsidRPr="00C67536" w:rsidRDefault="00FA2893" w:rsidP="00FA2893">
      <w:pPr>
        <w:pStyle w:val="ListParagraph"/>
        <w:rPr>
          <w:rFonts w:ascii="Arial" w:hAnsi="Arial" w:cs="Arial"/>
          <w:sz w:val="28"/>
          <w:szCs w:val="28"/>
        </w:rPr>
      </w:pPr>
    </w:p>
    <w:p w14:paraId="4ED38740" w14:textId="1E054070"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 xml:space="preserve">Así es, sobre el particular, es importante mencionar que la </w:t>
      </w:r>
      <w:r w:rsidRPr="00C67536">
        <w:rPr>
          <w:rFonts w:cs="Arial"/>
          <w:b/>
          <w:bCs/>
          <w:sz w:val="28"/>
          <w:szCs w:val="28"/>
        </w:rPr>
        <w:t>protección de la salud</w:t>
      </w:r>
      <w:r w:rsidRPr="00C67536">
        <w:rPr>
          <w:rFonts w:cs="Arial"/>
          <w:sz w:val="28"/>
          <w:szCs w:val="28"/>
        </w:rPr>
        <w:t xml:space="preserve"> es un objetivo que legítimamente puede perseguir del Estado, toda vez que se trata de un derecho fundamental reconocido en el artículo 4 constitucional, en el cual se establece expresamente que toda persona tiene derecho a la </w:t>
      </w:r>
      <w:r w:rsidRPr="00C67536">
        <w:rPr>
          <w:rFonts w:cs="Arial"/>
          <w:i/>
          <w:sz w:val="28"/>
          <w:szCs w:val="28"/>
        </w:rPr>
        <w:t>protección de la salud</w:t>
      </w:r>
      <w:r w:rsidRPr="00C67536">
        <w:rPr>
          <w:rStyle w:val="FootnoteReference"/>
          <w:rFonts w:cs="Arial"/>
          <w:sz w:val="28"/>
          <w:szCs w:val="28"/>
        </w:rPr>
        <w:footnoteReference w:id="12"/>
      </w:r>
      <w:r w:rsidR="00A46D91" w:rsidRPr="00C67536">
        <w:rPr>
          <w:rFonts w:cs="Arial"/>
          <w:i/>
          <w:sz w:val="28"/>
          <w:szCs w:val="28"/>
        </w:rPr>
        <w:t>.</w:t>
      </w:r>
      <w:r w:rsidRPr="00C67536">
        <w:rPr>
          <w:rFonts w:cs="Arial"/>
          <w:sz w:val="28"/>
          <w:szCs w:val="28"/>
        </w:rPr>
        <w:t xml:space="preserve"> Este derecho tiene una proyección tanto individual o personal como una pública o social. </w:t>
      </w:r>
    </w:p>
    <w:p w14:paraId="23F88921" w14:textId="77777777" w:rsidR="00FA2893" w:rsidRPr="00C67536" w:rsidRDefault="00FA2893" w:rsidP="00FA2893">
      <w:pPr>
        <w:pStyle w:val="ListParagraph"/>
        <w:rPr>
          <w:rFonts w:ascii="Arial" w:hAnsi="Arial" w:cs="Arial"/>
          <w:sz w:val="28"/>
          <w:szCs w:val="28"/>
        </w:rPr>
      </w:pPr>
    </w:p>
    <w:p w14:paraId="116E978F" w14:textId="1EB53736"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Respecto a la protección a la salud de las</w:t>
      </w:r>
      <w:r w:rsidRPr="00C67536">
        <w:rPr>
          <w:rFonts w:cs="Arial"/>
          <w:b/>
          <w:sz w:val="28"/>
          <w:szCs w:val="28"/>
        </w:rPr>
        <w:t xml:space="preserve"> </w:t>
      </w:r>
      <w:r w:rsidRPr="00C67536">
        <w:rPr>
          <w:rFonts w:cs="Arial"/>
          <w:sz w:val="28"/>
          <w:szCs w:val="28"/>
        </w:rPr>
        <w:t>personas en lo</w:t>
      </w:r>
      <w:r w:rsidRPr="00C67536">
        <w:rPr>
          <w:rFonts w:cs="Arial"/>
          <w:i/>
          <w:sz w:val="28"/>
          <w:szCs w:val="28"/>
        </w:rPr>
        <w:t xml:space="preserve"> </w:t>
      </w:r>
      <w:r w:rsidRPr="00C67536">
        <w:rPr>
          <w:rFonts w:cs="Arial"/>
          <w:iCs/>
          <w:sz w:val="28"/>
          <w:szCs w:val="28"/>
        </w:rPr>
        <w:t>individual,</w:t>
      </w:r>
      <w:r w:rsidRPr="00C67536">
        <w:rPr>
          <w:rFonts w:cs="Arial"/>
          <w:sz w:val="28"/>
          <w:szCs w:val="28"/>
        </w:rPr>
        <w:t xml:space="preserve"> esta Suprema Corte de Justicia de la Nación ha establecido que el derecho</w:t>
      </w:r>
      <w:r w:rsidRPr="00C67536">
        <w:rPr>
          <w:rFonts w:cs="Arial"/>
          <w:i/>
          <w:sz w:val="28"/>
          <w:szCs w:val="28"/>
        </w:rPr>
        <w:t xml:space="preserve"> </w:t>
      </w:r>
      <w:r w:rsidRPr="00C67536">
        <w:rPr>
          <w:rFonts w:cs="Arial"/>
          <w:sz w:val="28"/>
          <w:szCs w:val="28"/>
        </w:rPr>
        <w:t>a la salud se traduce en la obtención de un determinado bienestar general integrado por el estado físico, mental, emocional y social de la persona, del que deriva otro derecho fundamental, consistente en el derecho a la integridad físico-psicológica</w:t>
      </w:r>
      <w:r w:rsidRPr="00C67536">
        <w:rPr>
          <w:rStyle w:val="FootnoteReference"/>
          <w:rFonts w:cs="Arial"/>
          <w:sz w:val="28"/>
          <w:szCs w:val="28"/>
        </w:rPr>
        <w:footnoteReference w:id="13"/>
      </w:r>
      <w:r w:rsidR="00F90457" w:rsidRPr="00C67536">
        <w:rPr>
          <w:rFonts w:cs="Arial"/>
          <w:sz w:val="28"/>
          <w:szCs w:val="28"/>
        </w:rPr>
        <w:t>.</w:t>
      </w:r>
      <w:r w:rsidRPr="00C67536">
        <w:rPr>
          <w:rFonts w:cs="Arial"/>
          <w:sz w:val="28"/>
          <w:szCs w:val="28"/>
        </w:rPr>
        <w:t xml:space="preserve"> De ahí que resulta evidente que el Estado tiene un interés constitucional en procurarles a las personas en lo individual un adecuado estado de salud y bienestar.</w:t>
      </w:r>
    </w:p>
    <w:p w14:paraId="5AB900C5" w14:textId="77777777" w:rsidR="00FA2893" w:rsidRPr="00C67536" w:rsidRDefault="00FA2893" w:rsidP="00FA2893">
      <w:pPr>
        <w:pStyle w:val="ListParagraph"/>
        <w:rPr>
          <w:rFonts w:ascii="Arial" w:hAnsi="Arial" w:cs="Arial"/>
          <w:sz w:val="28"/>
          <w:szCs w:val="28"/>
        </w:rPr>
      </w:pPr>
    </w:p>
    <w:p w14:paraId="7D131F86" w14:textId="3CBC7F06"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 xml:space="preserve">Por otro lado, la faceta </w:t>
      </w:r>
      <w:r w:rsidRPr="00C67536">
        <w:rPr>
          <w:rFonts w:cs="Arial"/>
          <w:iCs/>
          <w:sz w:val="28"/>
          <w:szCs w:val="28"/>
        </w:rPr>
        <w:t>social o pública</w:t>
      </w:r>
      <w:r w:rsidRPr="00C67536">
        <w:rPr>
          <w:rFonts w:cs="Arial"/>
          <w:sz w:val="28"/>
          <w:szCs w:val="28"/>
        </w:rPr>
        <w:t xml:space="preserve"> del derecho a la salud consiste en el deber del Estado de atender los problemas de salud que afectan a la sociedad en general, así como en establecer los mecanismos necesarios para que todas las personas tengan acceso a los servicios de salud</w:t>
      </w:r>
      <w:r w:rsidRPr="00C67536">
        <w:rPr>
          <w:rStyle w:val="FootnoteReference"/>
          <w:rFonts w:cs="Arial"/>
          <w:sz w:val="28"/>
          <w:szCs w:val="28"/>
        </w:rPr>
        <w:footnoteReference w:id="14"/>
      </w:r>
      <w:r w:rsidR="002B0DC6" w:rsidRPr="00C67536">
        <w:rPr>
          <w:rFonts w:cs="Arial"/>
          <w:sz w:val="28"/>
          <w:szCs w:val="28"/>
        </w:rPr>
        <w:t>.</w:t>
      </w:r>
      <w:r w:rsidRPr="00C67536">
        <w:rPr>
          <w:rFonts w:cs="Arial"/>
          <w:sz w:val="28"/>
          <w:szCs w:val="28"/>
        </w:rPr>
        <w:t xml:space="preserve"> </w:t>
      </w:r>
    </w:p>
    <w:p w14:paraId="61AD606C" w14:textId="77777777" w:rsidR="00FA2893" w:rsidRPr="00C67536" w:rsidRDefault="00FA2893" w:rsidP="00FA2893">
      <w:pPr>
        <w:pStyle w:val="ListParagraph"/>
        <w:rPr>
          <w:rFonts w:ascii="Arial" w:hAnsi="Arial" w:cs="Arial"/>
          <w:sz w:val="28"/>
          <w:szCs w:val="28"/>
        </w:rPr>
      </w:pPr>
    </w:p>
    <w:p w14:paraId="0DC49F2F" w14:textId="118A3B94"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 xml:space="preserve">En el </w:t>
      </w:r>
      <w:r w:rsidRPr="00C67536">
        <w:rPr>
          <w:rFonts w:cs="Arial"/>
          <w:bCs/>
          <w:sz w:val="28"/>
          <w:szCs w:val="28"/>
        </w:rPr>
        <w:t>amparo directo en revisión 4321/2014</w:t>
      </w:r>
      <w:r w:rsidRPr="00C67536">
        <w:rPr>
          <w:rStyle w:val="FootnoteReference"/>
          <w:rFonts w:cs="Arial"/>
          <w:bCs/>
          <w:sz w:val="28"/>
          <w:szCs w:val="28"/>
        </w:rPr>
        <w:footnoteReference w:id="15"/>
      </w:r>
      <w:r w:rsidR="00FE4EE6" w:rsidRPr="00C67536">
        <w:rPr>
          <w:rFonts w:cs="Arial"/>
          <w:bCs/>
          <w:sz w:val="28"/>
          <w:szCs w:val="28"/>
        </w:rPr>
        <w:t>.</w:t>
      </w:r>
      <w:r w:rsidRPr="00C67536">
        <w:rPr>
          <w:rFonts w:cs="Arial"/>
          <w:sz w:val="28"/>
          <w:szCs w:val="28"/>
        </w:rPr>
        <w:t xml:space="preserve"> la Primera Sala reconoció que en aras de tutelar y proteger el derecho humano a la s</w:t>
      </w:r>
      <w:r w:rsidRPr="00C67536">
        <w:rPr>
          <w:rFonts w:cs="Arial"/>
          <w:bCs/>
          <w:sz w:val="28"/>
          <w:szCs w:val="28"/>
        </w:rPr>
        <w:t>alud</w:t>
      </w:r>
      <w:r w:rsidRPr="00C67536">
        <w:rPr>
          <w:rFonts w:cs="Arial"/>
          <w:sz w:val="28"/>
          <w:szCs w:val="28"/>
        </w:rPr>
        <w:t xml:space="preserve">, el Estado debe emprender las acciones necesarias para alcanzar ese fin, tales como el desarrollo de políticas públicas, controles de calidad de los servicios de salud, identificación de los principales problemas que afecten la salud pública del conglomerado social, etcétera. En este sentido, puede decirse que la propia Ley General de Salud identifica como un problema de salud pública el </w:t>
      </w:r>
      <w:r w:rsidRPr="00C67536">
        <w:rPr>
          <w:rFonts w:cs="Arial"/>
          <w:i/>
          <w:iCs/>
          <w:sz w:val="28"/>
          <w:szCs w:val="28"/>
        </w:rPr>
        <w:t>“sobrepeso, obesidad y otros trastornos de la conducta alimentaria”</w:t>
      </w:r>
      <w:r w:rsidRPr="00C67536">
        <w:rPr>
          <w:rStyle w:val="FootnoteReference"/>
          <w:rFonts w:cs="Arial"/>
          <w:sz w:val="28"/>
          <w:szCs w:val="28"/>
        </w:rPr>
        <w:footnoteReference w:id="16"/>
      </w:r>
      <w:r w:rsidR="00FE4EE6" w:rsidRPr="00C67536">
        <w:rPr>
          <w:rFonts w:cs="Arial"/>
          <w:i/>
          <w:iCs/>
          <w:sz w:val="28"/>
          <w:szCs w:val="28"/>
        </w:rPr>
        <w:t>.</w:t>
      </w:r>
    </w:p>
    <w:p w14:paraId="4B1B946E" w14:textId="77777777" w:rsidR="00FA2893" w:rsidRPr="00C67536" w:rsidRDefault="00FA2893" w:rsidP="00FA2893">
      <w:pPr>
        <w:pStyle w:val="ListParagraph"/>
        <w:rPr>
          <w:rFonts w:ascii="Arial" w:hAnsi="Arial" w:cs="Arial"/>
          <w:sz w:val="28"/>
          <w:szCs w:val="28"/>
        </w:rPr>
      </w:pPr>
    </w:p>
    <w:p w14:paraId="37159389" w14:textId="6369C2E0"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En íntima relación con la protección de la salud pública se encuentra la protección al</w:t>
      </w:r>
      <w:r w:rsidRPr="00C67536">
        <w:rPr>
          <w:rFonts w:cs="Arial"/>
          <w:b/>
          <w:sz w:val="28"/>
          <w:szCs w:val="28"/>
        </w:rPr>
        <w:t xml:space="preserve"> </w:t>
      </w:r>
      <w:r w:rsidRPr="00C67536">
        <w:rPr>
          <w:rFonts w:cs="Arial"/>
          <w:sz w:val="28"/>
          <w:szCs w:val="28"/>
        </w:rPr>
        <w:t>orden público. Si bien es complicado definir en qué consiste este principio constitucional</w:t>
      </w:r>
      <w:r w:rsidRPr="00C67536">
        <w:rPr>
          <w:rStyle w:val="FootnoteReference"/>
          <w:rFonts w:cs="Arial"/>
          <w:sz w:val="28"/>
          <w:szCs w:val="28"/>
        </w:rPr>
        <w:footnoteReference w:id="17"/>
      </w:r>
      <w:r w:rsidR="00390669" w:rsidRPr="00C67536">
        <w:rPr>
          <w:rFonts w:cs="Arial"/>
          <w:sz w:val="28"/>
          <w:szCs w:val="28"/>
        </w:rPr>
        <w:t>,</w:t>
      </w:r>
      <w:r w:rsidRPr="00C67536">
        <w:rPr>
          <w:rFonts w:cs="Arial"/>
          <w:sz w:val="28"/>
          <w:szCs w:val="28"/>
        </w:rPr>
        <w:t xml:space="preserve"> se trata de un concepto que hace referencia al bienestar de la sociedad en general</w:t>
      </w:r>
      <w:r w:rsidRPr="00C67536">
        <w:rPr>
          <w:rFonts w:cs="Arial"/>
          <w:i/>
          <w:sz w:val="28"/>
          <w:szCs w:val="28"/>
        </w:rPr>
        <w:t>.</w:t>
      </w:r>
      <w:r w:rsidRPr="00C67536">
        <w:rPr>
          <w:rFonts w:cs="Arial"/>
          <w:sz w:val="28"/>
          <w:szCs w:val="28"/>
        </w:rPr>
        <w:t xml:space="preserve"> Si se entiende de esta manera, no hay duda de que resulta de orden público la persecución de objetivos sociales colectivos a través de decisiones legislativas o políticas públicas. Por lo demás, hay que señalar que la Constitución reconoce como interés legítimo del Estado la protección del conglomerado social.</w:t>
      </w:r>
    </w:p>
    <w:p w14:paraId="51C9CB88" w14:textId="77777777" w:rsidR="00FA2893" w:rsidRPr="00C67536" w:rsidRDefault="00FA2893" w:rsidP="00FA2893">
      <w:pPr>
        <w:pStyle w:val="ListParagraph"/>
        <w:rPr>
          <w:rFonts w:ascii="Arial" w:hAnsi="Arial" w:cs="Arial"/>
          <w:sz w:val="28"/>
          <w:szCs w:val="28"/>
        </w:rPr>
      </w:pPr>
    </w:p>
    <w:p w14:paraId="3C6AAE03" w14:textId="77777777"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 xml:space="preserve">Por su parte, el artículo 4 de la Constitución Política de los Estados Unidos Mexicanos, reconoce del </w:t>
      </w:r>
      <w:r w:rsidRPr="00C67536">
        <w:rPr>
          <w:rFonts w:cs="Arial"/>
          <w:b/>
          <w:bCs/>
          <w:sz w:val="28"/>
          <w:szCs w:val="28"/>
        </w:rPr>
        <w:t>derecho a la alimentación</w:t>
      </w:r>
      <w:r w:rsidRPr="00C67536">
        <w:rPr>
          <w:rFonts w:cs="Arial"/>
          <w:sz w:val="28"/>
          <w:szCs w:val="28"/>
        </w:rPr>
        <w:t xml:space="preserve">, al establecer que </w:t>
      </w:r>
      <w:r w:rsidRPr="00C67536">
        <w:rPr>
          <w:rFonts w:cs="Arial"/>
          <w:i/>
          <w:iCs/>
          <w:sz w:val="28"/>
          <w:szCs w:val="28"/>
        </w:rPr>
        <w:t>“toda persona tiene derecho a la alimentación nutritiva, suficiente y de calidad”,</w:t>
      </w:r>
      <w:r w:rsidRPr="00C67536">
        <w:rPr>
          <w:rFonts w:cs="Arial"/>
          <w:sz w:val="28"/>
          <w:szCs w:val="28"/>
        </w:rPr>
        <w:t xml:space="preserve"> para lo cual dispone una obligación positiva a cargo del Estado de garantizar ese derecho. </w:t>
      </w:r>
    </w:p>
    <w:p w14:paraId="63A287F2" w14:textId="77777777" w:rsidR="00FA2893" w:rsidRPr="00C67536" w:rsidRDefault="00FA2893" w:rsidP="00FA2893">
      <w:pPr>
        <w:pStyle w:val="ListParagraph"/>
        <w:rPr>
          <w:rFonts w:ascii="Arial" w:hAnsi="Arial" w:cs="Arial"/>
          <w:sz w:val="28"/>
          <w:szCs w:val="28"/>
        </w:rPr>
      </w:pPr>
    </w:p>
    <w:p w14:paraId="58F24313" w14:textId="77777777"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Al respecto, cabe mencionar que este Alto Tribunal ha señalado que el núcleo esencial del derecho a la alimentación comprende los siguientes elementos:</w:t>
      </w:r>
    </w:p>
    <w:p w14:paraId="61041F3E" w14:textId="77777777" w:rsidR="00FA2893" w:rsidRPr="00C67536" w:rsidRDefault="00FA2893" w:rsidP="00FA2893">
      <w:pPr>
        <w:pStyle w:val="ListParagraph"/>
        <w:rPr>
          <w:rFonts w:ascii="Arial" w:hAnsi="Arial" w:cs="Arial"/>
          <w:sz w:val="28"/>
          <w:szCs w:val="28"/>
        </w:rPr>
      </w:pPr>
    </w:p>
    <w:p w14:paraId="09EB8389" w14:textId="77777777" w:rsidR="00FA2893" w:rsidRPr="00C67536" w:rsidRDefault="00FA2893" w:rsidP="00FA2893">
      <w:pPr>
        <w:pStyle w:val="corte4fondo"/>
        <w:numPr>
          <w:ilvl w:val="0"/>
          <w:numId w:val="23"/>
        </w:numPr>
        <w:spacing w:after="240"/>
        <w:ind w:right="51"/>
        <w:rPr>
          <w:rFonts w:cs="Arial"/>
          <w:sz w:val="28"/>
          <w:szCs w:val="28"/>
        </w:rPr>
      </w:pPr>
      <w:r w:rsidRPr="00C67536">
        <w:rPr>
          <w:rFonts w:cs="Arial"/>
          <w:sz w:val="28"/>
          <w:szCs w:val="28"/>
        </w:rPr>
        <w:t xml:space="preserve">La disponibilidad de alimentos; y </w:t>
      </w:r>
    </w:p>
    <w:p w14:paraId="2B21D82B" w14:textId="77777777" w:rsidR="00FA2893" w:rsidRPr="00C67536" w:rsidRDefault="00FA2893" w:rsidP="00FA2893">
      <w:pPr>
        <w:pStyle w:val="corte4fondo"/>
        <w:numPr>
          <w:ilvl w:val="0"/>
          <w:numId w:val="23"/>
        </w:numPr>
        <w:spacing w:after="240"/>
        <w:ind w:right="51"/>
        <w:rPr>
          <w:rFonts w:cs="Arial"/>
          <w:sz w:val="28"/>
          <w:szCs w:val="28"/>
        </w:rPr>
      </w:pPr>
      <w:r w:rsidRPr="00C67536">
        <w:rPr>
          <w:rFonts w:cs="Arial"/>
          <w:sz w:val="28"/>
          <w:szCs w:val="28"/>
        </w:rPr>
        <w:t>La accesibilidad de éstos.</w:t>
      </w:r>
    </w:p>
    <w:p w14:paraId="0505C682" w14:textId="77777777" w:rsidR="00FA2893" w:rsidRPr="00C67536" w:rsidRDefault="00FA2893" w:rsidP="00FA2893">
      <w:pPr>
        <w:rPr>
          <w:rFonts w:ascii="Arial" w:hAnsi="Arial" w:cs="Arial"/>
          <w:sz w:val="28"/>
          <w:szCs w:val="28"/>
        </w:rPr>
      </w:pPr>
    </w:p>
    <w:p w14:paraId="307D09E0" w14:textId="1F64BCDC"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La disponibilidad se refiere a la posibilidad que tiene el individuo de alimentarse directamente, o bien, a través de los sistemas públicos o privados de distribución, elaboración y comercialización, además de exigir que los alimentos tengan los nutrimentos adecuados para su correcto desarrollo físico y mental</w:t>
      </w:r>
      <w:r w:rsidRPr="00C67536">
        <w:rPr>
          <w:rStyle w:val="FootnoteReference"/>
          <w:rFonts w:cs="Arial"/>
          <w:sz w:val="28"/>
          <w:szCs w:val="28"/>
        </w:rPr>
        <w:footnoteReference w:id="18"/>
      </w:r>
      <w:r w:rsidR="003C1242" w:rsidRPr="00C67536">
        <w:rPr>
          <w:rFonts w:cs="Arial"/>
          <w:sz w:val="28"/>
          <w:szCs w:val="28"/>
        </w:rPr>
        <w:t>.</w:t>
      </w:r>
      <w:r w:rsidRPr="00C67536">
        <w:rPr>
          <w:rFonts w:cs="Arial"/>
          <w:sz w:val="28"/>
          <w:szCs w:val="28"/>
        </w:rPr>
        <w:t xml:space="preserve"> </w:t>
      </w:r>
    </w:p>
    <w:p w14:paraId="766BB93F" w14:textId="77777777" w:rsidR="00FA2893" w:rsidRPr="00C67536" w:rsidRDefault="00FA2893" w:rsidP="00FA2893">
      <w:pPr>
        <w:pStyle w:val="corte4fondo"/>
        <w:ind w:firstLine="0"/>
        <w:rPr>
          <w:rFonts w:cs="Arial"/>
          <w:sz w:val="28"/>
          <w:szCs w:val="28"/>
        </w:rPr>
      </w:pPr>
    </w:p>
    <w:p w14:paraId="7E522574" w14:textId="7180FEA3"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Asimismo, la Segunda Sala ha señalado que el derecho a la alimentación conlleva obligaciones de aplicación inmediata y de cumplimiento progresivo; una de cumplimiento inmediato es la de respetar, lo cual requiere que los Estados no adopten medidas de ningún tipo que impidan o puedan impedir o limitar el acceso a una alimentación adecuada, incluyendo el establecimiento de normas que puedan considerarse discriminatorias</w:t>
      </w:r>
      <w:r w:rsidRPr="00C67536">
        <w:rPr>
          <w:rStyle w:val="FootnoteReference"/>
          <w:rFonts w:cs="Arial"/>
          <w:sz w:val="28"/>
          <w:szCs w:val="28"/>
        </w:rPr>
        <w:footnoteReference w:id="19"/>
      </w:r>
      <w:r w:rsidR="00E87A4A" w:rsidRPr="00C67536">
        <w:rPr>
          <w:rFonts w:cs="Arial"/>
          <w:sz w:val="28"/>
          <w:szCs w:val="28"/>
        </w:rPr>
        <w:t>.</w:t>
      </w:r>
      <w:r w:rsidRPr="00C67536">
        <w:rPr>
          <w:rFonts w:cs="Arial"/>
          <w:sz w:val="28"/>
          <w:szCs w:val="28"/>
        </w:rPr>
        <w:t xml:space="preserve"> </w:t>
      </w:r>
    </w:p>
    <w:p w14:paraId="3073C243" w14:textId="77777777" w:rsidR="00FA2893" w:rsidRPr="00C67536" w:rsidRDefault="00FA2893" w:rsidP="00FA2893">
      <w:pPr>
        <w:pStyle w:val="ListParagraph"/>
        <w:rPr>
          <w:rFonts w:ascii="Arial" w:hAnsi="Arial" w:cs="Arial"/>
          <w:sz w:val="28"/>
          <w:szCs w:val="28"/>
        </w:rPr>
      </w:pPr>
    </w:p>
    <w:p w14:paraId="0E7AEECA" w14:textId="46F96633"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 xml:space="preserve">Por ende, el derecho a la salud y a la alimentación son complementarios y se encuentran regulados ambos en el artículo 4 de la Constitución Federal, pues una alimentación nutritiva y de calidad es un elemento necesario para gozar del derecho a la salud. </w:t>
      </w:r>
    </w:p>
    <w:p w14:paraId="1D278424" w14:textId="77777777" w:rsidR="00FA2893" w:rsidRPr="00C67536" w:rsidRDefault="00FA2893" w:rsidP="00FA2893">
      <w:pPr>
        <w:pStyle w:val="ListParagraph"/>
        <w:rPr>
          <w:rFonts w:ascii="Arial" w:hAnsi="Arial" w:cs="Arial"/>
          <w:sz w:val="28"/>
          <w:szCs w:val="28"/>
        </w:rPr>
      </w:pPr>
    </w:p>
    <w:p w14:paraId="2F804085" w14:textId="72D2DE16"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 xml:space="preserve">Por lo que respecta a la </w:t>
      </w:r>
      <w:r w:rsidRPr="00C67536">
        <w:rPr>
          <w:rFonts w:cs="Arial"/>
          <w:b/>
          <w:bCs/>
          <w:sz w:val="28"/>
          <w:szCs w:val="28"/>
        </w:rPr>
        <w:t>protección de los consumidores</w:t>
      </w:r>
      <w:r w:rsidRPr="00C67536">
        <w:rPr>
          <w:rFonts w:cs="Arial"/>
          <w:sz w:val="28"/>
          <w:szCs w:val="28"/>
        </w:rPr>
        <w:t>, el artículo 28, párrafo tercero, de la Constitución Federal, reconoce ese derecho, cuyo objeto es contrarrestar las asimetrías que pueden presentarse entre las partes de una relación de consumo y proporciona a aquél los medios y la protección legal necesarios para propiciar su organización y procurar el mejor cuidado de sus intereses ante posibles situaciones desventajosas</w:t>
      </w:r>
      <w:r w:rsidRPr="00C67536">
        <w:rPr>
          <w:rStyle w:val="FootnoteReference"/>
          <w:rFonts w:cs="Arial"/>
          <w:sz w:val="28"/>
          <w:szCs w:val="28"/>
        </w:rPr>
        <w:footnoteReference w:id="20"/>
      </w:r>
      <w:r w:rsidR="002231F0" w:rsidRPr="00C67536">
        <w:rPr>
          <w:rFonts w:cs="Arial"/>
          <w:sz w:val="28"/>
          <w:szCs w:val="28"/>
        </w:rPr>
        <w:t>.</w:t>
      </w:r>
    </w:p>
    <w:p w14:paraId="6637FE43" w14:textId="77777777" w:rsidR="00FA2893" w:rsidRPr="00C67536" w:rsidRDefault="00FA2893" w:rsidP="00FA2893">
      <w:pPr>
        <w:pStyle w:val="ListParagraph"/>
        <w:rPr>
          <w:rFonts w:ascii="Arial" w:hAnsi="Arial" w:cs="Arial"/>
          <w:sz w:val="28"/>
          <w:szCs w:val="28"/>
        </w:rPr>
      </w:pPr>
    </w:p>
    <w:p w14:paraId="69B2B5EE" w14:textId="411B868C"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La Ley Federal de Protección al Consumidor es la que da contenido a ese derecho social. Entre los principios básicos en las relaciones de consumo, el artículo 1</w:t>
      </w:r>
      <w:r w:rsidR="00676433">
        <w:rPr>
          <w:rFonts w:cs="Arial"/>
          <w:sz w:val="28"/>
          <w:szCs w:val="28"/>
        </w:rPr>
        <w:t>°</w:t>
      </w:r>
      <w:r w:rsidRPr="00C67536">
        <w:rPr>
          <w:rFonts w:cs="Arial"/>
          <w:sz w:val="28"/>
          <w:szCs w:val="28"/>
        </w:rPr>
        <w:t xml:space="preserve"> establece los siguientes: </w:t>
      </w:r>
    </w:p>
    <w:p w14:paraId="3CF5741E" w14:textId="77777777" w:rsidR="00FA2893" w:rsidRPr="00C67536" w:rsidRDefault="00FA2893" w:rsidP="00FA2893">
      <w:pPr>
        <w:pStyle w:val="ListParagraph"/>
        <w:rPr>
          <w:rFonts w:ascii="Arial" w:hAnsi="Arial" w:cs="Arial"/>
          <w:sz w:val="28"/>
          <w:szCs w:val="28"/>
        </w:rPr>
      </w:pPr>
    </w:p>
    <w:p w14:paraId="2F748355" w14:textId="3B8C7517" w:rsidR="00FA2893" w:rsidRPr="00C67536" w:rsidRDefault="00FA2893" w:rsidP="00FA2893">
      <w:pPr>
        <w:pStyle w:val="Estilo"/>
        <w:widowControl w:val="0"/>
        <w:numPr>
          <w:ilvl w:val="0"/>
          <w:numId w:val="24"/>
        </w:numPr>
        <w:autoSpaceDE w:val="0"/>
        <w:autoSpaceDN w:val="0"/>
        <w:adjustRightInd w:val="0"/>
        <w:spacing w:line="360" w:lineRule="auto"/>
        <w:ind w:left="924"/>
        <w:rPr>
          <w:rFonts w:cs="Arial"/>
          <w:sz w:val="28"/>
          <w:szCs w:val="28"/>
        </w:rPr>
      </w:pPr>
      <w:r w:rsidRPr="00C67536">
        <w:rPr>
          <w:rFonts w:cs="Arial"/>
          <w:sz w:val="28"/>
          <w:szCs w:val="28"/>
        </w:rPr>
        <w:t>La protección de la vida, salud y seguridad del consumidor contra los riesgos provocados por productos, prácticas en el abastecimiento de productos y servicios considerados peligrosos o nocivos</w:t>
      </w:r>
      <w:r w:rsidRPr="00C67536">
        <w:rPr>
          <w:rStyle w:val="FootnoteReference"/>
          <w:rFonts w:cs="Arial"/>
          <w:sz w:val="28"/>
          <w:szCs w:val="28"/>
        </w:rPr>
        <w:footnoteReference w:id="21"/>
      </w:r>
      <w:r w:rsidRPr="00C67536">
        <w:rPr>
          <w:rFonts w:cs="Arial"/>
          <w:sz w:val="28"/>
          <w:szCs w:val="28"/>
        </w:rPr>
        <w:t>; y,</w:t>
      </w:r>
    </w:p>
    <w:p w14:paraId="23DF24F4" w14:textId="77777777" w:rsidR="00FA2893" w:rsidRPr="00C67536" w:rsidRDefault="00FA2893" w:rsidP="00FA2893">
      <w:pPr>
        <w:pStyle w:val="Estilo"/>
        <w:spacing w:line="360" w:lineRule="auto"/>
        <w:ind w:left="924"/>
        <w:rPr>
          <w:rFonts w:cs="Arial"/>
          <w:sz w:val="28"/>
          <w:szCs w:val="28"/>
        </w:rPr>
      </w:pPr>
    </w:p>
    <w:p w14:paraId="42996CA6" w14:textId="07E33AE2" w:rsidR="00FA2893" w:rsidRPr="00C67536" w:rsidRDefault="00FA2893" w:rsidP="00FA2893">
      <w:pPr>
        <w:pStyle w:val="Estilo"/>
        <w:widowControl w:val="0"/>
        <w:numPr>
          <w:ilvl w:val="0"/>
          <w:numId w:val="24"/>
        </w:numPr>
        <w:autoSpaceDE w:val="0"/>
        <w:autoSpaceDN w:val="0"/>
        <w:adjustRightInd w:val="0"/>
        <w:spacing w:line="360" w:lineRule="auto"/>
        <w:ind w:left="924"/>
        <w:rPr>
          <w:rFonts w:cs="Arial"/>
          <w:sz w:val="28"/>
          <w:szCs w:val="28"/>
        </w:rPr>
      </w:pPr>
      <w:r w:rsidRPr="00C67536">
        <w:rPr>
          <w:rFonts w:cs="Arial"/>
          <w:sz w:val="28"/>
          <w:szCs w:val="28"/>
        </w:rPr>
        <w:t>La educación y divulgación sobre el consumo adecuado de los productos y servicios, que garanticen la libertad para escoger y la equidad en las contrataciones</w:t>
      </w:r>
      <w:r w:rsidRPr="00C67536">
        <w:rPr>
          <w:rStyle w:val="FootnoteReference"/>
          <w:rFonts w:cs="Arial"/>
          <w:sz w:val="28"/>
          <w:szCs w:val="28"/>
        </w:rPr>
        <w:footnoteReference w:id="22"/>
      </w:r>
      <w:r w:rsidR="00672DAA" w:rsidRPr="00C67536">
        <w:rPr>
          <w:rFonts w:cs="Arial"/>
          <w:sz w:val="28"/>
          <w:szCs w:val="28"/>
        </w:rPr>
        <w:t>.</w:t>
      </w:r>
    </w:p>
    <w:p w14:paraId="6885BB89" w14:textId="77777777" w:rsidR="00FA2893" w:rsidRPr="00C67536" w:rsidRDefault="00FA2893" w:rsidP="00FA2893">
      <w:pPr>
        <w:pStyle w:val="corte4fondo"/>
        <w:ind w:firstLine="0"/>
        <w:rPr>
          <w:rFonts w:cs="Arial"/>
          <w:sz w:val="28"/>
          <w:szCs w:val="28"/>
          <w:lang w:val="es-MX"/>
        </w:rPr>
      </w:pPr>
    </w:p>
    <w:p w14:paraId="43254B9C" w14:textId="467AA826" w:rsidR="00FA2893" w:rsidRPr="00C67536" w:rsidRDefault="00FA2893" w:rsidP="00FA2893">
      <w:pPr>
        <w:pStyle w:val="corte4fondo"/>
        <w:numPr>
          <w:ilvl w:val="0"/>
          <w:numId w:val="15"/>
        </w:numPr>
        <w:ind w:left="0" w:hanging="567"/>
        <w:rPr>
          <w:rFonts w:cs="Arial"/>
          <w:sz w:val="28"/>
          <w:szCs w:val="28"/>
        </w:rPr>
      </w:pPr>
      <w:r w:rsidRPr="00C67536">
        <w:rPr>
          <w:rFonts w:cs="Arial"/>
          <w:sz w:val="28"/>
          <w:szCs w:val="28"/>
        </w:rPr>
        <w:t>Finalmente, resta decir que</w:t>
      </w:r>
      <w:r w:rsidR="00267196" w:rsidRPr="00C67536">
        <w:rPr>
          <w:rFonts w:cs="Arial"/>
          <w:sz w:val="28"/>
          <w:szCs w:val="28"/>
        </w:rPr>
        <w:t>,</w:t>
      </w:r>
      <w:r w:rsidRPr="00C67536">
        <w:rPr>
          <w:rFonts w:cs="Arial"/>
          <w:sz w:val="28"/>
          <w:szCs w:val="28"/>
        </w:rPr>
        <w:t xml:space="preserve"> el artículo 4, párrafo noveno, de la Constitución Política de los Estados Unidos Mexicanos, reconoce el </w:t>
      </w:r>
      <w:r w:rsidRPr="00C67536">
        <w:rPr>
          <w:rFonts w:cs="Arial"/>
          <w:b/>
          <w:bCs/>
          <w:sz w:val="28"/>
          <w:szCs w:val="28"/>
        </w:rPr>
        <w:t>principio del interés superior de la niñez</w:t>
      </w:r>
      <w:r w:rsidRPr="00C67536">
        <w:rPr>
          <w:rFonts w:cs="Arial"/>
          <w:sz w:val="28"/>
          <w:szCs w:val="28"/>
        </w:rPr>
        <w:t xml:space="preserve">, al establecer que, en todas las decisiones y actuaciones, el Estado deberá velar y cumplir con dicho principio garantizado de manera plena sus derechos. Dispone que </w:t>
      </w:r>
      <w:r w:rsidRPr="00C67536">
        <w:rPr>
          <w:rFonts w:cs="Arial"/>
          <w:i/>
          <w:iCs/>
          <w:sz w:val="28"/>
          <w:szCs w:val="28"/>
        </w:rPr>
        <w:t>‘los niños y las niñas tienen derecho a la satisfacción de sus necesidades de alimentación, salud, educación y sano esparcimiento para su desarrollo integral’</w:t>
      </w:r>
      <w:r w:rsidRPr="00C67536">
        <w:rPr>
          <w:rFonts w:cs="Arial"/>
          <w:sz w:val="28"/>
          <w:szCs w:val="28"/>
        </w:rPr>
        <w:t xml:space="preserve"> y que este principio</w:t>
      </w:r>
      <w:r w:rsidRPr="00C67536">
        <w:rPr>
          <w:rFonts w:cs="Arial"/>
          <w:i/>
          <w:iCs/>
          <w:sz w:val="28"/>
          <w:szCs w:val="28"/>
        </w:rPr>
        <w:t xml:space="preserve"> ‘deberá guiar el diseño, ejecución, seguimiento y evaluación de las políticas públicas dirigidas a la niñez’</w:t>
      </w:r>
      <w:r w:rsidRPr="00C67536">
        <w:rPr>
          <w:rFonts w:cs="Arial"/>
          <w:sz w:val="28"/>
          <w:szCs w:val="28"/>
        </w:rPr>
        <w:t>.</w:t>
      </w:r>
    </w:p>
    <w:p w14:paraId="0C6CF533" w14:textId="77777777" w:rsidR="00FA2893" w:rsidRPr="00C67536" w:rsidRDefault="00FA2893" w:rsidP="00FA2893">
      <w:pPr>
        <w:pStyle w:val="corte4fondo"/>
        <w:ind w:firstLine="0"/>
        <w:rPr>
          <w:rFonts w:cs="Arial"/>
          <w:sz w:val="28"/>
          <w:szCs w:val="28"/>
        </w:rPr>
      </w:pPr>
    </w:p>
    <w:p w14:paraId="49B6A769" w14:textId="7BFF1C38" w:rsidR="00566AD3" w:rsidRPr="00C67536" w:rsidRDefault="00FA2893" w:rsidP="00566AD3">
      <w:pPr>
        <w:pStyle w:val="corte4fondo"/>
        <w:numPr>
          <w:ilvl w:val="0"/>
          <w:numId w:val="15"/>
        </w:numPr>
        <w:ind w:left="0" w:hanging="567"/>
        <w:rPr>
          <w:rFonts w:cs="Arial"/>
          <w:sz w:val="28"/>
          <w:szCs w:val="28"/>
        </w:rPr>
      </w:pPr>
      <w:r w:rsidRPr="00C67536">
        <w:rPr>
          <w:rFonts w:cs="Arial"/>
          <w:sz w:val="28"/>
          <w:szCs w:val="28"/>
        </w:rPr>
        <w:t>Atendiendo a dicho mandato, la Segunda Sala ha sostenido que en las decisiones adoptadas por las autoridades administrativas –en esferas relativas a la educación, el cuidado, la salud, el medio ambiente, las condiciones de vida, la protección, el asilo, la inmigración y el acceso a la nacionalidad, entre otras– deben evaluarse en función del interés superior del niño y han de estar guiadas por él, al igual que todas las medidas de aplicación, ya que la consideración del interés superior del niño como algo primordial requiere tomar conciencia de la importancia de sus intereses en todas las medidas y tener la voluntad de dar prioridad a esos intereses en todas las circunstancias, sobre todo cuando las medidas tengan efectos indiscutibles en los niños de que se trate</w:t>
      </w:r>
      <w:r w:rsidRPr="00C67536">
        <w:rPr>
          <w:rStyle w:val="FootnoteReference"/>
          <w:rFonts w:cs="Arial"/>
          <w:sz w:val="28"/>
          <w:szCs w:val="28"/>
        </w:rPr>
        <w:footnoteReference w:id="23"/>
      </w:r>
      <w:r w:rsidR="001D06CC" w:rsidRPr="00C67536">
        <w:rPr>
          <w:rFonts w:cs="Arial"/>
          <w:sz w:val="28"/>
          <w:szCs w:val="28"/>
        </w:rPr>
        <w:t>.</w:t>
      </w:r>
    </w:p>
    <w:p w14:paraId="7F41446D" w14:textId="77777777" w:rsidR="00566AD3" w:rsidRPr="00C67536" w:rsidRDefault="00566AD3" w:rsidP="00566AD3">
      <w:pPr>
        <w:pStyle w:val="ListParagraph"/>
        <w:rPr>
          <w:rFonts w:ascii="Arial" w:hAnsi="Arial" w:cs="Arial"/>
          <w:sz w:val="28"/>
          <w:szCs w:val="28"/>
        </w:rPr>
      </w:pPr>
    </w:p>
    <w:p w14:paraId="1FCD7810" w14:textId="77777777" w:rsidR="00566AD3" w:rsidRPr="00C67536" w:rsidRDefault="00A3660A" w:rsidP="00566AD3">
      <w:pPr>
        <w:pStyle w:val="corte4fondo"/>
        <w:numPr>
          <w:ilvl w:val="0"/>
          <w:numId w:val="15"/>
        </w:numPr>
        <w:ind w:left="0" w:hanging="567"/>
        <w:rPr>
          <w:rFonts w:cs="Arial"/>
          <w:sz w:val="28"/>
          <w:szCs w:val="28"/>
        </w:rPr>
      </w:pPr>
      <w:r w:rsidRPr="00C67536">
        <w:rPr>
          <w:rFonts w:cs="Arial"/>
          <w:sz w:val="28"/>
          <w:szCs w:val="28"/>
          <w:lang w:val="es-MX"/>
        </w:rPr>
        <w:t>Esta Suprema Corte ha reiterado que el interés superior del niño es uno de los principios rectores más importantes y ha enfatizado que se encuentra implícito en la regulación de los derechos de los menores previstos en el artículo 4º constitucional</w:t>
      </w:r>
      <w:r w:rsidRPr="00C67536">
        <w:rPr>
          <w:rStyle w:val="FootnoteReference"/>
          <w:rFonts w:cs="Arial"/>
          <w:sz w:val="28"/>
          <w:szCs w:val="28"/>
          <w:lang w:val="es-MX"/>
        </w:rPr>
        <w:footnoteReference w:id="24"/>
      </w:r>
      <w:r w:rsidRPr="00C67536">
        <w:rPr>
          <w:rFonts w:cs="Arial"/>
          <w:sz w:val="28"/>
          <w:szCs w:val="28"/>
          <w:lang w:val="es-MX"/>
        </w:rPr>
        <w:t xml:space="preserve">. </w:t>
      </w:r>
    </w:p>
    <w:p w14:paraId="2883B795" w14:textId="77777777" w:rsidR="00566AD3" w:rsidRPr="00C67536" w:rsidRDefault="00566AD3" w:rsidP="00566AD3">
      <w:pPr>
        <w:pStyle w:val="ListParagraph"/>
        <w:rPr>
          <w:rFonts w:ascii="Arial" w:hAnsi="Arial" w:cs="Arial"/>
          <w:sz w:val="28"/>
          <w:szCs w:val="28"/>
        </w:rPr>
      </w:pPr>
    </w:p>
    <w:p w14:paraId="5F173F77" w14:textId="77777777" w:rsidR="00566AD3" w:rsidRPr="00C67536" w:rsidRDefault="00A3660A" w:rsidP="00566AD3">
      <w:pPr>
        <w:pStyle w:val="corte4fondo"/>
        <w:numPr>
          <w:ilvl w:val="0"/>
          <w:numId w:val="15"/>
        </w:numPr>
        <w:ind w:left="0" w:hanging="567"/>
        <w:rPr>
          <w:rFonts w:cs="Arial"/>
          <w:sz w:val="28"/>
          <w:szCs w:val="28"/>
        </w:rPr>
      </w:pPr>
      <w:r w:rsidRPr="00C67536">
        <w:rPr>
          <w:rFonts w:cs="Arial"/>
          <w:sz w:val="28"/>
          <w:szCs w:val="28"/>
          <w:lang w:val="es-MX"/>
        </w:rPr>
        <w:t>Asimismo, este principio es mencionado en varios instrumentos internacionales, como el artículo 3.1 de la Convención sobre los Derechos del Niño, que establece que en cualquier medida que tomen las autoridades estatales debe tenerse en cuenta de forma primordial el interés superior del niño</w:t>
      </w:r>
      <w:r w:rsidRPr="00C67536">
        <w:rPr>
          <w:rFonts w:cs="Arial"/>
          <w:sz w:val="28"/>
          <w:szCs w:val="28"/>
          <w:vertAlign w:val="superscript"/>
          <w:lang w:val="es-MX"/>
        </w:rPr>
        <w:footnoteReference w:id="25"/>
      </w:r>
      <w:r w:rsidRPr="00C67536">
        <w:rPr>
          <w:rFonts w:cs="Arial"/>
          <w:sz w:val="28"/>
          <w:szCs w:val="28"/>
          <w:lang w:val="es-MX"/>
        </w:rPr>
        <w:t xml:space="preserve">. </w:t>
      </w:r>
    </w:p>
    <w:p w14:paraId="19EA9E5C" w14:textId="77777777" w:rsidR="00566AD3" w:rsidRPr="00C67536" w:rsidRDefault="00566AD3" w:rsidP="00566AD3">
      <w:pPr>
        <w:pStyle w:val="ListParagraph"/>
        <w:rPr>
          <w:rFonts w:ascii="Arial" w:hAnsi="Arial" w:cs="Arial"/>
          <w:sz w:val="28"/>
          <w:szCs w:val="28"/>
        </w:rPr>
      </w:pPr>
    </w:p>
    <w:p w14:paraId="5369693A" w14:textId="77777777" w:rsidR="00566AD3" w:rsidRPr="00C67536" w:rsidRDefault="00A3660A" w:rsidP="00566AD3">
      <w:pPr>
        <w:pStyle w:val="corte4fondo"/>
        <w:numPr>
          <w:ilvl w:val="0"/>
          <w:numId w:val="15"/>
        </w:numPr>
        <w:ind w:left="0" w:hanging="567"/>
        <w:rPr>
          <w:rFonts w:cs="Arial"/>
          <w:sz w:val="28"/>
          <w:szCs w:val="28"/>
        </w:rPr>
      </w:pPr>
      <w:r w:rsidRPr="00C67536">
        <w:rPr>
          <w:rFonts w:cs="Arial"/>
          <w:sz w:val="28"/>
          <w:szCs w:val="28"/>
          <w:lang w:val="es-MX"/>
        </w:rPr>
        <w:t xml:space="preserve">De la misma forma, el Comité para los Derechos del Niño ha expresado que </w:t>
      </w:r>
      <w:r w:rsidRPr="00C67536">
        <w:rPr>
          <w:rFonts w:cs="Arial"/>
          <w:i/>
          <w:iCs/>
          <w:sz w:val="28"/>
          <w:szCs w:val="28"/>
          <w:lang w:val="es-MX"/>
        </w:rPr>
        <w:t>“el principio del interés superior del niño se aplica a todas las medidas que afecten a los niños y exige medidas activas, tanto para proteger sus derechos y promover su supervivencia, crecimiento y bienestar como para apoyar y asistir a los padres y a otras personas que tengan la responsabilidad cotidiana de la realización de los derechos del niño”</w:t>
      </w:r>
      <w:r w:rsidRPr="00C67536">
        <w:rPr>
          <w:rFonts w:cs="Arial"/>
          <w:sz w:val="28"/>
          <w:szCs w:val="28"/>
          <w:vertAlign w:val="superscript"/>
          <w:lang w:val="es-MX"/>
        </w:rPr>
        <w:footnoteReference w:id="26"/>
      </w:r>
      <w:r w:rsidRPr="00C67536">
        <w:rPr>
          <w:rFonts w:cs="Arial"/>
          <w:sz w:val="28"/>
          <w:szCs w:val="28"/>
          <w:lang w:val="es-MX"/>
        </w:rPr>
        <w:t>.</w:t>
      </w:r>
    </w:p>
    <w:p w14:paraId="0DF6C185" w14:textId="77777777" w:rsidR="00566AD3" w:rsidRPr="00C67536" w:rsidRDefault="00566AD3" w:rsidP="00566AD3">
      <w:pPr>
        <w:pStyle w:val="ListParagraph"/>
        <w:rPr>
          <w:rFonts w:ascii="Arial" w:hAnsi="Arial" w:cs="Arial"/>
          <w:sz w:val="28"/>
          <w:szCs w:val="28"/>
        </w:rPr>
      </w:pPr>
    </w:p>
    <w:p w14:paraId="07DDE77D" w14:textId="28C6D984" w:rsidR="00C60BF1" w:rsidRPr="00C67536" w:rsidRDefault="00A3660A" w:rsidP="00C60BF1">
      <w:pPr>
        <w:pStyle w:val="corte4fondo"/>
        <w:numPr>
          <w:ilvl w:val="0"/>
          <w:numId w:val="15"/>
        </w:numPr>
        <w:ind w:left="0" w:hanging="567"/>
        <w:rPr>
          <w:rFonts w:cs="Arial"/>
          <w:sz w:val="28"/>
          <w:szCs w:val="28"/>
        </w:rPr>
      </w:pPr>
      <w:r w:rsidRPr="00C67536">
        <w:rPr>
          <w:rFonts w:cs="Arial"/>
          <w:sz w:val="28"/>
          <w:szCs w:val="28"/>
        </w:rPr>
        <w:t>Precisamente uno de esos ámbitos de protección de los niños, niñas y adolescentes, es el derecho al disfrute del más alto nivel posible de salud, cuya plena efectividad exige de los Estados Partes de la citada Convención la adopción de diversas medidas, como el combate de las enfermedades y la malnutrición, y el suministro de alimentos nutritivos adecuados, así como asegurar que todos los sectores de la sociedad conozcan los principios básicos de la salud y la nutrición de los niños</w:t>
      </w:r>
      <w:r w:rsidRPr="00C67536">
        <w:rPr>
          <w:rStyle w:val="FootnoteReference"/>
          <w:rFonts w:cs="Arial"/>
          <w:sz w:val="28"/>
          <w:szCs w:val="28"/>
        </w:rPr>
        <w:footnoteReference w:id="27"/>
      </w:r>
      <w:r w:rsidR="00970C56" w:rsidRPr="00C67536">
        <w:rPr>
          <w:rFonts w:cs="Arial"/>
          <w:sz w:val="28"/>
          <w:szCs w:val="28"/>
        </w:rPr>
        <w:t>.</w:t>
      </w:r>
    </w:p>
    <w:p w14:paraId="67064DBF" w14:textId="77777777" w:rsidR="00C60BF1" w:rsidRPr="00C67536" w:rsidRDefault="00C60BF1" w:rsidP="00C60BF1">
      <w:pPr>
        <w:pStyle w:val="ListParagraph"/>
        <w:rPr>
          <w:rFonts w:ascii="Arial" w:hAnsi="Arial" w:cs="Arial"/>
          <w:sz w:val="28"/>
          <w:szCs w:val="28"/>
        </w:rPr>
      </w:pPr>
    </w:p>
    <w:p w14:paraId="2E7FB367" w14:textId="13A960F6" w:rsidR="00C60BF1" w:rsidRPr="00C67536" w:rsidRDefault="00A3660A" w:rsidP="00C60BF1">
      <w:pPr>
        <w:pStyle w:val="corte4fondo"/>
        <w:numPr>
          <w:ilvl w:val="0"/>
          <w:numId w:val="15"/>
        </w:numPr>
        <w:ind w:left="0" w:hanging="567"/>
        <w:rPr>
          <w:rFonts w:cs="Arial"/>
          <w:sz w:val="28"/>
          <w:szCs w:val="28"/>
        </w:rPr>
      </w:pPr>
      <w:r w:rsidRPr="00C67536">
        <w:rPr>
          <w:rFonts w:cs="Arial"/>
          <w:sz w:val="28"/>
          <w:szCs w:val="28"/>
        </w:rPr>
        <w:t>Sobre el particular, la Observación General número 15 de la Organización de las Naciones Unidas, reitera la obligación de los Estados</w:t>
      </w:r>
      <w:r w:rsidRPr="00C67536">
        <w:rPr>
          <w:rFonts w:cs="Arial"/>
          <w:i/>
          <w:iCs/>
          <w:sz w:val="28"/>
          <w:szCs w:val="28"/>
        </w:rPr>
        <w:t xml:space="preserve"> </w:t>
      </w:r>
      <w:r w:rsidRPr="00C67536">
        <w:rPr>
          <w:rFonts w:cs="Arial"/>
          <w:sz w:val="28"/>
          <w:szCs w:val="28"/>
        </w:rPr>
        <w:t>de</w:t>
      </w:r>
      <w:r w:rsidRPr="00C67536">
        <w:rPr>
          <w:rFonts w:cs="Arial"/>
          <w:i/>
          <w:iCs/>
          <w:sz w:val="28"/>
          <w:szCs w:val="28"/>
        </w:rPr>
        <w:t xml:space="preserve"> “garantizar el acceso a alimentos inocuos, nutricionalmente adecuados y culturalmente apropiados y luchar contra la malnutrición”</w:t>
      </w:r>
      <w:r w:rsidRPr="00C67536">
        <w:rPr>
          <w:rStyle w:val="FootnoteReference"/>
          <w:rFonts w:cs="Arial"/>
          <w:sz w:val="28"/>
          <w:szCs w:val="28"/>
        </w:rPr>
        <w:footnoteReference w:id="28"/>
      </w:r>
      <w:r w:rsidRPr="00C67536">
        <w:rPr>
          <w:rFonts w:cs="Arial"/>
          <w:sz w:val="28"/>
          <w:szCs w:val="28"/>
        </w:rPr>
        <w:t>, destacando que “</w:t>
      </w:r>
      <w:r w:rsidRPr="00C67536">
        <w:rPr>
          <w:rFonts w:cs="Arial"/>
          <w:i/>
          <w:iCs/>
          <w:sz w:val="28"/>
          <w:szCs w:val="28"/>
        </w:rPr>
        <w:t>[l]a nutrición adecuada y el seguimiento del crecimiento en la primera infancia revisten especial importancia”</w:t>
      </w:r>
      <w:r w:rsidRPr="00C67536">
        <w:rPr>
          <w:rStyle w:val="FootnoteReference"/>
          <w:rFonts w:cs="Arial"/>
          <w:sz w:val="28"/>
          <w:szCs w:val="28"/>
        </w:rPr>
        <w:footnoteReference w:id="29"/>
      </w:r>
      <w:r w:rsidR="00C60BF1" w:rsidRPr="00C67536">
        <w:rPr>
          <w:rFonts w:cs="Arial"/>
          <w:i/>
          <w:iCs/>
          <w:sz w:val="28"/>
          <w:szCs w:val="28"/>
        </w:rPr>
        <w:t>.</w:t>
      </w:r>
    </w:p>
    <w:p w14:paraId="74123774" w14:textId="77777777" w:rsidR="00C60BF1" w:rsidRPr="00C67536" w:rsidRDefault="00C60BF1" w:rsidP="00C60BF1">
      <w:pPr>
        <w:pStyle w:val="ListParagraph"/>
        <w:rPr>
          <w:rFonts w:ascii="Arial" w:hAnsi="Arial" w:cs="Arial"/>
          <w:sz w:val="28"/>
          <w:szCs w:val="28"/>
          <w:lang w:val="es-ES_tradnl"/>
        </w:rPr>
      </w:pPr>
    </w:p>
    <w:p w14:paraId="080BCD40" w14:textId="49A98BEA" w:rsidR="00C60BF1" w:rsidRPr="00C67536" w:rsidRDefault="00A3660A" w:rsidP="00C60BF1">
      <w:pPr>
        <w:pStyle w:val="corte4fondo"/>
        <w:numPr>
          <w:ilvl w:val="0"/>
          <w:numId w:val="15"/>
        </w:numPr>
        <w:ind w:left="0" w:hanging="567"/>
        <w:rPr>
          <w:rFonts w:cs="Arial"/>
          <w:sz w:val="28"/>
          <w:szCs w:val="28"/>
        </w:rPr>
      </w:pPr>
      <w:r w:rsidRPr="00C67536">
        <w:rPr>
          <w:rFonts w:cs="Arial"/>
          <w:sz w:val="28"/>
          <w:szCs w:val="28"/>
        </w:rPr>
        <w:t xml:space="preserve">Así, en relación con la obligación estatal de garantizar el suministro de alimentos nutritivos adecuados, el Comité enfatiza el deber de los Estados de hacer frente a la obesidad infantil, que se vincula con diversas enfermedades, por lo que señala que </w:t>
      </w:r>
      <w:r w:rsidRPr="00C67536">
        <w:rPr>
          <w:rFonts w:cs="Arial"/>
          <w:i/>
          <w:iCs/>
          <w:sz w:val="28"/>
          <w:szCs w:val="28"/>
        </w:rPr>
        <w:t>“[d]</w:t>
      </w:r>
      <w:proofErr w:type="spellStart"/>
      <w:r w:rsidRPr="00C67536">
        <w:rPr>
          <w:rFonts w:cs="Arial"/>
          <w:i/>
          <w:iCs/>
          <w:sz w:val="28"/>
          <w:szCs w:val="28"/>
        </w:rPr>
        <w:t>ebe</w:t>
      </w:r>
      <w:proofErr w:type="spellEnd"/>
      <w:r w:rsidRPr="00C67536">
        <w:rPr>
          <w:rFonts w:cs="Arial"/>
          <w:i/>
          <w:iCs/>
          <w:sz w:val="28"/>
          <w:szCs w:val="28"/>
        </w:rPr>
        <w:t xml:space="preserve"> limitarse la exposición de los niños a la ‘comida rápida’ de alto contenido en grasas, azúcar o sal, que es muy energética pero carece de suficientes micronutrientes, y a bebidas de alto contenido en cafeína u otras sustancias de posibles efectos nocivos. Debe controlarse la comercialización de estas sustancias, especialmente cuando sus destinatarios son niños, así como su disponibilidad en las escuelas y otros lugares”</w:t>
      </w:r>
      <w:r w:rsidRPr="00C67536">
        <w:rPr>
          <w:rStyle w:val="FootnoteReference"/>
          <w:rFonts w:cs="Arial"/>
          <w:sz w:val="28"/>
          <w:szCs w:val="28"/>
        </w:rPr>
        <w:footnoteReference w:id="30"/>
      </w:r>
      <w:r w:rsidR="00C60BF1" w:rsidRPr="00C67536">
        <w:rPr>
          <w:rFonts w:cs="Arial"/>
          <w:i/>
          <w:iCs/>
          <w:sz w:val="28"/>
          <w:szCs w:val="28"/>
        </w:rPr>
        <w:t>.</w:t>
      </w:r>
    </w:p>
    <w:p w14:paraId="47CDC3BA" w14:textId="77777777" w:rsidR="00C60BF1" w:rsidRPr="00C67536" w:rsidRDefault="00C60BF1" w:rsidP="00C60BF1">
      <w:pPr>
        <w:pStyle w:val="ListParagraph"/>
        <w:rPr>
          <w:rFonts w:ascii="Arial" w:hAnsi="Arial" w:cs="Arial"/>
          <w:sz w:val="28"/>
          <w:szCs w:val="28"/>
          <w:lang w:val="es-ES_tradnl"/>
        </w:rPr>
      </w:pPr>
    </w:p>
    <w:p w14:paraId="7E4AAC40" w14:textId="77777777" w:rsidR="00C60BF1" w:rsidRPr="00C67536" w:rsidRDefault="00A3660A" w:rsidP="00C60BF1">
      <w:pPr>
        <w:pStyle w:val="corte4fondo"/>
        <w:numPr>
          <w:ilvl w:val="0"/>
          <w:numId w:val="15"/>
        </w:numPr>
        <w:ind w:left="0" w:hanging="567"/>
        <w:rPr>
          <w:rFonts w:cs="Arial"/>
          <w:sz w:val="28"/>
          <w:szCs w:val="28"/>
        </w:rPr>
      </w:pPr>
      <w:r w:rsidRPr="00C67536">
        <w:rPr>
          <w:rFonts w:cs="Arial"/>
          <w:sz w:val="28"/>
          <w:szCs w:val="28"/>
        </w:rPr>
        <w:t xml:space="preserve">En función de lo cual, el Comité explica que, frente a la obligación antes mencionada, los Estados son garantes de </w:t>
      </w:r>
      <w:r w:rsidRPr="00C67536">
        <w:rPr>
          <w:rFonts w:cs="Arial"/>
          <w:i/>
          <w:iCs/>
          <w:sz w:val="28"/>
          <w:szCs w:val="28"/>
        </w:rPr>
        <w:t>“promover el conocimiento por los agentes no estatales de sus responsabilidades y velar por que todos ellos reconozcan, respeten y hagan efectivas sus responsabilidades ante el niño”</w:t>
      </w:r>
      <w:r w:rsidRPr="00C67536">
        <w:rPr>
          <w:rStyle w:val="FootnoteReference"/>
          <w:rFonts w:cs="Arial"/>
          <w:i/>
          <w:iCs/>
          <w:sz w:val="28"/>
          <w:szCs w:val="28"/>
        </w:rPr>
        <w:footnoteReference w:id="31"/>
      </w:r>
      <w:r w:rsidRPr="00C67536">
        <w:rPr>
          <w:rFonts w:cs="Arial"/>
          <w:i/>
          <w:iCs/>
          <w:sz w:val="28"/>
          <w:szCs w:val="28"/>
        </w:rPr>
        <w:t>,</w:t>
      </w:r>
      <w:r w:rsidRPr="00C67536">
        <w:rPr>
          <w:rFonts w:cs="Arial"/>
          <w:sz w:val="28"/>
          <w:szCs w:val="28"/>
        </w:rPr>
        <w:t xml:space="preserve"> así como de </w:t>
      </w:r>
      <w:r w:rsidRPr="00C67536">
        <w:rPr>
          <w:rFonts w:cs="Arial"/>
          <w:i/>
          <w:iCs/>
          <w:sz w:val="28"/>
          <w:szCs w:val="28"/>
        </w:rPr>
        <w:t>“imponer a las empresas la obligación de ejercer la diligencia debida en relación con los derechos del niño”</w:t>
      </w:r>
      <w:r w:rsidRPr="00C67536">
        <w:rPr>
          <w:rStyle w:val="FootnoteReference"/>
          <w:rFonts w:cs="Arial"/>
          <w:i/>
          <w:iCs/>
          <w:sz w:val="28"/>
          <w:szCs w:val="28"/>
        </w:rPr>
        <w:footnoteReference w:id="32"/>
      </w:r>
      <w:r w:rsidRPr="00C67536">
        <w:rPr>
          <w:rFonts w:cs="Arial"/>
          <w:i/>
          <w:iCs/>
          <w:sz w:val="28"/>
          <w:szCs w:val="28"/>
        </w:rPr>
        <w:t xml:space="preserve">; </w:t>
      </w:r>
      <w:r w:rsidRPr="00C67536">
        <w:rPr>
          <w:rFonts w:cs="Arial"/>
          <w:sz w:val="28"/>
          <w:szCs w:val="28"/>
        </w:rPr>
        <w:t xml:space="preserve">destacando que, entre otras responsabilidades, las empresas privadas deberán </w:t>
      </w:r>
      <w:r w:rsidRPr="00C67536">
        <w:rPr>
          <w:rFonts w:cs="Arial"/>
          <w:i/>
          <w:iCs/>
          <w:sz w:val="28"/>
          <w:szCs w:val="28"/>
        </w:rPr>
        <w:t>“limitar la publicidad de los alimentos energéticos con bajo contenido en micronutrientes y de las bebidas con alto contenido en cafeína u otras sustancias de posibles efectos nocivos para el niño”</w:t>
      </w:r>
      <w:r w:rsidRPr="00C67536">
        <w:rPr>
          <w:rStyle w:val="FootnoteReference"/>
          <w:rFonts w:cs="Arial"/>
          <w:i/>
          <w:iCs/>
          <w:sz w:val="28"/>
          <w:szCs w:val="28"/>
        </w:rPr>
        <w:footnoteReference w:id="33"/>
      </w:r>
      <w:r w:rsidRPr="00C67536">
        <w:rPr>
          <w:rFonts w:cs="Arial"/>
          <w:sz w:val="28"/>
          <w:szCs w:val="28"/>
        </w:rPr>
        <w:t xml:space="preserve">. </w:t>
      </w:r>
      <w:r w:rsidRPr="00C67536">
        <w:rPr>
          <w:rFonts w:cs="Arial"/>
          <w:i/>
          <w:iCs/>
          <w:sz w:val="28"/>
          <w:szCs w:val="28"/>
        </w:rPr>
        <w:t xml:space="preserve">   </w:t>
      </w:r>
    </w:p>
    <w:p w14:paraId="11BF0C43" w14:textId="77777777" w:rsidR="00C60BF1" w:rsidRPr="00C67536" w:rsidRDefault="00C60BF1" w:rsidP="00C60BF1">
      <w:pPr>
        <w:pStyle w:val="ListParagraph"/>
        <w:rPr>
          <w:rFonts w:ascii="Arial" w:hAnsi="Arial" w:cs="Arial"/>
          <w:sz w:val="28"/>
          <w:szCs w:val="28"/>
        </w:rPr>
      </w:pPr>
    </w:p>
    <w:p w14:paraId="48B259C8" w14:textId="77777777" w:rsidR="00C60BF1" w:rsidRPr="00C67536" w:rsidRDefault="00A3660A" w:rsidP="00C60BF1">
      <w:pPr>
        <w:pStyle w:val="corte4fondo"/>
        <w:numPr>
          <w:ilvl w:val="0"/>
          <w:numId w:val="15"/>
        </w:numPr>
        <w:ind w:left="0" w:hanging="567"/>
        <w:rPr>
          <w:rFonts w:cs="Arial"/>
          <w:sz w:val="28"/>
          <w:szCs w:val="28"/>
        </w:rPr>
      </w:pPr>
      <w:r w:rsidRPr="00C67536">
        <w:rPr>
          <w:rFonts w:cs="Arial"/>
          <w:sz w:val="28"/>
          <w:szCs w:val="28"/>
        </w:rPr>
        <w:t>Desde luego, el Comité también refiere en la aludida Observación General a la importancia de que todos los sectores de la sociedad conozcan los principios básicos de la salud y nutrición de las y los menores, respecto de lo cual, menciona que ello comprende el aporte de información para que los niños puedan adoptar decisiones fundamentadas en relación con su estilo de vida, entre ellos, los hábitos alimenticios saludables</w:t>
      </w:r>
      <w:r w:rsidRPr="00C67536">
        <w:rPr>
          <w:rStyle w:val="FootnoteReference"/>
          <w:rFonts w:cs="Arial"/>
          <w:sz w:val="28"/>
          <w:szCs w:val="28"/>
        </w:rPr>
        <w:footnoteReference w:id="34"/>
      </w:r>
      <w:r w:rsidRPr="00C67536">
        <w:rPr>
          <w:rFonts w:cs="Arial"/>
          <w:sz w:val="28"/>
          <w:szCs w:val="28"/>
        </w:rPr>
        <w:t>.</w:t>
      </w:r>
    </w:p>
    <w:p w14:paraId="7D2B247F" w14:textId="77777777" w:rsidR="00C60BF1" w:rsidRPr="00C67536" w:rsidRDefault="00C60BF1" w:rsidP="000F41FE">
      <w:pPr>
        <w:pStyle w:val="ListParagraph"/>
        <w:spacing w:before="200" w:after="200"/>
        <w:rPr>
          <w:rFonts w:ascii="Arial" w:hAnsi="Arial" w:cs="Arial"/>
          <w:sz w:val="28"/>
          <w:szCs w:val="28"/>
        </w:rPr>
      </w:pPr>
    </w:p>
    <w:p w14:paraId="090C2C65" w14:textId="7B2409FA" w:rsidR="00A3660A" w:rsidRPr="00C67536" w:rsidRDefault="00A3660A" w:rsidP="000F41FE">
      <w:pPr>
        <w:pStyle w:val="corte4fondo"/>
        <w:numPr>
          <w:ilvl w:val="0"/>
          <w:numId w:val="15"/>
        </w:numPr>
        <w:spacing w:before="200" w:after="200"/>
        <w:ind w:left="0" w:hanging="567"/>
        <w:rPr>
          <w:rFonts w:cs="Arial"/>
          <w:sz w:val="28"/>
          <w:szCs w:val="28"/>
        </w:rPr>
      </w:pPr>
      <w:r w:rsidRPr="00C67536">
        <w:rPr>
          <w:rFonts w:cs="Arial"/>
          <w:sz w:val="28"/>
          <w:szCs w:val="28"/>
        </w:rPr>
        <w:t>Desde esta perspectiva, no cabe duda de que el principio del interés superior del niño debe informar todos los ámbitos de la actividad estatal que estén relacionados directa o indirectamente con los menores, por lo que necesariamente implica que la protección de los derechos del niño se realice a través de medidas reforzadas.</w:t>
      </w:r>
    </w:p>
    <w:p w14:paraId="4D21A94D" w14:textId="77777777" w:rsidR="00FA2893" w:rsidRPr="00C67536" w:rsidRDefault="00FA2893" w:rsidP="000F41FE">
      <w:pPr>
        <w:pStyle w:val="ListParagraph"/>
        <w:spacing w:before="200" w:after="200"/>
        <w:rPr>
          <w:rFonts w:ascii="Arial" w:hAnsi="Arial" w:cs="Arial"/>
          <w:sz w:val="28"/>
          <w:szCs w:val="28"/>
        </w:rPr>
      </w:pPr>
    </w:p>
    <w:p w14:paraId="31AE60C4" w14:textId="258ABC16" w:rsidR="00CD00D2" w:rsidRPr="00C67536" w:rsidRDefault="00FA2893" w:rsidP="000F41FE">
      <w:pPr>
        <w:pStyle w:val="corte4fondo"/>
        <w:numPr>
          <w:ilvl w:val="0"/>
          <w:numId w:val="15"/>
        </w:numPr>
        <w:spacing w:before="200" w:after="200"/>
        <w:ind w:left="0" w:hanging="567"/>
        <w:rPr>
          <w:rFonts w:cs="Arial"/>
          <w:sz w:val="28"/>
          <w:szCs w:val="28"/>
        </w:rPr>
      </w:pPr>
      <w:r w:rsidRPr="00C67536">
        <w:rPr>
          <w:rFonts w:cs="Arial"/>
          <w:sz w:val="28"/>
          <w:szCs w:val="28"/>
        </w:rPr>
        <w:t xml:space="preserve">En razón de lo anteriormente expuesto, es por lo que se considera que </w:t>
      </w:r>
      <w:r w:rsidRPr="00C67536">
        <w:rPr>
          <w:rStyle w:val="Heading1Char"/>
          <w:rFonts w:ascii="Arial" w:hAnsi="Arial" w:cs="Arial"/>
          <w:color w:val="auto"/>
          <w:sz w:val="28"/>
          <w:szCs w:val="28"/>
          <w:lang w:val="es-ES"/>
        </w:rPr>
        <w:t xml:space="preserve">la finalidad de las porciones normativas impugnadas tiene un asidero constitucional. Lo cual, como se vio, resulta </w:t>
      </w:r>
      <w:r w:rsidRPr="00C67536">
        <w:rPr>
          <w:rFonts w:cs="Arial"/>
          <w:b/>
          <w:bCs/>
          <w:sz w:val="28"/>
          <w:szCs w:val="28"/>
        </w:rPr>
        <w:t>constitucionalmente válido</w:t>
      </w:r>
      <w:r w:rsidRPr="00C67536">
        <w:rPr>
          <w:rFonts w:cs="Arial"/>
          <w:sz w:val="28"/>
          <w:szCs w:val="28"/>
        </w:rPr>
        <w:t>.</w:t>
      </w:r>
    </w:p>
    <w:p w14:paraId="09C31D04" w14:textId="77777777" w:rsidR="00CD00D2" w:rsidRPr="00C67536" w:rsidRDefault="00CD00D2" w:rsidP="000F41FE">
      <w:pPr>
        <w:pStyle w:val="ListParagraph"/>
        <w:spacing w:before="200" w:after="200"/>
        <w:rPr>
          <w:rStyle w:val="Heading1Char"/>
          <w:rFonts w:ascii="Arial" w:hAnsi="Arial" w:cs="Arial"/>
          <w:b/>
          <w:color w:val="auto"/>
          <w:sz w:val="28"/>
          <w:szCs w:val="28"/>
          <w:lang w:val="es-ES"/>
        </w:rPr>
      </w:pPr>
    </w:p>
    <w:p w14:paraId="0B47E8D6" w14:textId="77777777" w:rsidR="000D2A66" w:rsidRPr="00C67536" w:rsidRDefault="0098078F" w:rsidP="000F41FE">
      <w:pPr>
        <w:pStyle w:val="corte4fondo"/>
        <w:numPr>
          <w:ilvl w:val="0"/>
          <w:numId w:val="15"/>
        </w:numPr>
        <w:spacing w:before="200" w:after="200"/>
        <w:ind w:left="0" w:hanging="567"/>
        <w:rPr>
          <w:rStyle w:val="Heading1Char"/>
          <w:rFonts w:ascii="Arial" w:eastAsia="Times New Roman" w:hAnsi="Arial" w:cs="Arial"/>
          <w:color w:val="auto"/>
          <w:sz w:val="28"/>
          <w:szCs w:val="28"/>
        </w:rPr>
      </w:pPr>
      <w:r w:rsidRPr="00C67536">
        <w:rPr>
          <w:rStyle w:val="Heading1Char"/>
          <w:rFonts w:ascii="Arial" w:hAnsi="Arial" w:cs="Arial"/>
          <w:b/>
          <w:color w:val="auto"/>
          <w:sz w:val="28"/>
          <w:szCs w:val="28"/>
          <w:lang w:val="es-ES"/>
        </w:rPr>
        <w:t>Segunda etapa del test de proporcionalidad</w:t>
      </w:r>
      <w:r w:rsidRPr="00C67536">
        <w:rPr>
          <w:rStyle w:val="Heading1Char"/>
          <w:rFonts w:ascii="Arial" w:hAnsi="Arial" w:cs="Arial"/>
          <w:bCs/>
          <w:color w:val="auto"/>
          <w:sz w:val="28"/>
          <w:szCs w:val="28"/>
          <w:lang w:val="es-ES"/>
        </w:rPr>
        <w:t xml:space="preserve">. </w:t>
      </w:r>
      <w:r w:rsidR="000D2A66" w:rsidRPr="00C67536">
        <w:rPr>
          <w:rStyle w:val="Heading1Char"/>
          <w:rFonts w:ascii="Arial" w:hAnsi="Arial" w:cs="Arial"/>
          <w:color w:val="auto"/>
          <w:sz w:val="28"/>
          <w:szCs w:val="28"/>
          <w:lang w:val="es-ES"/>
        </w:rPr>
        <w:t>Verificado lo anterior, se analizará si la medida adoptada por el legislador constituye un medio apto para concluir al fin u objetivo perseguido, existiendo una relación de instrumentalidad medio-fin.</w:t>
      </w:r>
    </w:p>
    <w:p w14:paraId="60BC06FF" w14:textId="77777777" w:rsidR="000D2A66" w:rsidRPr="00C67536" w:rsidRDefault="000D2A66" w:rsidP="000F41FE">
      <w:pPr>
        <w:pStyle w:val="ListParagraph"/>
        <w:spacing w:before="200" w:after="200"/>
        <w:rPr>
          <w:rStyle w:val="Heading1Char"/>
          <w:rFonts w:ascii="Arial" w:hAnsi="Arial" w:cs="Arial"/>
          <w:color w:val="auto"/>
          <w:sz w:val="28"/>
          <w:szCs w:val="28"/>
          <w:lang w:val="es-ES"/>
        </w:rPr>
      </w:pPr>
    </w:p>
    <w:p w14:paraId="3DBCF812" w14:textId="77777777" w:rsidR="000D2A66" w:rsidRPr="00C67536" w:rsidRDefault="000D2A66" w:rsidP="000F41FE">
      <w:pPr>
        <w:pStyle w:val="corte4fondo"/>
        <w:numPr>
          <w:ilvl w:val="0"/>
          <w:numId w:val="15"/>
        </w:numPr>
        <w:spacing w:before="200" w:after="200"/>
        <w:ind w:left="0" w:hanging="567"/>
        <w:rPr>
          <w:rFonts w:cs="Arial"/>
          <w:sz w:val="28"/>
          <w:szCs w:val="28"/>
        </w:rPr>
      </w:pPr>
      <w:r w:rsidRPr="00C67536">
        <w:rPr>
          <w:rStyle w:val="Heading1Char"/>
          <w:rFonts w:ascii="Arial" w:hAnsi="Arial" w:cs="Arial"/>
          <w:color w:val="auto"/>
          <w:sz w:val="28"/>
          <w:szCs w:val="28"/>
          <w:lang w:val="es-ES"/>
        </w:rPr>
        <w:t>A juicio de este Tribunal Pleno, la medida legislativa contenida en las disposiciones impugnadas</w:t>
      </w:r>
      <w:r w:rsidRPr="00C67536">
        <w:rPr>
          <w:rStyle w:val="FootnoteReference"/>
          <w:rFonts w:cs="Arial"/>
          <w:sz w:val="28"/>
          <w:szCs w:val="28"/>
          <w:lang w:val="es-ES"/>
        </w:rPr>
        <w:footnoteReference w:id="35"/>
      </w:r>
      <w:r w:rsidRPr="00C67536">
        <w:rPr>
          <w:rStyle w:val="Heading1Char"/>
          <w:rFonts w:ascii="Arial" w:hAnsi="Arial" w:cs="Arial"/>
          <w:color w:val="auto"/>
          <w:sz w:val="28"/>
          <w:szCs w:val="28"/>
          <w:lang w:val="es-ES"/>
        </w:rPr>
        <w:t xml:space="preserve">, consistente en el </w:t>
      </w:r>
      <w:r w:rsidRPr="00C67536">
        <w:rPr>
          <w:rStyle w:val="Heading1Char"/>
          <w:rFonts w:ascii="Arial" w:hAnsi="Arial" w:cs="Arial"/>
          <w:bCs/>
          <w:color w:val="auto"/>
          <w:sz w:val="28"/>
          <w:szCs w:val="28"/>
          <w:lang w:val="es-ES"/>
        </w:rPr>
        <w:t>etiquetado frontal de advertencia</w:t>
      </w:r>
      <w:r w:rsidRPr="00C67536">
        <w:rPr>
          <w:rStyle w:val="Heading1Char"/>
          <w:rFonts w:ascii="Arial" w:hAnsi="Arial" w:cs="Arial"/>
          <w:color w:val="auto"/>
          <w:sz w:val="28"/>
          <w:szCs w:val="28"/>
          <w:lang w:val="es-ES"/>
        </w:rPr>
        <w:t xml:space="preserve">, para aquellos productos que </w:t>
      </w:r>
      <w:r w:rsidRPr="00C67536">
        <w:rPr>
          <w:rFonts w:cs="Arial"/>
          <w:i/>
          <w:iCs/>
          <w:sz w:val="28"/>
          <w:szCs w:val="28"/>
        </w:rPr>
        <w:t>‘excedan los límites máximos de contenido energético, azúcares añadidos, grasas saturadas, sodio y los demás nutrimentos críticos e ingredientes que establezcan las disposiciones normativas competentes’,</w:t>
      </w:r>
      <w:r w:rsidRPr="00C67536">
        <w:rPr>
          <w:rFonts w:cs="Arial"/>
          <w:sz w:val="28"/>
          <w:szCs w:val="28"/>
        </w:rPr>
        <w:t xml:space="preserve"> resulta ser el medio idóneo, apto y adecuado para cumplir con la finalidad constitucionalmente válida antes mencionada.</w:t>
      </w:r>
      <w:r w:rsidRPr="00C67536">
        <w:rPr>
          <w:rFonts w:cs="Arial"/>
          <w:i/>
          <w:iCs/>
          <w:sz w:val="28"/>
          <w:szCs w:val="28"/>
        </w:rPr>
        <w:t xml:space="preserve"> </w:t>
      </w:r>
    </w:p>
    <w:p w14:paraId="1585A834" w14:textId="77777777" w:rsidR="000D2A66" w:rsidRPr="00C67536" w:rsidRDefault="000D2A66" w:rsidP="000F41FE">
      <w:pPr>
        <w:pStyle w:val="ListParagraph"/>
        <w:spacing w:before="200" w:after="200"/>
        <w:rPr>
          <w:rFonts w:ascii="Arial" w:hAnsi="Arial" w:cs="Arial"/>
          <w:sz w:val="28"/>
          <w:szCs w:val="28"/>
        </w:rPr>
      </w:pPr>
    </w:p>
    <w:p w14:paraId="43C36888" w14:textId="69B772D3" w:rsidR="000D2A66" w:rsidRPr="00C67536" w:rsidRDefault="000D2A66" w:rsidP="000F41FE">
      <w:pPr>
        <w:pStyle w:val="corte4fondo"/>
        <w:numPr>
          <w:ilvl w:val="0"/>
          <w:numId w:val="15"/>
        </w:numPr>
        <w:spacing w:before="200" w:after="200"/>
        <w:ind w:left="0" w:hanging="567"/>
        <w:rPr>
          <w:rFonts w:cs="Arial"/>
          <w:sz w:val="28"/>
          <w:szCs w:val="28"/>
        </w:rPr>
      </w:pPr>
      <w:r w:rsidRPr="00C67536">
        <w:rPr>
          <w:rFonts w:cs="Arial"/>
          <w:sz w:val="28"/>
          <w:szCs w:val="28"/>
        </w:rPr>
        <w:t xml:space="preserve">Lo anterior es así, porque permite que los consumidores puedan realizar elecciones más saludables a partir de identificar de una manera fácil y rápida aquellos productos nocivos para la salud, tal como se puede advertir de la siguiente imagen. </w:t>
      </w:r>
    </w:p>
    <w:p w14:paraId="3A8DFE00" w14:textId="77777777" w:rsidR="000D2A66" w:rsidRPr="00C67536" w:rsidRDefault="000D2A66" w:rsidP="000D2A66">
      <w:pPr>
        <w:pStyle w:val="corte4fondo"/>
        <w:spacing w:after="240"/>
        <w:ind w:left="567" w:right="51" w:firstLine="0"/>
        <w:jc w:val="center"/>
        <w:rPr>
          <w:rFonts w:cs="Arial"/>
          <w:sz w:val="28"/>
          <w:szCs w:val="28"/>
          <w:lang w:val="es-ES"/>
        </w:rPr>
      </w:pPr>
      <w:r w:rsidRPr="00C67536">
        <w:rPr>
          <w:rFonts w:cs="Arial"/>
          <w:noProof/>
          <w:sz w:val="28"/>
          <w:szCs w:val="28"/>
          <w:lang w:val="es-MX"/>
        </w:rPr>
        <w:drawing>
          <wp:inline distT="0" distB="0" distL="0" distR="0" wp14:anchorId="02CD4A1B" wp14:editId="18A08FC1">
            <wp:extent cx="5094605" cy="2077155"/>
            <wp:effectExtent l="0" t="0" r="0" b="0"/>
            <wp:docPr id="1404003040" name="Imagen 140400304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7710" cy="2086575"/>
                    </a:xfrm>
                    <a:prstGeom prst="rect">
                      <a:avLst/>
                    </a:prstGeom>
                    <a:noFill/>
                    <a:ln>
                      <a:noFill/>
                    </a:ln>
                  </pic:spPr>
                </pic:pic>
              </a:graphicData>
            </a:graphic>
          </wp:inline>
        </w:drawing>
      </w:r>
    </w:p>
    <w:p w14:paraId="51E6EA26" w14:textId="38459EC3" w:rsidR="000D2A66" w:rsidRPr="00C67536" w:rsidRDefault="000D2A66" w:rsidP="000D2A66">
      <w:pPr>
        <w:pStyle w:val="corte4fondo"/>
        <w:numPr>
          <w:ilvl w:val="0"/>
          <w:numId w:val="15"/>
        </w:numPr>
        <w:spacing w:after="240"/>
        <w:ind w:left="0" w:right="51" w:hanging="567"/>
        <w:rPr>
          <w:rFonts w:cs="Arial"/>
          <w:sz w:val="28"/>
          <w:szCs w:val="28"/>
          <w:lang w:val="es-ES"/>
        </w:rPr>
      </w:pPr>
      <w:r w:rsidRPr="00C67536">
        <w:rPr>
          <w:rFonts w:cs="Arial"/>
          <w:sz w:val="28"/>
          <w:szCs w:val="28"/>
          <w:lang w:val="es-ES"/>
        </w:rPr>
        <w:t>Para la Organización Panamericana de la Salud (OPS), la mala alimentación guarda una estrecha relación con la hipertensión, la hiperglucemia en ayunas (medida como el nivel de glucosa en plasma en ayunas) y el sobrepeso o la obesidad, como los tres factores de riesgo más asociados con la mortalidad en la Región de las Américas. Esto, debido en gran parte a la ingesta excesiva de azúcares, grasas totales, grasas saturadas, grasas trans y sodio, los denominados “nutrientes críticos” de preocupación para la salud pública</w:t>
      </w:r>
      <w:r w:rsidRPr="00C67536">
        <w:rPr>
          <w:rStyle w:val="FootnoteReference"/>
          <w:rFonts w:cs="Arial"/>
          <w:sz w:val="28"/>
          <w:szCs w:val="28"/>
          <w:lang w:val="es-ES"/>
        </w:rPr>
        <w:footnoteReference w:id="36"/>
      </w:r>
      <w:r w:rsidRPr="00C67536">
        <w:rPr>
          <w:rFonts w:cs="Arial"/>
          <w:sz w:val="28"/>
          <w:szCs w:val="28"/>
          <w:lang w:val="es-ES"/>
        </w:rPr>
        <w:t xml:space="preserve">. </w:t>
      </w:r>
    </w:p>
    <w:p w14:paraId="585D62F6" w14:textId="77777777" w:rsidR="000D2A66" w:rsidRPr="00C67536" w:rsidRDefault="000D2A66" w:rsidP="000D2A66">
      <w:pPr>
        <w:pStyle w:val="corte4fondo"/>
        <w:spacing w:after="240" w:line="240" w:lineRule="auto"/>
        <w:ind w:right="51" w:firstLine="0"/>
        <w:rPr>
          <w:rFonts w:cs="Arial"/>
          <w:sz w:val="28"/>
          <w:szCs w:val="28"/>
          <w:lang w:val="es-ES"/>
        </w:rPr>
      </w:pPr>
    </w:p>
    <w:p w14:paraId="71BB48F5" w14:textId="16DDDC69" w:rsidR="000D2A66" w:rsidRPr="00C67536" w:rsidRDefault="000D2A66" w:rsidP="000D2A66">
      <w:pPr>
        <w:pStyle w:val="corte4fondo"/>
        <w:numPr>
          <w:ilvl w:val="0"/>
          <w:numId w:val="15"/>
        </w:numPr>
        <w:spacing w:after="240"/>
        <w:ind w:left="0" w:right="51" w:hanging="567"/>
        <w:rPr>
          <w:rFonts w:cs="Arial"/>
          <w:sz w:val="28"/>
          <w:szCs w:val="28"/>
          <w:lang w:val="es-ES"/>
        </w:rPr>
      </w:pPr>
      <w:r w:rsidRPr="00C67536">
        <w:rPr>
          <w:rFonts w:cs="Arial"/>
          <w:sz w:val="28"/>
          <w:szCs w:val="28"/>
          <w:lang w:val="es-ES"/>
        </w:rPr>
        <w:t xml:space="preserve">Refiere que la ingesta excesiva de esos nutrientes es el resultado, en gran medida, de la amplia disponibilidad, asequibilidad y promoción de productos alimentarios procesados y </w:t>
      </w:r>
      <w:proofErr w:type="spellStart"/>
      <w:r w:rsidRPr="00C67536">
        <w:rPr>
          <w:rFonts w:cs="Arial"/>
          <w:sz w:val="28"/>
          <w:szCs w:val="28"/>
          <w:lang w:val="es-ES"/>
        </w:rPr>
        <w:t>ultraprocesados</w:t>
      </w:r>
      <w:proofErr w:type="spellEnd"/>
      <w:r w:rsidRPr="00C67536">
        <w:rPr>
          <w:rFonts w:cs="Arial"/>
          <w:sz w:val="28"/>
          <w:szCs w:val="28"/>
          <w:lang w:val="es-ES"/>
        </w:rPr>
        <w:t>, que contienen cantidades excesivas de azúcares, grasas y sodio</w:t>
      </w:r>
      <w:r w:rsidRPr="00C67536">
        <w:rPr>
          <w:rStyle w:val="FootnoteReference"/>
          <w:rFonts w:cs="Arial"/>
          <w:sz w:val="28"/>
          <w:szCs w:val="28"/>
          <w:lang w:val="es-ES"/>
        </w:rPr>
        <w:footnoteReference w:id="37"/>
      </w:r>
      <w:r w:rsidRPr="00C67536">
        <w:rPr>
          <w:rFonts w:cs="Arial"/>
          <w:sz w:val="28"/>
          <w:szCs w:val="28"/>
          <w:lang w:val="es-ES"/>
        </w:rPr>
        <w:t xml:space="preserve">.   </w:t>
      </w:r>
    </w:p>
    <w:p w14:paraId="21997302" w14:textId="77777777" w:rsidR="000D2A66" w:rsidRPr="00C67536" w:rsidRDefault="000D2A66" w:rsidP="000D2A66">
      <w:pPr>
        <w:pStyle w:val="corte4fondo"/>
        <w:spacing w:after="240" w:line="240" w:lineRule="auto"/>
        <w:ind w:right="51" w:firstLine="0"/>
        <w:rPr>
          <w:rFonts w:cs="Arial"/>
          <w:sz w:val="28"/>
          <w:szCs w:val="28"/>
          <w:lang w:val="es-ES"/>
        </w:rPr>
      </w:pPr>
    </w:p>
    <w:p w14:paraId="02429704" w14:textId="78442C53" w:rsidR="000D2A66" w:rsidRPr="00C67536" w:rsidRDefault="000D2A66" w:rsidP="000D2A66">
      <w:pPr>
        <w:pStyle w:val="corte4fondo"/>
        <w:numPr>
          <w:ilvl w:val="0"/>
          <w:numId w:val="15"/>
        </w:numPr>
        <w:spacing w:after="240"/>
        <w:ind w:left="0" w:right="51" w:hanging="567"/>
        <w:rPr>
          <w:rFonts w:cs="Arial"/>
          <w:sz w:val="28"/>
          <w:szCs w:val="28"/>
          <w:lang w:val="es-ES"/>
        </w:rPr>
      </w:pPr>
      <w:r w:rsidRPr="00C67536">
        <w:rPr>
          <w:rFonts w:cs="Arial"/>
          <w:sz w:val="28"/>
          <w:szCs w:val="28"/>
        </w:rPr>
        <w:t xml:space="preserve">Estima que gran parte de la solución consiste en la aplicación de leyes y regulaciones que reduzcan la demanda y la oferta de productos que contienen cantidades excesivas de nutrientes críticos. Que uno de los </w:t>
      </w:r>
      <w:r w:rsidRPr="00C67536">
        <w:rPr>
          <w:rFonts w:cs="Arial"/>
          <w:i/>
          <w:iCs/>
          <w:sz w:val="28"/>
          <w:szCs w:val="28"/>
        </w:rPr>
        <w:t xml:space="preserve">‘instrumentos clave de política para regular esos productos con el objeto de prevenir el desequilibrio en la alimentación es la </w:t>
      </w:r>
      <w:r w:rsidRPr="00C67536">
        <w:rPr>
          <w:rFonts w:cs="Arial"/>
          <w:b/>
          <w:bCs/>
          <w:i/>
          <w:iCs/>
          <w:sz w:val="28"/>
          <w:szCs w:val="28"/>
        </w:rPr>
        <w:t>utilización de etiquetas en el frente del envase que indique a los consumidores que el producto contiene cantidades excesivas de azúcares, grasas totales, grasas saturadas, grasas trans y sodio</w:t>
      </w:r>
      <w:r w:rsidRPr="00C67536">
        <w:rPr>
          <w:rFonts w:cs="Arial"/>
          <w:i/>
          <w:iCs/>
          <w:sz w:val="28"/>
          <w:szCs w:val="28"/>
        </w:rPr>
        <w:t>’</w:t>
      </w:r>
      <w:r w:rsidRPr="00C67536">
        <w:rPr>
          <w:rStyle w:val="FootnoteReference"/>
          <w:rFonts w:cs="Arial"/>
          <w:sz w:val="28"/>
          <w:szCs w:val="28"/>
        </w:rPr>
        <w:footnoteReference w:id="38"/>
      </w:r>
      <w:r w:rsidRPr="00C67536">
        <w:rPr>
          <w:rFonts w:cs="Arial"/>
          <w:i/>
          <w:iCs/>
          <w:sz w:val="28"/>
          <w:szCs w:val="28"/>
        </w:rPr>
        <w:t>.</w:t>
      </w:r>
    </w:p>
    <w:p w14:paraId="4FA81CC4" w14:textId="77777777" w:rsidR="000D2A66" w:rsidRPr="00C67536" w:rsidRDefault="000D2A66" w:rsidP="000D2A66">
      <w:pPr>
        <w:pStyle w:val="ListParagraph"/>
        <w:spacing w:line="480" w:lineRule="auto"/>
        <w:rPr>
          <w:rFonts w:ascii="Arial" w:hAnsi="Arial" w:cs="Arial"/>
          <w:sz w:val="28"/>
          <w:szCs w:val="28"/>
          <w:lang w:val="es-ES"/>
        </w:rPr>
      </w:pPr>
    </w:p>
    <w:p w14:paraId="77F466D6" w14:textId="5A69084B" w:rsidR="000D2A66" w:rsidRPr="00C67536" w:rsidRDefault="000D2A66" w:rsidP="000D2A66">
      <w:pPr>
        <w:pStyle w:val="corte4fondo"/>
        <w:numPr>
          <w:ilvl w:val="0"/>
          <w:numId w:val="15"/>
        </w:numPr>
        <w:spacing w:after="240"/>
        <w:ind w:left="0" w:right="51" w:hanging="567"/>
        <w:rPr>
          <w:rFonts w:cs="Arial"/>
          <w:sz w:val="28"/>
          <w:szCs w:val="28"/>
          <w:lang w:val="es-ES"/>
        </w:rPr>
      </w:pPr>
      <w:r w:rsidRPr="00C67536">
        <w:rPr>
          <w:rFonts w:cs="Arial"/>
          <w:sz w:val="28"/>
          <w:szCs w:val="28"/>
          <w:lang w:val="es-ES"/>
        </w:rPr>
        <w:t xml:space="preserve">Por lo que para ayudar a la población de la región a cumplir con las recomendaciones de la Organización Mundial de la Salud (OMS) y protegerla contra los principales factores de riesgo que perjudican su salud y desarrollo </w:t>
      </w:r>
      <w:r w:rsidRPr="00C67536">
        <w:rPr>
          <w:rFonts w:cs="Arial"/>
          <w:b/>
          <w:bCs/>
          <w:i/>
          <w:iCs/>
          <w:sz w:val="28"/>
          <w:szCs w:val="28"/>
          <w:lang w:val="es-ES"/>
        </w:rPr>
        <w:t>‘el objetivo regulatorio del etiquetado frontal debe ser que los consumidores puedan identificar correcta, rápida y fácilmente los productos que contienen cantidades excesivas de azúcares, grasas totales, grasas saturadas, grasas trans y sodio’</w:t>
      </w:r>
      <w:r w:rsidRPr="00C67536">
        <w:rPr>
          <w:rStyle w:val="FootnoteReference"/>
          <w:rFonts w:cs="Arial"/>
          <w:sz w:val="28"/>
          <w:szCs w:val="28"/>
          <w:lang w:val="es-ES"/>
        </w:rPr>
        <w:footnoteReference w:id="39"/>
      </w:r>
      <w:r w:rsidRPr="00C67536">
        <w:rPr>
          <w:rFonts w:cs="Arial"/>
          <w:b/>
          <w:bCs/>
          <w:i/>
          <w:iCs/>
          <w:sz w:val="28"/>
          <w:szCs w:val="28"/>
          <w:lang w:val="es-ES"/>
        </w:rPr>
        <w:t>.</w:t>
      </w:r>
    </w:p>
    <w:p w14:paraId="2D891959" w14:textId="77777777" w:rsidR="00421748" w:rsidRPr="00C67536" w:rsidRDefault="00421748" w:rsidP="00421748">
      <w:pPr>
        <w:pStyle w:val="ListParagraph"/>
        <w:rPr>
          <w:rFonts w:ascii="Arial" w:hAnsi="Arial" w:cs="Arial"/>
          <w:sz w:val="28"/>
          <w:szCs w:val="28"/>
        </w:rPr>
      </w:pPr>
    </w:p>
    <w:p w14:paraId="620429BB" w14:textId="7F9E28C5" w:rsidR="00421748" w:rsidRPr="00C67536" w:rsidRDefault="00421748" w:rsidP="00421748">
      <w:pPr>
        <w:pStyle w:val="corte4fondo"/>
        <w:numPr>
          <w:ilvl w:val="0"/>
          <w:numId w:val="15"/>
        </w:numPr>
        <w:spacing w:after="240"/>
        <w:ind w:left="0" w:right="51" w:hanging="567"/>
        <w:rPr>
          <w:rFonts w:cs="Arial"/>
          <w:sz w:val="28"/>
          <w:szCs w:val="28"/>
          <w:lang w:val="es-ES"/>
        </w:rPr>
      </w:pPr>
      <w:r w:rsidRPr="00C67536">
        <w:rPr>
          <w:rFonts w:cs="Arial"/>
          <w:sz w:val="28"/>
          <w:szCs w:val="28"/>
          <w:lang w:val="es-ES"/>
        </w:rPr>
        <w:t>Incluso, importa destacar que la Organización Panamericana de la Salud, recomendó directamente a México la adopción de este tipo de etiquetado, que es el que se encuentra implementado en las normas impugnadas.</w:t>
      </w:r>
    </w:p>
    <w:p w14:paraId="761A057E" w14:textId="77777777" w:rsidR="000D2A66" w:rsidRPr="00C67536" w:rsidRDefault="000D2A66" w:rsidP="00B61890">
      <w:pPr>
        <w:pStyle w:val="ListParagraph"/>
        <w:rPr>
          <w:rFonts w:ascii="Arial" w:hAnsi="Arial" w:cs="Arial"/>
          <w:sz w:val="28"/>
          <w:szCs w:val="28"/>
        </w:rPr>
      </w:pPr>
    </w:p>
    <w:p w14:paraId="65EBD54A" w14:textId="2BDDFD3C" w:rsidR="000D2A66" w:rsidRPr="00C67536" w:rsidRDefault="000D2A66" w:rsidP="000D2A66">
      <w:pPr>
        <w:pStyle w:val="corte4fondo"/>
        <w:numPr>
          <w:ilvl w:val="0"/>
          <w:numId w:val="15"/>
        </w:numPr>
        <w:spacing w:after="240"/>
        <w:ind w:left="0" w:right="51" w:hanging="567"/>
        <w:rPr>
          <w:rFonts w:cs="Arial"/>
          <w:sz w:val="28"/>
          <w:szCs w:val="28"/>
          <w:lang w:val="es-ES"/>
        </w:rPr>
      </w:pPr>
      <w:r w:rsidRPr="00C67536">
        <w:rPr>
          <w:rFonts w:cs="Arial"/>
          <w:sz w:val="28"/>
          <w:szCs w:val="28"/>
        </w:rPr>
        <w:t>De acuerdo con la</w:t>
      </w:r>
      <w:r w:rsidRPr="00C67536">
        <w:rPr>
          <w:rFonts w:cs="Arial"/>
          <w:i/>
          <w:iCs/>
          <w:sz w:val="28"/>
          <w:szCs w:val="28"/>
        </w:rPr>
        <w:t xml:space="preserve"> Encuesta Nacional de Salud y Nutrición 2021 </w:t>
      </w:r>
      <w:r w:rsidR="009E641A" w:rsidRPr="00C67536">
        <w:rPr>
          <w:rFonts w:cs="Arial"/>
          <w:i/>
          <w:iCs/>
          <w:sz w:val="28"/>
          <w:szCs w:val="28"/>
        </w:rPr>
        <w:t>s</w:t>
      </w:r>
      <w:r w:rsidRPr="00C67536">
        <w:rPr>
          <w:rFonts w:cs="Arial"/>
          <w:i/>
          <w:iCs/>
          <w:sz w:val="28"/>
          <w:szCs w:val="28"/>
        </w:rPr>
        <w:t>obre Covid-19, Resultados Nacionales</w:t>
      </w:r>
      <w:r w:rsidRPr="00C67536">
        <w:rPr>
          <w:rFonts w:cs="Arial"/>
          <w:sz w:val="28"/>
          <w:szCs w:val="28"/>
        </w:rPr>
        <w:t>, del Instituto Nacional de Salud Pública, respecto al rubro de etiquetado de alimentos y bebidas embotelladas, se arrojaron los siguientes resultados</w:t>
      </w:r>
      <w:r w:rsidRPr="00C67536">
        <w:rPr>
          <w:rStyle w:val="FootnoteReference"/>
          <w:rFonts w:cs="Arial"/>
          <w:sz w:val="28"/>
          <w:szCs w:val="28"/>
        </w:rPr>
        <w:footnoteReference w:id="40"/>
      </w:r>
      <w:r w:rsidRPr="00C67536">
        <w:rPr>
          <w:rFonts w:cs="Arial"/>
          <w:sz w:val="28"/>
          <w:szCs w:val="28"/>
        </w:rPr>
        <w:t>.</w:t>
      </w:r>
    </w:p>
    <w:p w14:paraId="23625ACA" w14:textId="77777777" w:rsidR="000D2A66" w:rsidRPr="00C67536" w:rsidRDefault="000D2A66" w:rsidP="000D2A66">
      <w:pPr>
        <w:pStyle w:val="ListParagraph"/>
        <w:spacing w:line="480" w:lineRule="auto"/>
        <w:rPr>
          <w:rFonts w:ascii="Arial" w:hAnsi="Arial" w:cs="Arial"/>
          <w:sz w:val="28"/>
          <w:szCs w:val="28"/>
        </w:rPr>
      </w:pPr>
    </w:p>
    <w:p w14:paraId="2FA311EB" w14:textId="073A62C5" w:rsidR="000D2A66" w:rsidRPr="00C67536" w:rsidRDefault="000D2A66" w:rsidP="000D2A66">
      <w:pPr>
        <w:pStyle w:val="corte4fondo"/>
        <w:numPr>
          <w:ilvl w:val="0"/>
          <w:numId w:val="15"/>
        </w:numPr>
        <w:spacing w:after="240"/>
        <w:ind w:left="0" w:right="51" w:hanging="567"/>
        <w:rPr>
          <w:rFonts w:cs="Arial"/>
          <w:sz w:val="28"/>
          <w:szCs w:val="28"/>
          <w:lang w:val="es-ES"/>
        </w:rPr>
      </w:pPr>
      <w:r w:rsidRPr="00C67536">
        <w:rPr>
          <w:rFonts w:cs="Arial"/>
          <w:sz w:val="28"/>
          <w:szCs w:val="28"/>
        </w:rPr>
        <w:t xml:space="preserve">En el siguiente recuadro se presenta la proporción de la población que conoce la cantidad de calorías que debe consumir en promedio una persona sana al día, considerando alguien de la misma edad y sexo que la o el entrevistado. Se desprende que los resultados muestran que, </w:t>
      </w:r>
      <w:r w:rsidRPr="00C67536">
        <w:rPr>
          <w:rFonts w:cs="Arial"/>
          <w:b/>
          <w:bCs/>
          <w:sz w:val="28"/>
          <w:szCs w:val="28"/>
        </w:rPr>
        <w:t>a nivel nacional, 69.9%</w:t>
      </w:r>
      <w:r w:rsidRPr="00C67536">
        <w:rPr>
          <w:rFonts w:cs="Arial"/>
          <w:sz w:val="28"/>
          <w:szCs w:val="28"/>
        </w:rPr>
        <w:t xml:space="preserve"> (IC95% 68.2, 71.7) </w:t>
      </w:r>
      <w:r w:rsidRPr="00C67536">
        <w:rPr>
          <w:rFonts w:cs="Arial"/>
          <w:b/>
          <w:bCs/>
          <w:sz w:val="28"/>
          <w:szCs w:val="28"/>
        </w:rPr>
        <w:t>de la población no sabe o no responde cuántas calorías debe consumir una persona con características similares a las suyas, considerando la edad y sexo</w:t>
      </w:r>
      <w:r w:rsidRPr="00C67536">
        <w:rPr>
          <w:rFonts w:cs="Arial"/>
          <w:sz w:val="28"/>
          <w:szCs w:val="28"/>
        </w:rPr>
        <w:t>. El porcentaje de personas que no sabe o no responde, fue mayor en localidades rurales (83.7%; IC95% 80, 86.8) comparado con la respuesta en localidades urbanas (66.5%; IC95% 64.5, 68.4).</w:t>
      </w:r>
    </w:p>
    <w:p w14:paraId="1DF32988" w14:textId="77777777" w:rsidR="000D2A66" w:rsidRPr="00C67536" w:rsidRDefault="000D2A66" w:rsidP="000D2A66">
      <w:pPr>
        <w:pStyle w:val="ListParagraph"/>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rPr>
        <w:drawing>
          <wp:inline distT="0" distB="0" distL="0" distR="0" wp14:anchorId="62B79D74" wp14:editId="392060C7">
            <wp:extent cx="4954905" cy="4841631"/>
            <wp:effectExtent l="0" t="0" r="0" b="0"/>
            <wp:docPr id="1563293007" name="Imagen 1563293007"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con confianza media"/>
                    <pic:cNvPicPr/>
                  </pic:nvPicPr>
                  <pic:blipFill>
                    <a:blip r:embed="rId26"/>
                    <a:stretch>
                      <a:fillRect/>
                    </a:stretch>
                  </pic:blipFill>
                  <pic:spPr>
                    <a:xfrm>
                      <a:off x="0" y="0"/>
                      <a:ext cx="4963748" cy="4850272"/>
                    </a:xfrm>
                    <a:prstGeom prst="rect">
                      <a:avLst/>
                    </a:prstGeom>
                  </pic:spPr>
                </pic:pic>
              </a:graphicData>
            </a:graphic>
          </wp:inline>
        </w:drawing>
      </w:r>
      <w:r w:rsidRPr="00C67536">
        <w:rPr>
          <w:rStyle w:val="FootnoteReference"/>
          <w:rFonts w:ascii="Arial" w:hAnsi="Arial" w:cs="Arial"/>
          <w:sz w:val="28"/>
          <w:szCs w:val="28"/>
          <w:lang w:val="es-ES"/>
        </w:rPr>
        <w:footnoteReference w:id="41"/>
      </w:r>
    </w:p>
    <w:p w14:paraId="148D12FC" w14:textId="77777777" w:rsidR="000D2A66" w:rsidRPr="00C67536" w:rsidRDefault="000D2A66" w:rsidP="000D2A66">
      <w:pPr>
        <w:pStyle w:val="ListParagraph"/>
        <w:rPr>
          <w:rStyle w:val="Heading1Char"/>
          <w:rFonts w:ascii="Arial" w:hAnsi="Arial" w:cs="Arial"/>
          <w:b/>
          <w:color w:val="auto"/>
          <w:sz w:val="28"/>
          <w:szCs w:val="28"/>
          <w:lang w:val="es-ES"/>
        </w:rPr>
      </w:pPr>
    </w:p>
    <w:p w14:paraId="5E652241" w14:textId="77777777" w:rsidR="000D2A66" w:rsidRPr="00C67536" w:rsidRDefault="000D2A66" w:rsidP="000D2A66">
      <w:pPr>
        <w:pStyle w:val="corte4fondo"/>
        <w:numPr>
          <w:ilvl w:val="0"/>
          <w:numId w:val="15"/>
        </w:numPr>
        <w:spacing w:after="240"/>
        <w:ind w:left="0" w:right="51" w:hanging="567"/>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Se advierte que, </w:t>
      </w:r>
      <w:r w:rsidRPr="00C67536">
        <w:rPr>
          <w:rStyle w:val="Heading1Char"/>
          <w:rFonts w:ascii="Arial" w:hAnsi="Arial" w:cs="Arial"/>
          <w:bCs/>
          <w:color w:val="auto"/>
          <w:sz w:val="28"/>
          <w:szCs w:val="28"/>
          <w:lang w:val="es-ES"/>
        </w:rPr>
        <w:t>a nivel nacional, 80.6%</w:t>
      </w:r>
      <w:r w:rsidRPr="00C67536">
        <w:rPr>
          <w:rStyle w:val="Heading1Char"/>
          <w:rFonts w:ascii="Arial" w:hAnsi="Arial" w:cs="Arial"/>
          <w:color w:val="auto"/>
          <w:sz w:val="28"/>
          <w:szCs w:val="28"/>
          <w:lang w:val="es-ES"/>
        </w:rPr>
        <w:t xml:space="preserve"> (IC95% 79.1, 82.0) </w:t>
      </w:r>
      <w:r w:rsidRPr="00C67536">
        <w:rPr>
          <w:rStyle w:val="Heading1Char"/>
          <w:rFonts w:ascii="Arial" w:hAnsi="Arial" w:cs="Arial"/>
          <w:bCs/>
          <w:color w:val="auto"/>
          <w:sz w:val="28"/>
          <w:szCs w:val="28"/>
          <w:lang w:val="es-ES"/>
        </w:rPr>
        <w:t>de las y los entrevistados reportaron saber que los alimentos empacados y bebidas embotelladas tienen información sobre su contenido nutrimental</w:t>
      </w:r>
      <w:r w:rsidRPr="00C67536">
        <w:rPr>
          <w:rStyle w:val="Heading1Char"/>
          <w:rFonts w:ascii="Arial" w:hAnsi="Arial" w:cs="Arial"/>
          <w:color w:val="auto"/>
          <w:sz w:val="28"/>
          <w:szCs w:val="28"/>
          <w:lang w:val="es-ES"/>
        </w:rPr>
        <w:t xml:space="preserve"> (figura 1) y </w:t>
      </w:r>
      <w:r w:rsidRPr="00C67536">
        <w:rPr>
          <w:rStyle w:val="Heading1Char"/>
          <w:rFonts w:ascii="Arial" w:hAnsi="Arial" w:cs="Arial"/>
          <w:bCs/>
          <w:color w:val="auto"/>
          <w:sz w:val="28"/>
          <w:szCs w:val="28"/>
          <w:lang w:val="es-ES"/>
        </w:rPr>
        <w:t>89.4%</w:t>
      </w:r>
      <w:r w:rsidRPr="00C67536">
        <w:rPr>
          <w:rStyle w:val="Heading1Char"/>
          <w:rFonts w:ascii="Arial" w:hAnsi="Arial" w:cs="Arial"/>
          <w:color w:val="auto"/>
          <w:sz w:val="28"/>
          <w:szCs w:val="28"/>
          <w:lang w:val="es-ES"/>
        </w:rPr>
        <w:t xml:space="preserve"> (IC95% 88.4, 90.4)</w:t>
      </w:r>
      <w:r w:rsidRPr="00C67536">
        <w:rPr>
          <w:rStyle w:val="Heading1Char"/>
          <w:rFonts w:ascii="Arial" w:hAnsi="Arial" w:cs="Arial"/>
          <w:bCs/>
          <w:color w:val="auto"/>
          <w:sz w:val="28"/>
          <w:szCs w:val="28"/>
          <w:lang w:val="es-ES"/>
        </w:rPr>
        <w:t xml:space="preserve"> ha visto el etiquetado de advertencia,</w:t>
      </w:r>
      <w:r w:rsidRPr="00C67536">
        <w:rPr>
          <w:rStyle w:val="Heading1Char"/>
          <w:rFonts w:ascii="Arial" w:hAnsi="Arial" w:cs="Arial"/>
          <w:color w:val="auto"/>
          <w:sz w:val="28"/>
          <w:szCs w:val="28"/>
          <w:lang w:val="es-ES"/>
        </w:rPr>
        <w:t xml:space="preserve"> el porcentaje de personas que reportó haberlo visto fue menor en localidades rurales (82.6%; IC95% 80.0, 85.0) en comparación a localidades urbanas (91.1%; IC95% 90, 92.1) (figura 2). El lugar en el que principalmente han visto los sellos de advertencia es en el empaque de alimentos y bebidas (98.2%; IC95% 97.8, 98.6) (figura 3). </w:t>
      </w:r>
    </w:p>
    <w:p w14:paraId="34C32AB1" w14:textId="68DFFE0A" w:rsidR="000D2A66" w:rsidRPr="00C67536" w:rsidRDefault="000D2A66" w:rsidP="000D2A66">
      <w:pPr>
        <w:pStyle w:val="corte4fondo"/>
        <w:spacing w:after="240"/>
        <w:ind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Figura 1. Porcentaje de la población que sabe que los alimentos empacados y las bebidas embotelladas tienen información sobre su contenido nutrimental.</w:t>
      </w:r>
    </w:p>
    <w:p w14:paraId="3E49A0F2" w14:textId="77777777" w:rsidR="000D2A66" w:rsidRPr="00C67536" w:rsidRDefault="000D2A66" w:rsidP="000D2A66">
      <w:pPr>
        <w:pStyle w:val="corte4fondo"/>
        <w:spacing w:after="240"/>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2A2D92E1" wp14:editId="31687A63">
            <wp:extent cx="4490720" cy="5165766"/>
            <wp:effectExtent l="0" t="0" r="5080" b="0"/>
            <wp:docPr id="442394530" name="Imagen 44239453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27"/>
                    <a:stretch>
                      <a:fillRect/>
                    </a:stretch>
                  </pic:blipFill>
                  <pic:spPr>
                    <a:xfrm>
                      <a:off x="0" y="0"/>
                      <a:ext cx="4498299" cy="5174484"/>
                    </a:xfrm>
                    <a:prstGeom prst="rect">
                      <a:avLst/>
                    </a:prstGeom>
                  </pic:spPr>
                </pic:pic>
              </a:graphicData>
            </a:graphic>
          </wp:inline>
        </w:drawing>
      </w:r>
      <w:r w:rsidRPr="00C67536">
        <w:rPr>
          <w:rStyle w:val="FootnoteReference"/>
          <w:rFonts w:cs="Arial"/>
          <w:sz w:val="28"/>
          <w:szCs w:val="28"/>
          <w:lang w:val="es-ES"/>
        </w:rPr>
        <w:footnoteReference w:id="42"/>
      </w:r>
    </w:p>
    <w:p w14:paraId="29B029D3"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Figura 2. Porcentaje de la población que ha visto el sistema de etiquetado de advertencia.</w:t>
      </w:r>
    </w:p>
    <w:p w14:paraId="6641492F"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102BE7BB" wp14:editId="7F65BA82">
            <wp:extent cx="4864735" cy="3859481"/>
            <wp:effectExtent l="0" t="0" r="0" b="8255"/>
            <wp:docPr id="1286803921" name="Imagen 1286803921" descr="Gráfico de bar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de barras&#10;&#10;Descripción generada automáticamente con confianza media"/>
                    <pic:cNvPicPr/>
                  </pic:nvPicPr>
                  <pic:blipFill>
                    <a:blip r:embed="rId28"/>
                    <a:stretch>
                      <a:fillRect/>
                    </a:stretch>
                  </pic:blipFill>
                  <pic:spPr>
                    <a:xfrm>
                      <a:off x="0" y="0"/>
                      <a:ext cx="4905174" cy="3891564"/>
                    </a:xfrm>
                    <a:prstGeom prst="rect">
                      <a:avLst/>
                    </a:prstGeom>
                  </pic:spPr>
                </pic:pic>
              </a:graphicData>
            </a:graphic>
          </wp:inline>
        </w:drawing>
      </w:r>
      <w:r w:rsidRPr="00C67536">
        <w:rPr>
          <w:rStyle w:val="FootnoteReference"/>
          <w:rFonts w:cs="Arial"/>
          <w:sz w:val="28"/>
          <w:szCs w:val="28"/>
          <w:lang w:val="es-ES"/>
        </w:rPr>
        <w:footnoteReference w:id="43"/>
      </w:r>
    </w:p>
    <w:p w14:paraId="71A17F7D"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Figura 3. Lugar en el que la población ha visto el sistema de etiquetado de advertencia. </w:t>
      </w:r>
    </w:p>
    <w:p w14:paraId="5BA4E26F"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7CB11BA9" wp14:editId="317F2E23">
            <wp:extent cx="5381355" cy="2980707"/>
            <wp:effectExtent l="0" t="0" r="0" b="0"/>
            <wp:docPr id="2107355843" name="Imagen 210735584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Gráfico&#10;&#10;Descripción generada automáticamente"/>
                    <pic:cNvPicPr/>
                  </pic:nvPicPr>
                  <pic:blipFill>
                    <a:blip r:embed="rId29"/>
                    <a:stretch>
                      <a:fillRect/>
                    </a:stretch>
                  </pic:blipFill>
                  <pic:spPr>
                    <a:xfrm>
                      <a:off x="0" y="0"/>
                      <a:ext cx="5385757" cy="2983145"/>
                    </a:xfrm>
                    <a:prstGeom prst="rect">
                      <a:avLst/>
                    </a:prstGeom>
                  </pic:spPr>
                </pic:pic>
              </a:graphicData>
            </a:graphic>
          </wp:inline>
        </w:drawing>
      </w:r>
      <w:r w:rsidRPr="00C67536">
        <w:rPr>
          <w:rStyle w:val="FootnoteReference"/>
          <w:rFonts w:cs="Arial"/>
          <w:sz w:val="28"/>
          <w:szCs w:val="28"/>
          <w:lang w:val="es-ES"/>
        </w:rPr>
        <w:footnoteReference w:id="44"/>
      </w:r>
    </w:p>
    <w:p w14:paraId="296D8DC5" w14:textId="77777777" w:rsidR="000D2A66" w:rsidRPr="00C67536" w:rsidRDefault="000D2A66" w:rsidP="000D2A66">
      <w:pPr>
        <w:pStyle w:val="corte4fondo"/>
        <w:numPr>
          <w:ilvl w:val="0"/>
          <w:numId w:val="15"/>
        </w:numPr>
        <w:spacing w:after="240"/>
        <w:ind w:left="0" w:right="51" w:hanging="567"/>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De ese mismo documento es posible advertir que en promedio, a nivel nacional, el porcentaje de personas que reportaron leer la información nutrimental de los alimentos empacados y bebidas embotelladas fue de 43.5% (IC95% 41.7, 45.4).</w:t>
      </w:r>
      <w:r w:rsidRPr="00C67536">
        <w:rPr>
          <w:rStyle w:val="Heading1Char"/>
          <w:rFonts w:ascii="Arial" w:hAnsi="Arial" w:cs="Arial"/>
          <w:bCs/>
          <w:color w:val="auto"/>
          <w:sz w:val="28"/>
          <w:szCs w:val="28"/>
          <w:lang w:val="es-ES"/>
        </w:rPr>
        <w:t xml:space="preserve"> De los tipos de etiquetas que la población lee al comprar productos industrializados, el sistema de etiquetado frontal de advertencia fue el más leído (66.7%; IC95% 64.3, 69.0).</w:t>
      </w:r>
      <w:r w:rsidRPr="00C67536">
        <w:rPr>
          <w:rStyle w:val="Heading1Char"/>
          <w:rFonts w:ascii="Arial" w:hAnsi="Arial" w:cs="Arial"/>
          <w:color w:val="auto"/>
          <w:sz w:val="28"/>
          <w:szCs w:val="28"/>
          <w:lang w:val="es-ES"/>
        </w:rPr>
        <w:t xml:space="preserve"> Su uso varía entre las regiones del país, siendo la Península en la que se utiliza en mayor proporción y en Pacifico-Centro donde su uso es menor (figura 4).</w:t>
      </w:r>
    </w:p>
    <w:p w14:paraId="4A780ACA" w14:textId="6AE47C9B" w:rsidR="000D2A66" w:rsidRPr="00C67536" w:rsidRDefault="000D2A66" w:rsidP="000D2A66">
      <w:pPr>
        <w:pStyle w:val="corte4fondo"/>
        <w:numPr>
          <w:ilvl w:val="0"/>
          <w:numId w:val="15"/>
        </w:numPr>
        <w:spacing w:after="240"/>
        <w:ind w:left="0" w:right="51" w:hanging="567"/>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Los resultados de la evaluación de la calidad del producto, usando el sistema de etiquetado frontal de sellos numéricos muestran que, </w:t>
      </w:r>
      <w:r w:rsidRPr="00C67536">
        <w:rPr>
          <w:rStyle w:val="Heading1Char"/>
          <w:rFonts w:ascii="Arial" w:hAnsi="Arial" w:cs="Arial"/>
          <w:bCs/>
          <w:color w:val="auto"/>
          <w:sz w:val="28"/>
          <w:szCs w:val="28"/>
          <w:lang w:val="es-ES"/>
        </w:rPr>
        <w:t>44.2% (IC955 42.5, 45.9) de la población a nivel nacional identificó correctamente el producto menos saludable con esta información</w:t>
      </w:r>
      <w:r w:rsidRPr="00C67536">
        <w:rPr>
          <w:rStyle w:val="Heading1Char"/>
          <w:rFonts w:ascii="Arial" w:hAnsi="Arial" w:cs="Arial"/>
          <w:color w:val="auto"/>
          <w:sz w:val="28"/>
          <w:szCs w:val="28"/>
          <w:lang w:val="es-ES"/>
        </w:rPr>
        <w:t xml:space="preserve"> (figura 5). La identificación del producto D como menos saludable fue mayor en localidades urbanas (46.8%; IC95 44.8, 48.7) en comparación con las rurales (34.0%; IC95% 31.0, 37.0). En la CDMX, comparado con otras regiones del país, fue mayor la proporción de personas que identificaron el producto D como menos saludable (53.2%; IC95% 49.9, 57.0). </w:t>
      </w:r>
    </w:p>
    <w:p w14:paraId="7A42C018" w14:textId="77777777" w:rsidR="000D2A66" w:rsidRPr="00C67536" w:rsidRDefault="000D2A66" w:rsidP="009F4B9A">
      <w:pPr>
        <w:pStyle w:val="ListParagraph"/>
        <w:rPr>
          <w:rStyle w:val="Heading1Char"/>
          <w:rFonts w:ascii="Arial" w:hAnsi="Arial" w:cs="Arial"/>
          <w:b/>
          <w:color w:val="auto"/>
          <w:sz w:val="28"/>
          <w:szCs w:val="28"/>
          <w:lang w:val="es-ES"/>
        </w:rPr>
      </w:pPr>
    </w:p>
    <w:p w14:paraId="6DD05B51" w14:textId="77777777" w:rsidR="000D2A66" w:rsidRPr="00C67536" w:rsidRDefault="000D2A66" w:rsidP="000D2A66">
      <w:pPr>
        <w:pStyle w:val="corte4fondo"/>
        <w:spacing w:after="240"/>
        <w:ind w:right="51"/>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Figura 4. Tipo de etiqueta que lee la población al momento de comparar alimentos empacados y bebidas embotelladas.</w:t>
      </w:r>
    </w:p>
    <w:p w14:paraId="6D4C2357" w14:textId="77777777" w:rsidR="000D2A66" w:rsidRPr="00C67536" w:rsidRDefault="000D2A66" w:rsidP="000D2A66">
      <w:pPr>
        <w:pStyle w:val="corte4fondo"/>
        <w:spacing w:after="240"/>
        <w:ind w:right="51"/>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7719C569" wp14:editId="32B73F09">
            <wp:extent cx="5153495" cy="6768935"/>
            <wp:effectExtent l="0" t="0" r="9525" b="0"/>
            <wp:docPr id="1915740326" name="Imagen 191574032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barras&#10;&#10;Descripción generada automáticamente"/>
                    <pic:cNvPicPr/>
                  </pic:nvPicPr>
                  <pic:blipFill>
                    <a:blip r:embed="rId30"/>
                    <a:stretch>
                      <a:fillRect/>
                    </a:stretch>
                  </pic:blipFill>
                  <pic:spPr>
                    <a:xfrm>
                      <a:off x="0" y="0"/>
                      <a:ext cx="5183428" cy="6808251"/>
                    </a:xfrm>
                    <a:prstGeom prst="rect">
                      <a:avLst/>
                    </a:prstGeom>
                  </pic:spPr>
                </pic:pic>
              </a:graphicData>
            </a:graphic>
          </wp:inline>
        </w:drawing>
      </w:r>
      <w:r w:rsidRPr="00C67536">
        <w:rPr>
          <w:rStyle w:val="FootnoteReference"/>
          <w:rFonts w:cs="Arial"/>
          <w:sz w:val="28"/>
          <w:szCs w:val="28"/>
          <w:lang w:val="es-ES"/>
        </w:rPr>
        <w:footnoteReference w:id="45"/>
      </w:r>
    </w:p>
    <w:p w14:paraId="1CF4B69F" w14:textId="77777777" w:rsidR="000D2A66" w:rsidRPr="00C67536" w:rsidRDefault="000D2A66" w:rsidP="000D2A66">
      <w:pPr>
        <w:pStyle w:val="corte4fondo"/>
        <w:spacing w:after="240"/>
        <w:ind w:right="51"/>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Figura 5. Porcentaje de la población que identifica correctamente a los productos menos saludables en empaques que muestran sellos de advertencia numéricos.</w:t>
      </w:r>
    </w:p>
    <w:p w14:paraId="730EA888" w14:textId="77777777" w:rsidR="000D2A66" w:rsidRPr="00C67536" w:rsidRDefault="000D2A66" w:rsidP="000D2A66">
      <w:pPr>
        <w:pStyle w:val="corte4fondo"/>
        <w:spacing w:after="240"/>
        <w:ind w:right="51"/>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3AFA19B5" wp14:editId="27B8FBA3">
            <wp:extent cx="5207316" cy="2933206"/>
            <wp:effectExtent l="0" t="0" r="0" b="635"/>
            <wp:docPr id="1953642387" name="Imagen 1953642387" descr="Imagen que contiene instrum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instrumento&#10;&#10;Descripción generada automáticamente"/>
                    <pic:cNvPicPr/>
                  </pic:nvPicPr>
                  <pic:blipFill>
                    <a:blip r:embed="rId31"/>
                    <a:stretch>
                      <a:fillRect/>
                    </a:stretch>
                  </pic:blipFill>
                  <pic:spPr>
                    <a:xfrm>
                      <a:off x="0" y="0"/>
                      <a:ext cx="5229147" cy="2945503"/>
                    </a:xfrm>
                    <a:prstGeom prst="rect">
                      <a:avLst/>
                    </a:prstGeom>
                  </pic:spPr>
                </pic:pic>
              </a:graphicData>
            </a:graphic>
          </wp:inline>
        </w:drawing>
      </w:r>
      <w:r w:rsidRPr="00C67536">
        <w:rPr>
          <w:rStyle w:val="FootnoteReference"/>
          <w:rFonts w:cs="Arial"/>
          <w:sz w:val="28"/>
          <w:szCs w:val="28"/>
          <w:lang w:val="es-ES"/>
        </w:rPr>
        <w:footnoteReference w:id="46"/>
      </w:r>
    </w:p>
    <w:p w14:paraId="14646125" w14:textId="77777777" w:rsidR="000D2A66" w:rsidRPr="00C67536" w:rsidRDefault="000D2A66" w:rsidP="000D2A66">
      <w:pPr>
        <w:pStyle w:val="corte4fondo"/>
        <w:spacing w:after="240"/>
        <w:ind w:right="51"/>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Figura 6. Producto D.</w:t>
      </w:r>
    </w:p>
    <w:p w14:paraId="69EF861B" w14:textId="77777777" w:rsidR="000D2A66" w:rsidRPr="00C67536" w:rsidRDefault="000D2A66" w:rsidP="000D2A66">
      <w:pPr>
        <w:pStyle w:val="corte4fondo"/>
        <w:spacing w:after="240"/>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7E9A6F9B" wp14:editId="05B893E2">
            <wp:extent cx="5201392" cy="2647950"/>
            <wp:effectExtent l="0" t="0" r="0" b="0"/>
            <wp:docPr id="1857106815" name="Imagen 1857106815" descr="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Nombre de la empresa&#10;&#10;Descripción generada automáticamente con confianza media"/>
                    <pic:cNvPicPr/>
                  </pic:nvPicPr>
                  <pic:blipFill>
                    <a:blip r:embed="rId32"/>
                    <a:stretch>
                      <a:fillRect/>
                    </a:stretch>
                  </pic:blipFill>
                  <pic:spPr>
                    <a:xfrm>
                      <a:off x="0" y="0"/>
                      <a:ext cx="5204501" cy="2649533"/>
                    </a:xfrm>
                    <a:prstGeom prst="rect">
                      <a:avLst/>
                    </a:prstGeom>
                  </pic:spPr>
                </pic:pic>
              </a:graphicData>
            </a:graphic>
          </wp:inline>
        </w:drawing>
      </w:r>
      <w:r w:rsidRPr="00C67536">
        <w:rPr>
          <w:rStyle w:val="FootnoteReference"/>
          <w:rFonts w:cs="Arial"/>
          <w:sz w:val="28"/>
          <w:szCs w:val="28"/>
          <w:lang w:val="es-ES"/>
        </w:rPr>
        <w:footnoteReference w:id="47"/>
      </w:r>
    </w:p>
    <w:p w14:paraId="24F8A675" w14:textId="77777777" w:rsidR="000D2A66" w:rsidRPr="00C67536" w:rsidRDefault="000D2A66" w:rsidP="000D2A66">
      <w:pPr>
        <w:pStyle w:val="corte4fondo"/>
        <w:numPr>
          <w:ilvl w:val="0"/>
          <w:numId w:val="15"/>
        </w:numPr>
        <w:spacing w:after="240"/>
        <w:ind w:left="0" w:right="51" w:hanging="709"/>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De la misma encuesta se desprende que a partir de considerar la información que tiene el sistema de etiquetado frontal de advertencia, en promedio</w:t>
      </w:r>
      <w:r w:rsidRPr="00C67536">
        <w:rPr>
          <w:rStyle w:val="Heading1Char"/>
          <w:rFonts w:ascii="Arial" w:hAnsi="Arial" w:cs="Arial"/>
          <w:bCs/>
          <w:color w:val="auto"/>
          <w:sz w:val="28"/>
          <w:szCs w:val="28"/>
          <w:lang w:val="es-ES"/>
        </w:rPr>
        <w:t>, a nivel nacional 82.3% (IC95% 81.2, 83.4) de la población identificó que un refresco de cola contiene exceso de azúcares</w:t>
      </w:r>
      <w:r w:rsidRPr="00C67536">
        <w:rPr>
          <w:rStyle w:val="Heading1Char"/>
          <w:rFonts w:ascii="Arial" w:hAnsi="Arial" w:cs="Arial"/>
          <w:color w:val="auto"/>
          <w:sz w:val="28"/>
          <w:szCs w:val="28"/>
          <w:lang w:val="es-ES"/>
        </w:rPr>
        <w:t xml:space="preserve">, 22.4% (IC95% 21.1, 23.8) señalaron que el producto contiene cafeína y 21.6% (IC955 20.3, 22.9) indicó que tiene exceso de calorías (figura 7). </w:t>
      </w:r>
    </w:p>
    <w:p w14:paraId="72169883" w14:textId="77777777" w:rsidR="000D2A66" w:rsidRPr="00C67536" w:rsidRDefault="000D2A66" w:rsidP="000D2A66">
      <w:pPr>
        <w:pStyle w:val="corte4fondo"/>
        <w:spacing w:line="240" w:lineRule="auto"/>
        <w:ind w:left="567" w:right="51" w:firstLine="0"/>
        <w:rPr>
          <w:rStyle w:val="Heading1Char"/>
          <w:rFonts w:ascii="Arial" w:hAnsi="Arial" w:cs="Arial"/>
          <w:b/>
          <w:color w:val="auto"/>
          <w:sz w:val="28"/>
          <w:szCs w:val="28"/>
          <w:lang w:val="es-ES"/>
        </w:rPr>
      </w:pPr>
    </w:p>
    <w:p w14:paraId="67E5DAC4"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Figura 7. Porcentaje de la población que identificó en la etiqueta de un refresco de cola el exceso de calorías, nutrientes críticos o presencia de aditivos asociados con daños a la salud a nivel nacional, rural y urbano. </w:t>
      </w:r>
    </w:p>
    <w:p w14:paraId="780670BC" w14:textId="77777777" w:rsidR="000D2A66" w:rsidRPr="00C67536" w:rsidRDefault="000D2A66" w:rsidP="000D2A66">
      <w:pPr>
        <w:pStyle w:val="corte4fondo"/>
        <w:spacing w:after="240"/>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150E0146" wp14:editId="5553886F">
            <wp:extent cx="5009991" cy="4921955"/>
            <wp:effectExtent l="0" t="0" r="635" b="0"/>
            <wp:docPr id="1160131437" name="Imagen 1160131437"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Tabl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8372" cy="4930189"/>
                    </a:xfrm>
                    <a:prstGeom prst="rect">
                      <a:avLst/>
                    </a:prstGeom>
                    <a:noFill/>
                  </pic:spPr>
                </pic:pic>
              </a:graphicData>
            </a:graphic>
          </wp:inline>
        </w:drawing>
      </w:r>
      <w:r w:rsidRPr="00C67536">
        <w:rPr>
          <w:rStyle w:val="FootnoteReference"/>
          <w:rFonts w:cs="Arial"/>
          <w:sz w:val="28"/>
          <w:szCs w:val="28"/>
          <w:lang w:val="es-ES"/>
        </w:rPr>
        <w:footnoteReference w:id="48"/>
      </w:r>
    </w:p>
    <w:p w14:paraId="2A1FCCD7" w14:textId="77777777" w:rsidR="000D2A66" w:rsidRPr="00C67536" w:rsidRDefault="000D2A66" w:rsidP="00BE7A6F">
      <w:pPr>
        <w:pStyle w:val="corte4fondo"/>
        <w:numPr>
          <w:ilvl w:val="0"/>
          <w:numId w:val="15"/>
        </w:numPr>
        <w:spacing w:after="240"/>
        <w:ind w:left="0" w:right="51" w:hanging="567"/>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Utilizando el ejemplo del refresco de cola, se desprende </w:t>
      </w:r>
      <w:proofErr w:type="gramStart"/>
      <w:r w:rsidRPr="00C67536">
        <w:rPr>
          <w:rStyle w:val="Heading1Char"/>
          <w:rFonts w:ascii="Arial" w:hAnsi="Arial" w:cs="Arial"/>
          <w:color w:val="auto"/>
          <w:sz w:val="28"/>
          <w:szCs w:val="28"/>
          <w:lang w:val="es-ES"/>
        </w:rPr>
        <w:t>que</w:t>
      </w:r>
      <w:proofErr w:type="gramEnd"/>
      <w:r w:rsidRPr="00C67536">
        <w:rPr>
          <w:rStyle w:val="Heading1Char"/>
          <w:rFonts w:ascii="Arial" w:hAnsi="Arial" w:cs="Arial"/>
          <w:color w:val="auto"/>
          <w:sz w:val="28"/>
          <w:szCs w:val="28"/>
          <w:lang w:val="es-ES"/>
        </w:rPr>
        <w:t xml:space="preserve"> a nivel nacional, 87.5% de la población refirió que al menos un elemento o nutriente del producto puede provocar daños a la salud. Que de acuerdo con la información del sistema de etiquetado frontal de advertencia o leyendas precautorias de la figura 8, 49.6% indicaron un elemento o nutriente, 28.7% dos y 6.9% tres. En cuanto al consumo de este producto, 79.2% (IC95% 77.8, 80.5) respondieron que no le darían este producto a una niña o niño; las justificaciones más frecuentes se encuentran en la figura 9, destacan el exceso de azúcares (66.0%; IC95% 64.2, 67.7), el contenido de cafeína (14%; IC95% 12.9, 15.1), así como el contenido de calorías (13.8%; IC95% 12.6, 15.0).  </w:t>
      </w:r>
    </w:p>
    <w:p w14:paraId="6AAC79F7"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Figura 8. Porcentaje de la población a nivel nacional, rural y urbano que identificó correctamente en la etiqueta de un refresco de cola al menos un elemento de exceso de calorías, nutrientes críticos o presencia de cafeína o edulcorantes.</w:t>
      </w:r>
    </w:p>
    <w:p w14:paraId="75CFE380" w14:textId="77777777" w:rsidR="000D2A66" w:rsidRPr="00C67536" w:rsidRDefault="000D2A66" w:rsidP="000D2A66">
      <w:pPr>
        <w:pStyle w:val="corte4fondo"/>
        <w:spacing w:after="240"/>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00A5F866" wp14:editId="7A370E02">
            <wp:extent cx="4371586" cy="3268369"/>
            <wp:effectExtent l="0" t="0" r="0" b="8255"/>
            <wp:docPr id="2064595266" name="Imagen 206459526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barras&#10;&#10;Descripción generada automáticamente"/>
                    <pic:cNvPicPr/>
                  </pic:nvPicPr>
                  <pic:blipFill>
                    <a:blip r:embed="rId34"/>
                    <a:stretch>
                      <a:fillRect/>
                    </a:stretch>
                  </pic:blipFill>
                  <pic:spPr>
                    <a:xfrm>
                      <a:off x="0" y="0"/>
                      <a:ext cx="4378928" cy="3273858"/>
                    </a:xfrm>
                    <a:prstGeom prst="rect">
                      <a:avLst/>
                    </a:prstGeom>
                  </pic:spPr>
                </pic:pic>
              </a:graphicData>
            </a:graphic>
          </wp:inline>
        </w:drawing>
      </w:r>
      <w:r w:rsidRPr="00C67536">
        <w:rPr>
          <w:rStyle w:val="FootnoteReference"/>
          <w:rFonts w:cs="Arial"/>
          <w:sz w:val="28"/>
          <w:szCs w:val="28"/>
          <w:lang w:val="es-ES"/>
        </w:rPr>
        <w:footnoteReference w:id="49"/>
      </w:r>
    </w:p>
    <w:p w14:paraId="43579F7C"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Figura 9. Razones por las que la población no le daría a una niña o a un niño un refresco de cola. </w:t>
      </w:r>
    </w:p>
    <w:p w14:paraId="138E26CD" w14:textId="77777777" w:rsidR="000D2A66" w:rsidRPr="00C67536" w:rsidRDefault="000D2A66" w:rsidP="000D2A66">
      <w:pPr>
        <w:pStyle w:val="corte4fondo"/>
        <w:spacing w:after="240"/>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2D216255" wp14:editId="74C622C7">
            <wp:extent cx="4829175" cy="3623734"/>
            <wp:effectExtent l="0" t="0" r="0" b="0"/>
            <wp:docPr id="775369638" name="Imagen 77536963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pic:nvPicPr>
                  <pic:blipFill>
                    <a:blip r:embed="rId35"/>
                    <a:stretch>
                      <a:fillRect/>
                    </a:stretch>
                  </pic:blipFill>
                  <pic:spPr>
                    <a:xfrm>
                      <a:off x="0" y="0"/>
                      <a:ext cx="4832224" cy="3626022"/>
                    </a:xfrm>
                    <a:prstGeom prst="rect">
                      <a:avLst/>
                    </a:prstGeom>
                  </pic:spPr>
                </pic:pic>
              </a:graphicData>
            </a:graphic>
          </wp:inline>
        </w:drawing>
      </w:r>
      <w:r w:rsidRPr="00C67536">
        <w:rPr>
          <w:rStyle w:val="FootnoteReference"/>
          <w:rFonts w:cs="Arial"/>
          <w:sz w:val="28"/>
          <w:szCs w:val="28"/>
          <w:lang w:val="es-ES"/>
        </w:rPr>
        <w:footnoteReference w:id="50"/>
      </w:r>
    </w:p>
    <w:p w14:paraId="4F733647" w14:textId="733082A2" w:rsidR="000D2A66" w:rsidRPr="00C67536" w:rsidRDefault="000D2A66" w:rsidP="00BE7A6F">
      <w:pPr>
        <w:pStyle w:val="corte4fondo"/>
        <w:numPr>
          <w:ilvl w:val="0"/>
          <w:numId w:val="15"/>
        </w:numPr>
        <w:spacing w:after="240"/>
        <w:ind w:left="0" w:right="51" w:hanging="567"/>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De la consulta, también se desprende que se investigó sobre el conocimiento que la población tiene de la medida que el Gobierno estableció para los alimentos empacados y bebidas embotelladas industrializadas que contengan cantidad excesiva de calorías, azúcar, sodio, grasas saturadas y trans, así como otros aditivos, específicamente </w:t>
      </w:r>
      <w:r w:rsidR="0088128B" w:rsidRPr="00C67536">
        <w:rPr>
          <w:rStyle w:val="Heading1Char"/>
          <w:rFonts w:ascii="Arial" w:hAnsi="Arial" w:cs="Arial"/>
          <w:color w:val="auto"/>
          <w:sz w:val="28"/>
          <w:szCs w:val="28"/>
          <w:lang w:val="es-ES"/>
        </w:rPr>
        <w:t>e</w:t>
      </w:r>
      <w:r w:rsidRPr="00C67536">
        <w:rPr>
          <w:rStyle w:val="Heading1Char"/>
          <w:rFonts w:ascii="Arial" w:hAnsi="Arial" w:cs="Arial"/>
          <w:color w:val="auto"/>
          <w:sz w:val="28"/>
          <w:szCs w:val="28"/>
          <w:lang w:val="es-ES"/>
        </w:rPr>
        <w:t xml:space="preserve">dulcorantes o cafeína. Entre la población, </w:t>
      </w:r>
      <w:r w:rsidRPr="00C67536">
        <w:rPr>
          <w:rStyle w:val="Heading1Char"/>
          <w:rFonts w:ascii="Arial" w:hAnsi="Arial" w:cs="Arial"/>
          <w:bCs/>
          <w:color w:val="auto"/>
          <w:sz w:val="28"/>
          <w:szCs w:val="28"/>
          <w:lang w:val="es-ES"/>
        </w:rPr>
        <w:t>a nivel nacional 53.9% (IC95% 52.2., 55.6) mencionaran haber escuchado anteriormente sobre esta medida</w:t>
      </w:r>
      <w:r w:rsidRPr="00C67536">
        <w:rPr>
          <w:rStyle w:val="Heading1Char"/>
          <w:rFonts w:ascii="Arial" w:hAnsi="Arial" w:cs="Arial"/>
          <w:color w:val="auto"/>
          <w:sz w:val="28"/>
          <w:szCs w:val="28"/>
          <w:lang w:val="es-ES"/>
        </w:rPr>
        <w:t xml:space="preserve"> (figura 10); esta proporción fue menor en localidades rurales (41.5%; IC95% 38,2, 44.8). </w:t>
      </w:r>
      <w:r w:rsidRPr="00C67536">
        <w:rPr>
          <w:rStyle w:val="Heading1Char"/>
          <w:rFonts w:ascii="Arial" w:hAnsi="Arial" w:cs="Arial"/>
          <w:bCs/>
          <w:color w:val="auto"/>
          <w:sz w:val="28"/>
          <w:szCs w:val="28"/>
          <w:lang w:val="es-ES"/>
        </w:rPr>
        <w:t>Respecto a la percepción que la población tiene sobre la medida del sistema de etiquetado frontal de advertencia, a nivel nacional fue considerada como Buena/Muy buena</w:t>
      </w:r>
      <w:r w:rsidRPr="00C67536">
        <w:rPr>
          <w:rStyle w:val="Heading1Char"/>
          <w:rFonts w:ascii="Arial" w:hAnsi="Arial" w:cs="Arial"/>
          <w:color w:val="auto"/>
          <w:sz w:val="28"/>
          <w:szCs w:val="28"/>
          <w:lang w:val="es-ES"/>
        </w:rPr>
        <w:t xml:space="preserve"> (74.0%; IC95% 72.4, 75.4) para conocer el exceso de calorías, nutrientes críticos o presencia de aditivos asociados con daños a la salud de los alimentos empacados y bebidas embotelladas (figura 11).   </w:t>
      </w:r>
    </w:p>
    <w:p w14:paraId="11F6174A" w14:textId="77777777" w:rsidR="000D2A66" w:rsidRPr="00C67536" w:rsidRDefault="000D2A66" w:rsidP="000D2A66">
      <w:pPr>
        <w:pStyle w:val="corte4fondo"/>
        <w:spacing w:line="240" w:lineRule="auto"/>
        <w:ind w:left="567" w:right="51" w:firstLine="0"/>
        <w:rPr>
          <w:rStyle w:val="Heading1Char"/>
          <w:rFonts w:ascii="Arial" w:hAnsi="Arial" w:cs="Arial"/>
          <w:b/>
          <w:color w:val="auto"/>
          <w:sz w:val="28"/>
          <w:szCs w:val="28"/>
          <w:lang w:val="es-ES"/>
        </w:rPr>
      </w:pPr>
    </w:p>
    <w:p w14:paraId="28E82F07" w14:textId="77777777"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Figura 10. Porcentaje de la población a nivel nacional, rural y urbano que ha escuchado sobre el sistema de etiquetado frontal de advertencia como medida implementada por el Gobierno.</w:t>
      </w:r>
    </w:p>
    <w:p w14:paraId="6E60DB68" w14:textId="77777777" w:rsidR="000D2A66" w:rsidRPr="00C67536" w:rsidRDefault="000D2A66" w:rsidP="000D2A66">
      <w:pPr>
        <w:pStyle w:val="corte4fondo"/>
        <w:spacing w:line="240" w:lineRule="auto"/>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70312C91" wp14:editId="2987B5AE">
            <wp:extent cx="4989195" cy="4809507"/>
            <wp:effectExtent l="0" t="0" r="1905" b="0"/>
            <wp:docPr id="1836396723" name="Imagen 1836396723" descr="Escala de tiemp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Escala de tiempo, Gráfico de barras&#10;&#10;Descripción generada automáticamente"/>
                    <pic:cNvPicPr/>
                  </pic:nvPicPr>
                  <pic:blipFill>
                    <a:blip r:embed="rId36"/>
                    <a:stretch>
                      <a:fillRect/>
                    </a:stretch>
                  </pic:blipFill>
                  <pic:spPr>
                    <a:xfrm>
                      <a:off x="0" y="0"/>
                      <a:ext cx="4996243" cy="4816301"/>
                    </a:xfrm>
                    <a:prstGeom prst="rect">
                      <a:avLst/>
                    </a:prstGeom>
                  </pic:spPr>
                </pic:pic>
              </a:graphicData>
            </a:graphic>
          </wp:inline>
        </w:drawing>
      </w:r>
      <w:r w:rsidRPr="00C67536">
        <w:rPr>
          <w:rStyle w:val="FootnoteReference"/>
          <w:rFonts w:cs="Arial"/>
          <w:sz w:val="28"/>
          <w:szCs w:val="28"/>
          <w:lang w:val="es-ES"/>
        </w:rPr>
        <w:footnoteReference w:id="51"/>
      </w:r>
    </w:p>
    <w:p w14:paraId="14CE2A02" w14:textId="77777777" w:rsidR="000D2A66" w:rsidRPr="00C67536" w:rsidRDefault="000D2A66" w:rsidP="000D2A66">
      <w:pPr>
        <w:pStyle w:val="corte4fondo"/>
        <w:spacing w:line="240" w:lineRule="auto"/>
        <w:ind w:left="567" w:right="51" w:firstLine="0"/>
        <w:rPr>
          <w:rStyle w:val="Heading1Char"/>
          <w:rFonts w:ascii="Arial" w:hAnsi="Arial" w:cs="Arial"/>
          <w:b/>
          <w:color w:val="auto"/>
          <w:sz w:val="28"/>
          <w:szCs w:val="28"/>
          <w:lang w:val="es-ES"/>
        </w:rPr>
      </w:pPr>
    </w:p>
    <w:p w14:paraId="76AEC59D" w14:textId="77777777" w:rsidR="0004046A" w:rsidRPr="00C67536" w:rsidRDefault="0004046A" w:rsidP="000D2A66">
      <w:pPr>
        <w:pStyle w:val="corte4fondo"/>
        <w:spacing w:after="240"/>
        <w:ind w:left="567" w:right="51" w:firstLine="0"/>
        <w:rPr>
          <w:rStyle w:val="Heading1Char"/>
          <w:rFonts w:ascii="Arial" w:hAnsi="Arial" w:cs="Arial"/>
          <w:color w:val="auto"/>
          <w:sz w:val="28"/>
          <w:szCs w:val="28"/>
          <w:lang w:val="es-ES"/>
        </w:rPr>
      </w:pPr>
    </w:p>
    <w:p w14:paraId="240DB99E" w14:textId="77777777" w:rsidR="008E4259" w:rsidRDefault="000D2A66" w:rsidP="000D2A66">
      <w:pPr>
        <w:pStyle w:val="corte4fondo"/>
        <w:spacing w:after="240"/>
        <w:ind w:left="567" w:right="51" w:firstLine="0"/>
        <w:rPr>
          <w:rStyle w:val="Heading1Char"/>
          <w:rFonts w:ascii="Arial" w:hAnsi="Arial" w:cs="Arial"/>
          <w:color w:val="auto"/>
          <w:sz w:val="28"/>
          <w:szCs w:val="28"/>
          <w:lang w:val="es-ES"/>
        </w:rPr>
      </w:pPr>
      <w:r w:rsidRPr="00C67536">
        <w:rPr>
          <w:rStyle w:val="Heading1Char"/>
          <w:rFonts w:ascii="Arial" w:hAnsi="Arial" w:cs="Arial"/>
          <w:color w:val="auto"/>
          <w:sz w:val="28"/>
          <w:szCs w:val="28"/>
          <w:lang w:val="es-ES"/>
        </w:rPr>
        <w:t>Figura 11. Evaluación de la población a nivel nacional, rural y urbano sobre la medida del sistema de etiquetado frontal de advertencia en alimentos empacados y bebidas embotelladas.</w:t>
      </w:r>
    </w:p>
    <w:p w14:paraId="5771A0EA" w14:textId="77777777" w:rsidR="008E4259" w:rsidRDefault="008E4259" w:rsidP="000D2A66">
      <w:pPr>
        <w:pStyle w:val="corte4fondo"/>
        <w:spacing w:after="240"/>
        <w:ind w:left="567" w:right="51" w:firstLine="0"/>
        <w:rPr>
          <w:rStyle w:val="Heading1Char"/>
          <w:rFonts w:ascii="Arial" w:hAnsi="Arial" w:cs="Arial"/>
          <w:color w:val="auto"/>
          <w:sz w:val="28"/>
          <w:szCs w:val="28"/>
          <w:lang w:val="es-ES"/>
        </w:rPr>
      </w:pPr>
    </w:p>
    <w:p w14:paraId="05BBC095" w14:textId="77777777" w:rsidR="008E4259" w:rsidRDefault="008E4259" w:rsidP="000D2A66">
      <w:pPr>
        <w:pStyle w:val="corte4fondo"/>
        <w:spacing w:after="240"/>
        <w:ind w:left="567" w:right="51" w:firstLine="0"/>
        <w:rPr>
          <w:rStyle w:val="Heading1Char"/>
          <w:rFonts w:ascii="Arial" w:hAnsi="Arial" w:cs="Arial"/>
          <w:color w:val="auto"/>
          <w:sz w:val="28"/>
          <w:szCs w:val="28"/>
          <w:lang w:val="es-ES"/>
        </w:rPr>
      </w:pPr>
    </w:p>
    <w:p w14:paraId="07BAEF5B" w14:textId="77777777" w:rsidR="008E4259" w:rsidRDefault="008E4259" w:rsidP="000D2A66">
      <w:pPr>
        <w:pStyle w:val="corte4fondo"/>
        <w:spacing w:after="240"/>
        <w:ind w:left="567" w:right="51" w:firstLine="0"/>
        <w:rPr>
          <w:rStyle w:val="Heading1Char"/>
          <w:rFonts w:ascii="Arial" w:hAnsi="Arial" w:cs="Arial"/>
          <w:color w:val="auto"/>
          <w:sz w:val="28"/>
          <w:szCs w:val="28"/>
          <w:lang w:val="es-ES"/>
        </w:rPr>
      </w:pPr>
    </w:p>
    <w:p w14:paraId="3FACB597" w14:textId="77777777" w:rsidR="008E4259" w:rsidRDefault="008E4259" w:rsidP="000D2A66">
      <w:pPr>
        <w:pStyle w:val="corte4fondo"/>
        <w:spacing w:after="240"/>
        <w:ind w:left="567" w:right="51" w:firstLine="0"/>
        <w:rPr>
          <w:rStyle w:val="Heading1Char"/>
          <w:rFonts w:ascii="Arial" w:hAnsi="Arial" w:cs="Arial"/>
          <w:color w:val="auto"/>
          <w:sz w:val="28"/>
          <w:szCs w:val="28"/>
          <w:lang w:val="es-ES"/>
        </w:rPr>
      </w:pPr>
    </w:p>
    <w:p w14:paraId="442E40B4" w14:textId="297D1C20" w:rsidR="000D2A66" w:rsidRPr="00C67536" w:rsidRDefault="000D2A66" w:rsidP="000D2A66">
      <w:pPr>
        <w:pStyle w:val="corte4fondo"/>
        <w:spacing w:after="240"/>
        <w:ind w:left="567" w:right="51" w:firstLine="0"/>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 </w:t>
      </w:r>
    </w:p>
    <w:p w14:paraId="3D751926" w14:textId="77777777" w:rsidR="000D2A66" w:rsidRPr="00C67536" w:rsidRDefault="000D2A66" w:rsidP="000D2A66">
      <w:pPr>
        <w:pStyle w:val="corte4fondo"/>
        <w:spacing w:after="240"/>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5651A98E" wp14:editId="15E28228">
            <wp:extent cx="4944110" cy="5664530"/>
            <wp:effectExtent l="0" t="0" r="8890" b="0"/>
            <wp:docPr id="979740819" name="Imagen 979740819" descr="Gráfic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Escala de tiempo&#10;&#10;Descripción generada automáticamente"/>
                    <pic:cNvPicPr/>
                  </pic:nvPicPr>
                  <pic:blipFill>
                    <a:blip r:embed="rId37"/>
                    <a:stretch>
                      <a:fillRect/>
                    </a:stretch>
                  </pic:blipFill>
                  <pic:spPr>
                    <a:xfrm>
                      <a:off x="0" y="0"/>
                      <a:ext cx="4961648" cy="5684623"/>
                    </a:xfrm>
                    <a:prstGeom prst="rect">
                      <a:avLst/>
                    </a:prstGeom>
                  </pic:spPr>
                </pic:pic>
              </a:graphicData>
            </a:graphic>
          </wp:inline>
        </w:drawing>
      </w:r>
      <w:r w:rsidRPr="00C67536">
        <w:rPr>
          <w:rStyle w:val="FootnoteReference"/>
          <w:rFonts w:cs="Arial"/>
          <w:sz w:val="28"/>
          <w:szCs w:val="28"/>
          <w:lang w:val="es-ES"/>
        </w:rPr>
        <w:footnoteReference w:id="52"/>
      </w:r>
    </w:p>
    <w:p w14:paraId="510E073A" w14:textId="77777777" w:rsidR="0004046A" w:rsidRPr="00C67536" w:rsidRDefault="0004046A" w:rsidP="0004046A">
      <w:pPr>
        <w:pStyle w:val="corte4fondo"/>
        <w:spacing w:after="240"/>
        <w:ind w:right="51" w:firstLine="0"/>
        <w:rPr>
          <w:rStyle w:val="Heading1Char"/>
          <w:rFonts w:ascii="Arial" w:hAnsi="Arial" w:cs="Arial"/>
          <w:b/>
          <w:color w:val="auto"/>
          <w:sz w:val="28"/>
          <w:szCs w:val="28"/>
          <w:lang w:val="es-ES"/>
        </w:rPr>
      </w:pPr>
    </w:p>
    <w:p w14:paraId="5052A5E3" w14:textId="16D3A92E" w:rsidR="000D2A66" w:rsidRPr="008E4259" w:rsidRDefault="000D2A66" w:rsidP="00BE7A6F">
      <w:pPr>
        <w:pStyle w:val="corte4fondo"/>
        <w:numPr>
          <w:ilvl w:val="0"/>
          <w:numId w:val="15"/>
        </w:numPr>
        <w:spacing w:after="240"/>
        <w:ind w:left="0" w:right="51" w:hanging="567"/>
        <w:rPr>
          <w:rStyle w:val="Heading1Char"/>
          <w:rFonts w:ascii="Arial" w:hAnsi="Arial" w:cs="Arial"/>
          <w:b/>
          <w:color w:val="auto"/>
          <w:sz w:val="28"/>
          <w:szCs w:val="28"/>
          <w:lang w:val="es-ES"/>
        </w:rPr>
      </w:pPr>
      <w:r w:rsidRPr="00C67536">
        <w:rPr>
          <w:rStyle w:val="Heading1Char"/>
          <w:rFonts w:ascii="Arial" w:hAnsi="Arial" w:cs="Arial"/>
          <w:color w:val="auto"/>
          <w:sz w:val="28"/>
          <w:szCs w:val="28"/>
          <w:lang w:val="es-ES"/>
        </w:rPr>
        <w:t xml:space="preserve">Finalmente, se desprende que sobre el tipo de etiquetado que ayudaría a los padres y madres de familia a elegir un alimento empacado y/o bebida embotellada más saludable para sus hijas e hijos, 60.5% (IC95% 58.9, 62.0) </w:t>
      </w:r>
      <w:r w:rsidRPr="00C67536">
        <w:rPr>
          <w:rStyle w:val="Heading1Char"/>
          <w:rFonts w:ascii="Arial" w:hAnsi="Arial" w:cs="Arial"/>
          <w:bCs/>
          <w:color w:val="auto"/>
          <w:sz w:val="28"/>
          <w:szCs w:val="28"/>
          <w:lang w:val="es-ES"/>
        </w:rPr>
        <w:t>respondió que el sistema de etiquetado frontal de advertencia era la mejor opción</w:t>
      </w:r>
      <w:r w:rsidRPr="00C67536">
        <w:rPr>
          <w:rStyle w:val="Heading1Char"/>
          <w:rFonts w:ascii="Arial" w:hAnsi="Arial" w:cs="Arial"/>
          <w:color w:val="auto"/>
          <w:sz w:val="28"/>
          <w:szCs w:val="28"/>
          <w:lang w:val="es-ES"/>
        </w:rPr>
        <w:t>, tal como se desprende en la siguiente figura.</w:t>
      </w:r>
    </w:p>
    <w:p w14:paraId="192F54AE" w14:textId="77777777" w:rsidR="008E4259" w:rsidRPr="00C67536" w:rsidRDefault="008E4259" w:rsidP="008E4259">
      <w:pPr>
        <w:pStyle w:val="corte4fondo"/>
        <w:spacing w:after="240"/>
        <w:ind w:right="51" w:firstLine="0"/>
        <w:rPr>
          <w:rStyle w:val="Heading1Char"/>
          <w:rFonts w:ascii="Arial" w:hAnsi="Arial" w:cs="Arial"/>
          <w:b/>
          <w:color w:val="auto"/>
          <w:sz w:val="28"/>
          <w:szCs w:val="28"/>
          <w:lang w:val="es-ES"/>
        </w:rPr>
      </w:pPr>
    </w:p>
    <w:p w14:paraId="0DB2E290" w14:textId="77777777" w:rsidR="000D2A66" w:rsidRPr="00C67536" w:rsidRDefault="000D2A66" w:rsidP="000D2A66">
      <w:pPr>
        <w:pStyle w:val="corte4fondo"/>
        <w:spacing w:after="240"/>
        <w:ind w:left="567" w:right="51" w:firstLine="0"/>
        <w:jc w:val="center"/>
        <w:rPr>
          <w:rStyle w:val="Heading1Char"/>
          <w:rFonts w:ascii="Arial" w:hAnsi="Arial" w:cs="Arial"/>
          <w:b/>
          <w:color w:val="auto"/>
          <w:sz w:val="28"/>
          <w:szCs w:val="28"/>
          <w:lang w:val="es-ES"/>
        </w:rPr>
      </w:pPr>
      <w:r w:rsidRPr="00C67536">
        <w:rPr>
          <w:rStyle w:val="Heading1Char"/>
          <w:rFonts w:ascii="Arial" w:hAnsi="Arial" w:cs="Arial"/>
          <w:b/>
          <w:noProof/>
          <w:color w:val="auto"/>
          <w:sz w:val="28"/>
          <w:szCs w:val="28"/>
          <w:lang w:val="es-MX"/>
        </w:rPr>
        <w:drawing>
          <wp:inline distT="0" distB="0" distL="0" distR="0" wp14:anchorId="2DA7FCA4" wp14:editId="2093FDB1">
            <wp:extent cx="4019550" cy="2819400"/>
            <wp:effectExtent l="0" t="0" r="0" b="0"/>
            <wp:docPr id="49755477" name="Imagen 4975547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circular&#10;&#10;Descripción generada automáticamente"/>
                    <pic:cNvPicPr/>
                  </pic:nvPicPr>
                  <pic:blipFill>
                    <a:blip r:embed="rId38"/>
                    <a:stretch>
                      <a:fillRect/>
                    </a:stretch>
                  </pic:blipFill>
                  <pic:spPr>
                    <a:xfrm>
                      <a:off x="0" y="0"/>
                      <a:ext cx="4019550" cy="2819400"/>
                    </a:xfrm>
                    <a:prstGeom prst="rect">
                      <a:avLst/>
                    </a:prstGeom>
                  </pic:spPr>
                </pic:pic>
              </a:graphicData>
            </a:graphic>
          </wp:inline>
        </w:drawing>
      </w:r>
      <w:r w:rsidRPr="00C67536">
        <w:rPr>
          <w:rStyle w:val="FootnoteReference"/>
          <w:rFonts w:cs="Arial"/>
          <w:sz w:val="28"/>
          <w:szCs w:val="28"/>
          <w:lang w:val="es-ES"/>
        </w:rPr>
        <w:footnoteReference w:id="53"/>
      </w:r>
    </w:p>
    <w:p w14:paraId="353C1F9B" w14:textId="77777777" w:rsidR="00BE7A6F" w:rsidRPr="00C67536" w:rsidRDefault="000D2A66" w:rsidP="00BE7A6F">
      <w:pPr>
        <w:pStyle w:val="corte4fondo"/>
        <w:numPr>
          <w:ilvl w:val="0"/>
          <w:numId w:val="15"/>
        </w:numPr>
        <w:spacing w:after="240"/>
        <w:ind w:left="0" w:right="51" w:hanging="567"/>
        <w:rPr>
          <w:rFonts w:cs="Arial"/>
          <w:sz w:val="28"/>
          <w:szCs w:val="28"/>
          <w:lang w:val="es-ES"/>
        </w:rPr>
      </w:pPr>
      <w:r w:rsidRPr="00C67536">
        <w:rPr>
          <w:rStyle w:val="Heading1Char"/>
          <w:rFonts w:ascii="Arial" w:hAnsi="Arial" w:cs="Arial"/>
          <w:color w:val="auto"/>
          <w:sz w:val="28"/>
          <w:szCs w:val="28"/>
          <w:lang w:val="es-ES"/>
        </w:rPr>
        <w:t xml:space="preserve">Lo anteriormente expuesto permite determinar que el etiquetado frontal de advertencia </w:t>
      </w:r>
      <w:r w:rsidRPr="00C67536">
        <w:rPr>
          <w:rFonts w:cs="Arial"/>
          <w:sz w:val="28"/>
          <w:szCs w:val="28"/>
        </w:rPr>
        <w:t>resulta ser el medio idóneo, apto y adecuado para cumplir con la finalidad constitucionalmente válida antes mencionada, porque permite que los consumidores puedan realizar elecciones más saludables a partir de identificar de una manera fácil y rápida aquellos productos nocivos para la salud.</w:t>
      </w:r>
    </w:p>
    <w:p w14:paraId="417ACF2C" w14:textId="77777777" w:rsidR="00BE7A6F" w:rsidRPr="00C67536" w:rsidRDefault="00BE7A6F" w:rsidP="00BE7A6F">
      <w:pPr>
        <w:pStyle w:val="corte4fondo"/>
        <w:spacing w:after="240" w:line="240" w:lineRule="auto"/>
        <w:ind w:right="51" w:firstLine="0"/>
        <w:rPr>
          <w:rFonts w:cs="Arial"/>
          <w:sz w:val="28"/>
          <w:szCs w:val="28"/>
          <w:lang w:val="es-ES"/>
        </w:rPr>
      </w:pPr>
    </w:p>
    <w:p w14:paraId="63E1B270" w14:textId="77777777" w:rsidR="00BE7A6F" w:rsidRPr="00C67536" w:rsidRDefault="000D2A66" w:rsidP="00BE7A6F">
      <w:pPr>
        <w:pStyle w:val="corte4fondo"/>
        <w:numPr>
          <w:ilvl w:val="0"/>
          <w:numId w:val="15"/>
        </w:numPr>
        <w:spacing w:after="240"/>
        <w:ind w:left="0" w:right="51" w:hanging="567"/>
        <w:rPr>
          <w:rFonts w:cs="Arial"/>
          <w:sz w:val="28"/>
          <w:szCs w:val="28"/>
          <w:lang w:val="es-ES"/>
        </w:rPr>
      </w:pPr>
      <w:r w:rsidRPr="00C67536">
        <w:rPr>
          <w:rFonts w:cs="Arial"/>
          <w:sz w:val="28"/>
          <w:szCs w:val="28"/>
          <w:lang w:val="es-ES"/>
        </w:rPr>
        <w:t xml:space="preserve">Así es, según se pudo observar de los datos obtenidos de la referida encuesta, a nivel nacional, la percepción del público consumidor respecto de la medida del sistema de etiquetado frontal de advertencia ha sido muy positiva, pues el 74.0% de la población (de los entrevistados) la consideró </w:t>
      </w:r>
      <w:r w:rsidRPr="00C67536">
        <w:rPr>
          <w:rFonts w:cs="Arial"/>
          <w:i/>
          <w:iCs/>
          <w:sz w:val="28"/>
          <w:szCs w:val="28"/>
          <w:lang w:val="es-ES"/>
        </w:rPr>
        <w:t>buena/muy buena</w:t>
      </w:r>
      <w:r w:rsidRPr="00C67536">
        <w:rPr>
          <w:rFonts w:cs="Arial"/>
          <w:sz w:val="28"/>
          <w:szCs w:val="28"/>
          <w:lang w:val="es-ES"/>
        </w:rPr>
        <w:t xml:space="preserve"> para conocer el exceso de calorías, nutrientes críticos o presencia de aditivos asociados con daños a la salud de los alimentos empacados y bebidas embotelladas.</w:t>
      </w:r>
    </w:p>
    <w:p w14:paraId="648756B7" w14:textId="77777777" w:rsidR="00BE7A6F" w:rsidRPr="00C67536" w:rsidRDefault="00BE7A6F" w:rsidP="00BE7A6F">
      <w:pPr>
        <w:pStyle w:val="ListParagraph"/>
        <w:rPr>
          <w:rFonts w:ascii="Arial" w:hAnsi="Arial" w:cs="Arial"/>
          <w:sz w:val="28"/>
          <w:szCs w:val="28"/>
          <w:lang w:val="es-ES"/>
        </w:rPr>
      </w:pPr>
    </w:p>
    <w:p w14:paraId="468687AC" w14:textId="77777777" w:rsidR="00AE3566" w:rsidRPr="00C67536" w:rsidRDefault="000D2A66" w:rsidP="00AE3566">
      <w:pPr>
        <w:pStyle w:val="corte4fondo"/>
        <w:numPr>
          <w:ilvl w:val="0"/>
          <w:numId w:val="15"/>
        </w:numPr>
        <w:spacing w:after="240"/>
        <w:ind w:left="0" w:right="51" w:hanging="567"/>
        <w:rPr>
          <w:rFonts w:cs="Arial"/>
          <w:sz w:val="28"/>
          <w:szCs w:val="28"/>
          <w:lang w:val="es-ES"/>
        </w:rPr>
      </w:pPr>
      <w:r w:rsidRPr="00C67536">
        <w:rPr>
          <w:rFonts w:cs="Arial"/>
          <w:sz w:val="28"/>
          <w:szCs w:val="28"/>
          <w:lang w:val="es-ES"/>
        </w:rPr>
        <w:t>Incluso, como se vio, considerando la información contenida en el sistema de etiquetado frontal de advertencia, en promedio, a nivel nacional, el 82.3% de la población (de los entrevistados) ya identifica que un refresco de cola contiene exceso de azúcares.</w:t>
      </w:r>
    </w:p>
    <w:p w14:paraId="320FB25E" w14:textId="77777777" w:rsidR="00AE3566" w:rsidRPr="00C67536" w:rsidRDefault="00AE3566" w:rsidP="00AE3566">
      <w:pPr>
        <w:pStyle w:val="ListParagraph"/>
        <w:rPr>
          <w:rStyle w:val="Heading1Char"/>
          <w:rFonts w:ascii="Arial" w:hAnsi="Arial" w:cs="Arial"/>
          <w:color w:val="auto"/>
          <w:sz w:val="28"/>
          <w:szCs w:val="28"/>
          <w:lang w:val="es-ES"/>
        </w:rPr>
      </w:pPr>
    </w:p>
    <w:p w14:paraId="1F24E92D" w14:textId="5FFB4B59" w:rsidR="00BE7A6F" w:rsidRPr="00C67536" w:rsidRDefault="000D2A66" w:rsidP="00AE3566">
      <w:pPr>
        <w:pStyle w:val="corte4fondo"/>
        <w:numPr>
          <w:ilvl w:val="0"/>
          <w:numId w:val="15"/>
        </w:numPr>
        <w:spacing w:after="240"/>
        <w:ind w:left="0" w:right="51" w:hanging="567"/>
        <w:rPr>
          <w:rFonts w:cs="Arial"/>
          <w:sz w:val="28"/>
          <w:szCs w:val="28"/>
          <w:lang w:val="es-ES"/>
        </w:rPr>
      </w:pPr>
      <w:r w:rsidRPr="00C67536">
        <w:rPr>
          <w:rStyle w:val="Heading1Char"/>
          <w:rFonts w:ascii="Arial" w:hAnsi="Arial" w:cs="Arial"/>
          <w:color w:val="auto"/>
          <w:sz w:val="28"/>
          <w:szCs w:val="28"/>
          <w:lang w:val="es-ES"/>
        </w:rPr>
        <w:t xml:space="preserve">Lo que significa que el etiquetado frontal de advertencia, por su diseño y sus características, de alguna manera ha resultado ser una herramienta útil para </w:t>
      </w:r>
      <w:r w:rsidRPr="00C67536">
        <w:rPr>
          <w:rFonts w:cs="Arial"/>
          <w:sz w:val="28"/>
          <w:szCs w:val="28"/>
        </w:rPr>
        <w:t>identificar de manera fácil y rápida aquellos productos nocivos para la salud.</w:t>
      </w:r>
    </w:p>
    <w:p w14:paraId="6612347E" w14:textId="77777777" w:rsidR="00BE7A6F" w:rsidRPr="00C67536" w:rsidRDefault="00BE7A6F" w:rsidP="00BE7A6F">
      <w:pPr>
        <w:pStyle w:val="ListParagraph"/>
        <w:rPr>
          <w:rStyle w:val="Heading1Char"/>
          <w:rFonts w:ascii="Arial" w:hAnsi="Arial" w:cs="Arial"/>
          <w:color w:val="auto"/>
          <w:sz w:val="28"/>
          <w:szCs w:val="28"/>
          <w:lang w:val="es-ES"/>
        </w:rPr>
      </w:pPr>
    </w:p>
    <w:p w14:paraId="34CE9C5F" w14:textId="0E43660B" w:rsidR="00BE7A6F" w:rsidRPr="00C67536" w:rsidRDefault="000D2A66" w:rsidP="00BE7A6F">
      <w:pPr>
        <w:pStyle w:val="corte4fondo"/>
        <w:numPr>
          <w:ilvl w:val="0"/>
          <w:numId w:val="15"/>
        </w:numPr>
        <w:spacing w:after="240"/>
        <w:ind w:left="0" w:right="51" w:hanging="567"/>
        <w:rPr>
          <w:rStyle w:val="Heading1Char"/>
          <w:rFonts w:ascii="Arial" w:eastAsia="Times New Roman" w:hAnsi="Arial" w:cs="Arial"/>
          <w:color w:val="auto"/>
          <w:sz w:val="28"/>
          <w:szCs w:val="28"/>
          <w:lang w:val="es-ES"/>
        </w:rPr>
      </w:pPr>
      <w:r w:rsidRPr="00C67536">
        <w:rPr>
          <w:rStyle w:val="Heading1Char"/>
          <w:rFonts w:ascii="Arial" w:hAnsi="Arial" w:cs="Arial"/>
          <w:color w:val="auto"/>
          <w:sz w:val="28"/>
          <w:szCs w:val="28"/>
          <w:lang w:val="es-ES"/>
        </w:rPr>
        <w:t xml:space="preserve">Ahora, sobre el particular, cabe agregar que, dentro del abanico de posibilidades a disposición del legislador, se advierte que, en aras de combatir la obesidad, el sobrepeso y la diabetes, consideró necesario incorporar al entramado legal ese tipo etiquetado frontal de advertencia que permitiera desincentivar el consumo de aquellos alimentos procesados. Empero, la incorporación de ese etiquetado frontal tan solo constituye una de las medidas a cargo del Estado </w:t>
      </w:r>
      <w:r w:rsidR="002D4A74">
        <w:rPr>
          <w:rStyle w:val="Heading1Char"/>
          <w:rFonts w:ascii="Arial" w:hAnsi="Arial" w:cs="Arial"/>
          <w:color w:val="auto"/>
          <w:sz w:val="28"/>
          <w:szCs w:val="28"/>
          <w:lang w:val="es-ES"/>
        </w:rPr>
        <w:t>M</w:t>
      </w:r>
      <w:r w:rsidRPr="00C67536">
        <w:rPr>
          <w:rStyle w:val="Heading1Char"/>
          <w:rFonts w:ascii="Arial" w:hAnsi="Arial" w:cs="Arial"/>
          <w:color w:val="auto"/>
          <w:sz w:val="28"/>
          <w:szCs w:val="28"/>
          <w:lang w:val="es-ES"/>
        </w:rPr>
        <w:t xml:space="preserve">exicano que contribuye a garantizar el derecho a la protección de la salud del público consumidor de los productos industrializados, a partir de poder identificar aquellos productos nocivos para la salud, para posteriormente tomar la mejor decisión en la selección de los mismos. </w:t>
      </w:r>
    </w:p>
    <w:p w14:paraId="7551C831" w14:textId="77777777" w:rsidR="00BE7A6F" w:rsidRPr="00C67536" w:rsidRDefault="00BE7A6F" w:rsidP="00BE7A6F">
      <w:pPr>
        <w:pStyle w:val="ListParagraph"/>
        <w:rPr>
          <w:rStyle w:val="Heading1Char"/>
          <w:rFonts w:ascii="Arial" w:hAnsi="Arial" w:cs="Arial"/>
          <w:color w:val="auto"/>
          <w:sz w:val="28"/>
          <w:szCs w:val="28"/>
          <w:lang w:val="es-ES"/>
        </w:rPr>
      </w:pPr>
    </w:p>
    <w:p w14:paraId="17A9D803" w14:textId="77777777" w:rsidR="00BE7A6F" w:rsidRPr="00C67536" w:rsidRDefault="000D2A66" w:rsidP="00BE7A6F">
      <w:pPr>
        <w:pStyle w:val="corte4fondo"/>
        <w:numPr>
          <w:ilvl w:val="0"/>
          <w:numId w:val="15"/>
        </w:numPr>
        <w:spacing w:after="240"/>
        <w:ind w:left="0" w:right="51" w:hanging="567"/>
        <w:rPr>
          <w:rStyle w:val="Heading1Char"/>
          <w:rFonts w:ascii="Arial" w:eastAsia="Times New Roman" w:hAnsi="Arial" w:cs="Arial"/>
          <w:color w:val="auto"/>
          <w:sz w:val="28"/>
          <w:szCs w:val="28"/>
          <w:lang w:val="es-ES"/>
        </w:rPr>
      </w:pPr>
      <w:r w:rsidRPr="00C67536">
        <w:rPr>
          <w:rStyle w:val="Heading1Char"/>
          <w:rFonts w:ascii="Arial" w:hAnsi="Arial" w:cs="Arial"/>
          <w:color w:val="auto"/>
          <w:sz w:val="28"/>
          <w:szCs w:val="28"/>
          <w:lang w:val="es-ES"/>
        </w:rPr>
        <w:t>Al respecto, la Segunda Sala, al resolver el amparo en revisión 845/2015</w:t>
      </w:r>
      <w:r w:rsidRPr="00C67536">
        <w:rPr>
          <w:rStyle w:val="FootnoteReference"/>
          <w:rFonts w:cs="Arial"/>
          <w:sz w:val="28"/>
          <w:szCs w:val="28"/>
          <w:lang w:val="es-ES"/>
        </w:rPr>
        <w:footnoteReference w:id="54"/>
      </w:r>
      <w:r w:rsidRPr="00C67536">
        <w:rPr>
          <w:rStyle w:val="Heading1Char"/>
          <w:rFonts w:ascii="Arial" w:hAnsi="Arial" w:cs="Arial"/>
          <w:color w:val="auto"/>
          <w:sz w:val="28"/>
          <w:szCs w:val="28"/>
          <w:lang w:val="es-ES"/>
        </w:rPr>
        <w:t xml:space="preserve">, señaló que </w:t>
      </w:r>
      <w:r w:rsidRPr="00C67536">
        <w:rPr>
          <w:rStyle w:val="Heading1Char"/>
          <w:rFonts w:ascii="Arial" w:hAnsi="Arial" w:cs="Arial"/>
          <w:i/>
          <w:iCs/>
          <w:color w:val="auto"/>
          <w:sz w:val="28"/>
          <w:szCs w:val="28"/>
          <w:lang w:val="es-ES"/>
        </w:rPr>
        <w:t>‘el derecho a la protección de la salud de la población es una responsabilidad social que implica no solo medidas de carácter concreto y específico mediante el establecimiento de mecanismos necesarios para que todas las personas tengan acceso a los servicios de salud una vez que presenten algún padecimiento patológico o enfermedad, sino también medidas preventivas, tales como el desarrollo de una política pública en materia de salud alimentaria que vía impositiva inhiba o desincentive -de algún modo- el consumo de dichos alimentos para que, en la medida de lo posible, no se generen o, cuando menos, se disminuyan las enfermedades asociadas o derivadas del consumo de alimentos con esas características (diabetes mellitus tipo 2, hipertensión arterial, dislipidemias, enfermedades coronarias, enfermedades vascular cerebral, osteoartritis, así como cánceres de mama, esófago, colon, endometrio y riñón, entre otras)’</w:t>
      </w:r>
      <w:r w:rsidRPr="00C67536">
        <w:rPr>
          <w:rStyle w:val="Heading1Char"/>
          <w:rFonts w:ascii="Arial" w:hAnsi="Arial" w:cs="Arial"/>
          <w:color w:val="auto"/>
          <w:sz w:val="28"/>
          <w:szCs w:val="28"/>
          <w:lang w:val="es-ES"/>
        </w:rPr>
        <w:t xml:space="preserve">.  </w:t>
      </w:r>
    </w:p>
    <w:p w14:paraId="69D0B87D" w14:textId="77777777" w:rsidR="00BE7A6F" w:rsidRPr="00C67536" w:rsidRDefault="00BE7A6F" w:rsidP="00BE7A6F">
      <w:pPr>
        <w:pStyle w:val="ListParagraph"/>
        <w:rPr>
          <w:rStyle w:val="Heading1Char"/>
          <w:rFonts w:ascii="Arial" w:hAnsi="Arial" w:cs="Arial"/>
          <w:color w:val="auto"/>
          <w:sz w:val="28"/>
          <w:szCs w:val="28"/>
          <w:lang w:val="es-ES"/>
        </w:rPr>
      </w:pPr>
    </w:p>
    <w:p w14:paraId="49DA1D79" w14:textId="1E0096E7" w:rsidR="000D2A66" w:rsidRPr="00C67536" w:rsidRDefault="000D2A66" w:rsidP="00BE7A6F">
      <w:pPr>
        <w:pStyle w:val="corte4fondo"/>
        <w:numPr>
          <w:ilvl w:val="0"/>
          <w:numId w:val="15"/>
        </w:numPr>
        <w:spacing w:after="240"/>
        <w:ind w:left="0" w:right="51" w:hanging="567"/>
        <w:rPr>
          <w:rStyle w:val="Heading1Char"/>
          <w:rFonts w:ascii="Arial" w:eastAsia="Times New Roman" w:hAnsi="Arial" w:cs="Arial"/>
          <w:color w:val="auto"/>
          <w:sz w:val="28"/>
          <w:szCs w:val="28"/>
          <w:lang w:val="es-ES"/>
        </w:rPr>
      </w:pPr>
      <w:r w:rsidRPr="00C67536">
        <w:rPr>
          <w:rStyle w:val="Heading1Char"/>
          <w:rFonts w:ascii="Arial" w:hAnsi="Arial" w:cs="Arial"/>
          <w:color w:val="auto"/>
          <w:sz w:val="28"/>
          <w:szCs w:val="28"/>
          <w:lang w:val="es-ES"/>
        </w:rPr>
        <w:t xml:space="preserve">En razón de lo anteriormente expuesto, se considera que la medida legislativa enjuiciada es idónea para cumplir con el fin constitucionalmente objetivo y válido.  </w:t>
      </w:r>
    </w:p>
    <w:p w14:paraId="11E22932" w14:textId="77777777" w:rsidR="0018711A" w:rsidRPr="00C67536" w:rsidRDefault="0018711A" w:rsidP="0018711A">
      <w:pPr>
        <w:pStyle w:val="ListParagraph"/>
        <w:rPr>
          <w:rStyle w:val="Heading1Char"/>
          <w:rFonts w:ascii="Arial" w:hAnsi="Arial" w:cs="Arial"/>
          <w:b/>
          <w:color w:val="auto"/>
          <w:sz w:val="28"/>
          <w:szCs w:val="28"/>
          <w:lang w:val="es-ES"/>
        </w:rPr>
      </w:pPr>
    </w:p>
    <w:p w14:paraId="17D05CF1" w14:textId="77777777" w:rsidR="00901BE7" w:rsidRPr="00C67536" w:rsidRDefault="0098078F" w:rsidP="00901BE7">
      <w:pPr>
        <w:pStyle w:val="corte4fondo"/>
        <w:numPr>
          <w:ilvl w:val="0"/>
          <w:numId w:val="15"/>
        </w:numPr>
        <w:ind w:left="0" w:hanging="567"/>
        <w:rPr>
          <w:rFonts w:cs="Arial"/>
          <w:sz w:val="28"/>
          <w:szCs w:val="28"/>
        </w:rPr>
      </w:pPr>
      <w:r w:rsidRPr="00C67536">
        <w:rPr>
          <w:rStyle w:val="Heading1Char"/>
          <w:rFonts w:ascii="Arial" w:hAnsi="Arial" w:cs="Arial"/>
          <w:b/>
          <w:color w:val="auto"/>
          <w:sz w:val="28"/>
          <w:szCs w:val="28"/>
          <w:lang w:val="es-ES"/>
        </w:rPr>
        <w:t>Tercera etapa del test de proporcionalidad.</w:t>
      </w:r>
      <w:r w:rsidRPr="00C67536">
        <w:rPr>
          <w:rStyle w:val="Heading1Char"/>
          <w:rFonts w:ascii="Arial" w:hAnsi="Arial" w:cs="Arial"/>
          <w:b/>
          <w:color w:val="auto"/>
          <w:sz w:val="28"/>
          <w:szCs w:val="28"/>
        </w:rPr>
        <w:t xml:space="preserve"> </w:t>
      </w:r>
      <w:r w:rsidR="00901BE7" w:rsidRPr="00C67536">
        <w:rPr>
          <w:rFonts w:cs="Arial"/>
          <w:sz w:val="28"/>
          <w:szCs w:val="28"/>
        </w:rPr>
        <w:t xml:space="preserve">Ahora, cabe señalar que el examen de </w:t>
      </w:r>
      <w:r w:rsidR="00901BE7" w:rsidRPr="00C67536">
        <w:rPr>
          <w:rFonts w:cs="Arial"/>
          <w:b/>
          <w:sz w:val="28"/>
          <w:szCs w:val="28"/>
        </w:rPr>
        <w:t>necesidad</w:t>
      </w:r>
      <w:r w:rsidR="00901BE7" w:rsidRPr="00C67536">
        <w:rPr>
          <w:rFonts w:cs="Arial"/>
          <w:sz w:val="28"/>
          <w:szCs w:val="28"/>
        </w:rPr>
        <w:t xml:space="preserve"> de la medida implica que no deba existir otro medio alternativo igualmente idóneo para lograr los fines que persigue la norma y que esa alternativa intervenga con menor intensidad el derecho fundamental afectado. Lo que se traduce en la necesidad de comparar entre los medios alternativos existentes.</w:t>
      </w:r>
    </w:p>
    <w:p w14:paraId="2F8A4246" w14:textId="77777777" w:rsidR="00901BE7" w:rsidRPr="00C67536" w:rsidRDefault="00901BE7" w:rsidP="00901BE7">
      <w:pPr>
        <w:pStyle w:val="ListParagraph"/>
        <w:rPr>
          <w:rFonts w:ascii="Arial" w:hAnsi="Arial" w:cs="Arial"/>
          <w:sz w:val="28"/>
          <w:szCs w:val="28"/>
        </w:rPr>
      </w:pPr>
    </w:p>
    <w:p w14:paraId="69BB28FE"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rPr>
        <w:t xml:space="preserve">En el caso en particular, la parte quejosa argumenta </w:t>
      </w:r>
      <w:r w:rsidRPr="00C67536">
        <w:rPr>
          <w:rFonts w:eastAsiaTheme="minorHAnsi" w:cs="Arial"/>
          <w:sz w:val="28"/>
          <w:szCs w:val="28"/>
          <w:lang w:eastAsia="en-US"/>
        </w:rPr>
        <w:t>que el sistema de etiquetado frontal no es el mejor sistema para el procesamiento, comprensión, evaluación y utilización para los consumidores, pues no contienen información sobre la existencia de nutrientes en los productos, sino que solo se limitan a advertir sobre la presencia de elementos críticos, sin graduación a los mismos, ni permitir la comparación con otros productos</w:t>
      </w:r>
      <w:r w:rsidRPr="00C67536">
        <w:rPr>
          <w:rFonts w:cs="Arial"/>
          <w:sz w:val="28"/>
          <w:szCs w:val="28"/>
        </w:rPr>
        <w:t>. Sin embargo, tal argumentación es errónea por los motivos siguientes.</w:t>
      </w:r>
    </w:p>
    <w:p w14:paraId="4C20824C" w14:textId="77777777" w:rsidR="00901BE7" w:rsidRPr="00C67536" w:rsidRDefault="00901BE7" w:rsidP="00901BE7">
      <w:pPr>
        <w:pStyle w:val="ListParagraph"/>
        <w:rPr>
          <w:rFonts w:ascii="Arial" w:hAnsi="Arial" w:cs="Arial"/>
          <w:sz w:val="28"/>
          <w:szCs w:val="28"/>
        </w:rPr>
      </w:pPr>
    </w:p>
    <w:p w14:paraId="125ABE16"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rPr>
        <w:t>Al respecto, cabe destacar que este Alto Tribunal ha establecido que el emprender un análisis de las medidas alternativas y determinar el grado de idoneidad de éstas, podría resultar una tarea interminable, pues implicaría que el Juez constitucional tuviera que imaginarse y analizar todas las alternativas posibles; empero, agregó, que ello podría acotarse ponderando aquellas medidas que el legislador consideró adecuadas para situaciones similares o bien las alternativas que en el derecho comparado se han diseñado para regular el mismo fenómeno</w:t>
      </w:r>
      <w:r w:rsidRPr="00C67536">
        <w:rPr>
          <w:rStyle w:val="FootnoteReference"/>
          <w:rFonts w:cs="Arial"/>
          <w:sz w:val="28"/>
          <w:szCs w:val="28"/>
        </w:rPr>
        <w:footnoteReference w:id="55"/>
      </w:r>
      <w:r w:rsidRPr="00C67536">
        <w:rPr>
          <w:rFonts w:cs="Arial"/>
          <w:sz w:val="28"/>
          <w:szCs w:val="28"/>
        </w:rPr>
        <w:t>.</w:t>
      </w:r>
    </w:p>
    <w:p w14:paraId="3E3B02C5" w14:textId="77777777" w:rsidR="00901BE7" w:rsidRPr="00C67536" w:rsidRDefault="00901BE7" w:rsidP="00901BE7">
      <w:pPr>
        <w:pStyle w:val="ListParagraph"/>
        <w:rPr>
          <w:rFonts w:ascii="Arial" w:hAnsi="Arial" w:cs="Arial"/>
          <w:sz w:val="28"/>
          <w:szCs w:val="28"/>
        </w:rPr>
      </w:pPr>
    </w:p>
    <w:p w14:paraId="0AD474DF"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 xml:space="preserve">Ahora, según se pudo observar en párrafos precedentes, de los trabajos legislativos que precedieron a la reforma legislativa impugnada, fueron dos las causas fundamentales para incorporar al </w:t>
      </w:r>
      <w:r w:rsidRPr="00C67536">
        <w:rPr>
          <w:rStyle w:val="Heading1Char"/>
          <w:rFonts w:ascii="Arial" w:hAnsi="Arial" w:cs="Arial"/>
          <w:color w:val="auto"/>
          <w:sz w:val="28"/>
          <w:szCs w:val="28"/>
          <w:lang w:val="es-ES"/>
        </w:rPr>
        <w:t xml:space="preserve">entramado legal el etiquetado frontal de advertencia. Por un lado, el contexto nacional de emergencia epidemiológica por los altos índices de </w:t>
      </w:r>
      <w:r w:rsidRPr="00C67536">
        <w:rPr>
          <w:rFonts w:cs="Arial"/>
          <w:sz w:val="28"/>
          <w:szCs w:val="28"/>
          <w:lang w:val="es-ES"/>
        </w:rPr>
        <w:t xml:space="preserve">obesidad y diabetes en la población mexicana y por otro, las recomendaciones y evidencias de organismos internacionales como la Organización Mundial de la Salud (OMS), la Organización Panamericana de la Salud (OPS) y por el Fondo de las Naciones Unidas para la Infancia (UNICEF), en las que concluían que el anterior etiquetado frontal, conocido como Guías Diario de Alimentación (GDA), utilizaba valores de referencia incorrectos, además de que no resultaban ser comprendidos por la población. </w:t>
      </w:r>
    </w:p>
    <w:p w14:paraId="13944770" w14:textId="77777777" w:rsidR="00901BE7" w:rsidRPr="00C67536" w:rsidRDefault="00901BE7" w:rsidP="00901BE7">
      <w:pPr>
        <w:pStyle w:val="ListParagraph"/>
        <w:rPr>
          <w:rFonts w:ascii="Arial" w:hAnsi="Arial" w:cs="Arial"/>
          <w:sz w:val="28"/>
          <w:szCs w:val="28"/>
          <w:lang w:val="es-ES"/>
        </w:rPr>
      </w:pPr>
    </w:p>
    <w:p w14:paraId="59590A5B" w14:textId="77777777" w:rsidR="00901BE7" w:rsidRPr="00C67536" w:rsidRDefault="00901BE7" w:rsidP="00901BE7">
      <w:pPr>
        <w:pStyle w:val="corte4fondo"/>
        <w:numPr>
          <w:ilvl w:val="0"/>
          <w:numId w:val="15"/>
        </w:numPr>
        <w:ind w:left="0" w:hanging="567"/>
        <w:rPr>
          <w:rStyle w:val="Heading1Char"/>
          <w:rFonts w:ascii="Arial" w:eastAsia="Times New Roman" w:hAnsi="Arial" w:cs="Arial"/>
          <w:color w:val="auto"/>
          <w:sz w:val="28"/>
          <w:szCs w:val="28"/>
        </w:rPr>
      </w:pPr>
      <w:r w:rsidRPr="00C67536">
        <w:rPr>
          <w:rFonts w:cs="Arial"/>
          <w:sz w:val="28"/>
          <w:szCs w:val="28"/>
          <w:lang w:val="es-ES"/>
        </w:rPr>
        <w:t>C</w:t>
      </w:r>
      <w:r w:rsidRPr="00C67536">
        <w:rPr>
          <w:rStyle w:val="Heading1Char"/>
          <w:rFonts w:ascii="Arial" w:hAnsi="Arial" w:cs="Arial"/>
          <w:color w:val="auto"/>
          <w:sz w:val="28"/>
          <w:szCs w:val="28"/>
          <w:lang w:val="es-ES"/>
        </w:rPr>
        <w:t>omo parte de una estrategia de política pública, fue que precisamente se incorporó el etiquetado frontal de advertencia.</w:t>
      </w:r>
    </w:p>
    <w:p w14:paraId="47EF23C5" w14:textId="77777777" w:rsidR="00901BE7" w:rsidRPr="00C67536" w:rsidRDefault="00901BE7" w:rsidP="00901BE7">
      <w:pPr>
        <w:pStyle w:val="ListParagraph"/>
        <w:rPr>
          <w:rStyle w:val="Heading1Char"/>
          <w:rFonts w:ascii="Arial" w:hAnsi="Arial" w:cs="Arial"/>
          <w:color w:val="auto"/>
          <w:sz w:val="28"/>
          <w:szCs w:val="28"/>
          <w:lang w:val="es-ES"/>
        </w:rPr>
      </w:pPr>
    </w:p>
    <w:p w14:paraId="02EC0126" w14:textId="77777777" w:rsidR="00901BE7" w:rsidRPr="00C67536" w:rsidRDefault="00901BE7" w:rsidP="00901BE7">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 xml:space="preserve">De acuerdo con el dictamen de la Cámara de Origen, las bondades de incorporar este tipo de etiquetado se traducían en la posibilidad que tenía la población: </w:t>
      </w:r>
      <w:r w:rsidRPr="00C67536">
        <w:rPr>
          <w:rStyle w:val="Heading1Char"/>
          <w:rFonts w:ascii="Arial" w:hAnsi="Arial" w:cs="Arial"/>
          <w:bCs/>
          <w:color w:val="auto"/>
          <w:sz w:val="28"/>
          <w:szCs w:val="28"/>
          <w:lang w:val="es-ES"/>
        </w:rPr>
        <w:t>a) de evaluar si la cantidad de un nutrimento crítico es alta o baja de manera rápida y fácil sin necesidad de realizar operaciones matemáticas; b) de comparar el contenido de un nutrimento crítico entre productos similares o entre diferentes tipos de producto; y c) de decidir si un producto es saludable o no.</w:t>
      </w:r>
    </w:p>
    <w:p w14:paraId="32F4C7C0" w14:textId="77777777" w:rsidR="00901BE7" w:rsidRPr="00C67536" w:rsidRDefault="00901BE7" w:rsidP="00901BE7">
      <w:pPr>
        <w:pStyle w:val="ListParagraph"/>
        <w:rPr>
          <w:rStyle w:val="Heading1Char"/>
          <w:rFonts w:ascii="Arial" w:hAnsi="Arial" w:cs="Arial"/>
          <w:color w:val="auto"/>
          <w:sz w:val="28"/>
          <w:szCs w:val="28"/>
          <w:lang w:val="es-ES"/>
        </w:rPr>
      </w:pPr>
    </w:p>
    <w:p w14:paraId="1F96A8CF" w14:textId="77777777" w:rsidR="00901BE7" w:rsidRPr="00C67536" w:rsidRDefault="00901BE7" w:rsidP="00901BE7">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 xml:space="preserve">Por su parte, en ese mismo documento, la Comisión de Salud de la Cámara de Diputados reconoció la complejidad al momento de elegir un sistema de etiquetado frontal para alimentos y bebidas no alcohólicas, sin embargo, apuntó que no cualquiera de los modelos de etiquetado resultaba óptimo para las necesidades de la población mexicana. </w:t>
      </w:r>
    </w:p>
    <w:p w14:paraId="71D6C2D8" w14:textId="77777777" w:rsidR="00901BE7" w:rsidRPr="00C67536" w:rsidRDefault="00901BE7" w:rsidP="00901BE7">
      <w:pPr>
        <w:pStyle w:val="ListParagraph"/>
        <w:rPr>
          <w:rStyle w:val="Heading1Char"/>
          <w:rFonts w:ascii="Arial" w:hAnsi="Arial" w:cs="Arial"/>
          <w:color w:val="auto"/>
          <w:sz w:val="28"/>
          <w:szCs w:val="28"/>
          <w:lang w:val="es-ES"/>
        </w:rPr>
      </w:pPr>
    </w:p>
    <w:p w14:paraId="0B07B0BE" w14:textId="77777777" w:rsidR="00901BE7" w:rsidRPr="00C67536" w:rsidRDefault="00901BE7" w:rsidP="00901BE7">
      <w:pPr>
        <w:pStyle w:val="corte4fondo"/>
        <w:numPr>
          <w:ilvl w:val="0"/>
          <w:numId w:val="15"/>
        </w:numPr>
        <w:ind w:left="0" w:hanging="567"/>
        <w:rPr>
          <w:rFonts w:cs="Arial"/>
          <w:sz w:val="28"/>
          <w:szCs w:val="28"/>
        </w:rPr>
      </w:pPr>
      <w:r w:rsidRPr="00C67536">
        <w:rPr>
          <w:rStyle w:val="Heading1Char"/>
          <w:rFonts w:ascii="Arial" w:hAnsi="Arial" w:cs="Arial"/>
          <w:color w:val="auto"/>
          <w:sz w:val="28"/>
          <w:szCs w:val="28"/>
          <w:lang w:val="es-ES"/>
        </w:rPr>
        <w:t xml:space="preserve">Así, por ejemplo, mencionó que el etiquetado </w:t>
      </w:r>
      <w:r w:rsidRPr="00C67536">
        <w:rPr>
          <w:rFonts w:cs="Arial"/>
          <w:sz w:val="28"/>
          <w:szCs w:val="28"/>
          <w:lang w:val="es-ES"/>
        </w:rPr>
        <w:t>GDA, resultaba altamente complejo de entender, porque era necesario contar con conocimientos previos sobre la cantidad de calorías que aportaba cada uno de los nutrimentos, además que, para poder descifrar el contenido real de sus productos de manera adecuada, el público consumidor tenía que realizar una serie de cálculos matemáticos o reglas de tres. Lo cual, no estaba al alcance de todos los sectores de la población.</w:t>
      </w:r>
    </w:p>
    <w:p w14:paraId="411421AB" w14:textId="77777777" w:rsidR="00901BE7" w:rsidRPr="00C67536" w:rsidRDefault="00901BE7" w:rsidP="00901BE7">
      <w:pPr>
        <w:pStyle w:val="ListParagraph"/>
        <w:rPr>
          <w:rFonts w:ascii="Arial" w:hAnsi="Arial" w:cs="Arial"/>
          <w:sz w:val="28"/>
          <w:szCs w:val="28"/>
          <w:lang w:val="es-ES"/>
        </w:rPr>
      </w:pPr>
    </w:p>
    <w:p w14:paraId="77E6CA9C"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También se descartó la posibilidad de incorporar otros sistemas de etiquetado incorporados en diversos países, debido a que no habían demostrado ser eficientes para informar de manera clara a la población, atento a las siguientes consideraciones.</w:t>
      </w:r>
    </w:p>
    <w:p w14:paraId="6BF7CB90" w14:textId="77777777" w:rsidR="00901BE7" w:rsidRPr="00C67536" w:rsidRDefault="00901BE7" w:rsidP="00901BE7">
      <w:pPr>
        <w:pStyle w:val="ListParagraph"/>
        <w:rPr>
          <w:rStyle w:val="Heading1Char"/>
          <w:rFonts w:ascii="Arial" w:hAnsi="Arial" w:cs="Arial"/>
          <w:color w:val="auto"/>
          <w:sz w:val="28"/>
          <w:szCs w:val="28"/>
          <w:lang w:val="es-ES"/>
        </w:rPr>
      </w:pPr>
    </w:p>
    <w:p w14:paraId="3376D879" w14:textId="77777777" w:rsidR="00901BE7" w:rsidRPr="00C67536" w:rsidRDefault="00901BE7" w:rsidP="00140074">
      <w:pPr>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Sistema de Semáforo Nutricional.</w:t>
      </w:r>
    </w:p>
    <w:p w14:paraId="58C36A76" w14:textId="77777777" w:rsidR="00140074" w:rsidRPr="00C67536" w:rsidRDefault="00140074" w:rsidP="00140074">
      <w:pPr>
        <w:ind w:left="708" w:right="616"/>
        <w:jc w:val="both"/>
        <w:rPr>
          <w:rStyle w:val="Heading1Char"/>
          <w:rFonts w:ascii="Arial" w:hAnsi="Arial" w:cs="Arial"/>
          <w:b/>
          <w:i/>
          <w:iCs/>
          <w:color w:val="auto"/>
          <w:sz w:val="26"/>
          <w:szCs w:val="26"/>
          <w:lang w:val="es-ES"/>
        </w:rPr>
      </w:pPr>
    </w:p>
    <w:p w14:paraId="58293C50" w14:textId="76F965CD" w:rsidR="00901BE7" w:rsidRPr="00C67536" w:rsidRDefault="00901BE7" w:rsidP="00140074">
      <w:pPr>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Este sistema fue implementado en Ecuador, sin embargo, pese a que se esperaban cambios significativos, los resultados no han sido los esperados. Esto debido a que los colores resultan confusos para la adecuada elección de los consumidores. A pesar de que los semáforos resultan gráficamente familiares para el grueso de la población, ésta está acostumbrada a ver una sola luz prendida y no 3 o 4 diferentes colores indicando alertas distintas al mismo tiempo. La misma confusión que sentiría cualquier conductor al encontrarse un semáforo parpadeando con todas las luces en un cruce peatonal (¿se debe frenar, ir con precaución o acelerar?, resulta imposible seguir las tres recomendaciones a la vez). </w:t>
      </w:r>
    </w:p>
    <w:p w14:paraId="40FBA7FF" w14:textId="77777777" w:rsidR="00901BE7" w:rsidRPr="00C67536" w:rsidRDefault="00901BE7" w:rsidP="00140074">
      <w:pPr>
        <w:ind w:left="708" w:right="616"/>
        <w:jc w:val="both"/>
        <w:rPr>
          <w:rStyle w:val="Heading1Char"/>
          <w:rFonts w:ascii="Arial" w:hAnsi="Arial" w:cs="Arial"/>
          <w:b/>
          <w:i/>
          <w:iCs/>
          <w:color w:val="auto"/>
          <w:sz w:val="26"/>
          <w:szCs w:val="26"/>
          <w:lang w:val="es-ES"/>
        </w:rPr>
      </w:pPr>
    </w:p>
    <w:p w14:paraId="1168C0CC" w14:textId="77777777" w:rsidR="00901BE7" w:rsidRPr="00C67536" w:rsidRDefault="00901BE7" w:rsidP="00140074">
      <w:pPr>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Es importante resaltar que no se han demostrado cambios importantes en el patrón de consumo de productos malsanos y que los colores del semáforo pueden perder impacto cuando éstos son similares a los colores del producto sobre el cual desean alertar.  </w:t>
      </w:r>
    </w:p>
    <w:p w14:paraId="7AB91FCF" w14:textId="77777777" w:rsidR="00901BE7" w:rsidRPr="00C67536" w:rsidRDefault="00901BE7" w:rsidP="00140074">
      <w:pPr>
        <w:ind w:left="708" w:right="616"/>
        <w:jc w:val="both"/>
        <w:rPr>
          <w:rStyle w:val="Heading1Char"/>
          <w:rFonts w:ascii="Arial" w:hAnsi="Arial" w:cs="Arial"/>
          <w:b/>
          <w:i/>
          <w:iCs/>
          <w:color w:val="auto"/>
          <w:sz w:val="26"/>
          <w:szCs w:val="26"/>
          <w:lang w:val="es-ES"/>
        </w:rPr>
      </w:pPr>
    </w:p>
    <w:p w14:paraId="2B062FE7" w14:textId="77777777" w:rsidR="00901BE7" w:rsidRPr="00C67536" w:rsidRDefault="00901BE7" w:rsidP="00140074">
      <w:pPr>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Finalmente, existe evidencia que ha mostrado como algunas marcas de productos </w:t>
      </w:r>
      <w:proofErr w:type="spellStart"/>
      <w:r w:rsidRPr="00C67536">
        <w:rPr>
          <w:rStyle w:val="Heading1Char"/>
          <w:rFonts w:ascii="Arial" w:hAnsi="Arial" w:cs="Arial"/>
          <w:i/>
          <w:iCs/>
          <w:color w:val="auto"/>
          <w:sz w:val="26"/>
          <w:szCs w:val="26"/>
          <w:lang w:val="es-ES"/>
        </w:rPr>
        <w:t>ultraprocesados</w:t>
      </w:r>
      <w:proofErr w:type="spellEnd"/>
      <w:r w:rsidRPr="00C67536">
        <w:rPr>
          <w:rStyle w:val="Heading1Char"/>
          <w:rFonts w:ascii="Arial" w:hAnsi="Arial" w:cs="Arial"/>
          <w:i/>
          <w:iCs/>
          <w:color w:val="auto"/>
          <w:sz w:val="26"/>
          <w:szCs w:val="26"/>
          <w:lang w:val="es-ES"/>
        </w:rPr>
        <w:t xml:space="preserve">, logran manipular la información de los semáforos. </w:t>
      </w:r>
    </w:p>
    <w:p w14:paraId="27687362" w14:textId="77777777" w:rsidR="00901BE7" w:rsidRPr="00C67536" w:rsidRDefault="00901BE7" w:rsidP="00140074">
      <w:pPr>
        <w:ind w:left="708" w:right="616"/>
        <w:jc w:val="both"/>
        <w:rPr>
          <w:rStyle w:val="Heading1Char"/>
          <w:rFonts w:ascii="Arial" w:hAnsi="Arial" w:cs="Arial"/>
          <w:b/>
          <w:i/>
          <w:iCs/>
          <w:color w:val="auto"/>
          <w:sz w:val="26"/>
          <w:szCs w:val="26"/>
          <w:lang w:val="es-ES"/>
        </w:rPr>
      </w:pPr>
    </w:p>
    <w:p w14:paraId="6D1F2E7F" w14:textId="77777777" w:rsidR="00901BE7" w:rsidRPr="00C67536" w:rsidRDefault="00901BE7" w:rsidP="00140074">
      <w:pPr>
        <w:spacing w:after="240"/>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Sistema </w:t>
      </w:r>
      <w:proofErr w:type="spellStart"/>
      <w:r w:rsidRPr="00C67536">
        <w:rPr>
          <w:rStyle w:val="Heading1Char"/>
          <w:rFonts w:ascii="Arial" w:hAnsi="Arial" w:cs="Arial"/>
          <w:i/>
          <w:iCs/>
          <w:color w:val="auto"/>
          <w:sz w:val="26"/>
          <w:szCs w:val="26"/>
          <w:lang w:val="es-ES"/>
        </w:rPr>
        <w:t>NutriScore</w:t>
      </w:r>
      <w:proofErr w:type="spellEnd"/>
    </w:p>
    <w:p w14:paraId="6047AB4E" w14:textId="77777777" w:rsidR="00901BE7" w:rsidRPr="00C67536" w:rsidRDefault="00901BE7" w:rsidP="00140074">
      <w:pPr>
        <w:spacing w:after="240"/>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Este sistema ha sido empleado en Francia, sin embargo, se debe considerar que no está hecho para alertar sobre los nutrimentos críticos, sino que pretende evaluar en su totalidad la calidad del alimento.</w:t>
      </w:r>
    </w:p>
    <w:p w14:paraId="3883C234" w14:textId="77777777" w:rsidR="00901BE7" w:rsidRPr="00C67536" w:rsidRDefault="00901BE7" w:rsidP="00140074">
      <w:pPr>
        <w:spacing w:after="240"/>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Asimismo, el sistema de </w:t>
      </w:r>
      <w:proofErr w:type="spellStart"/>
      <w:r w:rsidRPr="00C67536">
        <w:rPr>
          <w:rStyle w:val="Heading1Char"/>
          <w:rFonts w:ascii="Arial" w:hAnsi="Arial" w:cs="Arial"/>
          <w:i/>
          <w:iCs/>
          <w:color w:val="auto"/>
          <w:sz w:val="26"/>
          <w:szCs w:val="26"/>
          <w:lang w:val="es-ES"/>
        </w:rPr>
        <w:t>Nutriscore</w:t>
      </w:r>
      <w:proofErr w:type="spellEnd"/>
      <w:r w:rsidRPr="00C67536">
        <w:rPr>
          <w:rStyle w:val="Heading1Char"/>
          <w:rFonts w:ascii="Arial" w:hAnsi="Arial" w:cs="Arial"/>
          <w:i/>
          <w:iCs/>
          <w:color w:val="auto"/>
          <w:sz w:val="26"/>
          <w:szCs w:val="26"/>
          <w:lang w:val="es-ES"/>
        </w:rPr>
        <w:t xml:space="preserve"> puede resultar contradictorio, pues alimentos altos en grasas o sodio, pueden gozar de una “buena calificación” si están mezclados con vitaminas y minerales y en ningún momento se señalarían en el frente del empaque los nutrimentos críticos.</w:t>
      </w:r>
    </w:p>
    <w:p w14:paraId="31BE09D3" w14:textId="77777777" w:rsidR="00901BE7" w:rsidRPr="00C67536" w:rsidRDefault="00901BE7" w:rsidP="00140074">
      <w:pPr>
        <w:spacing w:after="240"/>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Adicionalmente, se caracteriza por la utilización de un sistema de calificaciones con letras de la A </w:t>
      </w:r>
      <w:proofErr w:type="spellStart"/>
      <w:r w:rsidRPr="00C67536">
        <w:rPr>
          <w:rStyle w:val="Heading1Char"/>
          <w:rFonts w:ascii="Arial" w:hAnsi="Arial" w:cs="Arial"/>
          <w:i/>
          <w:iCs/>
          <w:color w:val="auto"/>
          <w:sz w:val="26"/>
          <w:szCs w:val="26"/>
          <w:lang w:val="es-ES"/>
        </w:rPr>
        <w:t>a</w:t>
      </w:r>
      <w:proofErr w:type="spellEnd"/>
      <w:r w:rsidRPr="00C67536">
        <w:rPr>
          <w:rStyle w:val="Heading1Char"/>
          <w:rFonts w:ascii="Arial" w:hAnsi="Arial" w:cs="Arial"/>
          <w:i/>
          <w:iCs/>
          <w:color w:val="auto"/>
          <w:sz w:val="26"/>
          <w:szCs w:val="26"/>
          <w:lang w:val="es-ES"/>
        </w:rPr>
        <w:t xml:space="preserve"> la D que puede causar confusión haciendo alusión a vitaminas entre los consumidores, quienes, encima de todo, no están habituados a calificar productos en una escala alfabética, sino más bien, numérica.</w:t>
      </w:r>
    </w:p>
    <w:p w14:paraId="628BC1B0" w14:textId="77777777" w:rsidR="00901BE7" w:rsidRPr="00C67536" w:rsidRDefault="00901BE7" w:rsidP="00140074">
      <w:pPr>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 Esto significa que este sistema no es la alternativa más adecuada para el contexto nacional de emergencia epidemiológica que enfrentamos, ya que tanto la educación, las costumbres y la carga de enfermedad como algunas otras características socioculturales entre países de la Unión Europea y México, difieren notablemente.</w:t>
      </w:r>
    </w:p>
    <w:p w14:paraId="26925534" w14:textId="77777777" w:rsidR="00901BE7" w:rsidRPr="00C67536" w:rsidRDefault="00901BE7" w:rsidP="00140074">
      <w:pPr>
        <w:ind w:left="708" w:right="616"/>
        <w:jc w:val="both"/>
        <w:rPr>
          <w:rStyle w:val="Heading1Char"/>
          <w:rFonts w:ascii="Arial" w:hAnsi="Arial" w:cs="Arial"/>
          <w:b/>
          <w:i/>
          <w:iCs/>
          <w:color w:val="auto"/>
          <w:sz w:val="26"/>
          <w:szCs w:val="26"/>
          <w:lang w:val="es-ES"/>
        </w:rPr>
      </w:pPr>
    </w:p>
    <w:p w14:paraId="56DB84AE" w14:textId="77777777" w:rsidR="00901BE7" w:rsidRPr="00C67536" w:rsidRDefault="00901BE7" w:rsidP="00140074">
      <w:pPr>
        <w:ind w:left="708" w:right="616"/>
        <w:jc w:val="both"/>
        <w:rPr>
          <w:rStyle w:val="Heading1Char"/>
          <w:rFonts w:ascii="Arial" w:hAnsi="Arial" w:cs="Arial"/>
          <w:b/>
          <w:i/>
          <w:iCs/>
          <w:color w:val="auto"/>
          <w:sz w:val="26"/>
          <w:szCs w:val="26"/>
          <w:lang w:val="es-ES"/>
        </w:rPr>
      </w:pPr>
      <w:r w:rsidRPr="00C67536">
        <w:rPr>
          <w:rStyle w:val="Heading1Char"/>
          <w:rFonts w:ascii="Arial" w:hAnsi="Arial" w:cs="Arial"/>
          <w:i/>
          <w:iCs/>
          <w:color w:val="auto"/>
          <w:sz w:val="26"/>
          <w:szCs w:val="26"/>
          <w:lang w:val="es-ES"/>
        </w:rPr>
        <w:t xml:space="preserve">De igual manera, es necesario destacar la falta absoluta de apoyo de las comunidades académicas a este tipo de etiquetas que no han sido probadas en contextos similares de México sino implementadas en una población europea sin emergencia en sobrepeso y obesidad. </w:t>
      </w:r>
    </w:p>
    <w:p w14:paraId="3E7DEA6B" w14:textId="77777777" w:rsidR="00901BE7" w:rsidRPr="00C67536" w:rsidRDefault="00901BE7" w:rsidP="00140074">
      <w:pPr>
        <w:ind w:left="708" w:right="616"/>
        <w:jc w:val="both"/>
        <w:rPr>
          <w:rStyle w:val="Heading1Char"/>
          <w:rFonts w:ascii="Arial" w:hAnsi="Arial" w:cs="Arial"/>
          <w:b/>
          <w:i/>
          <w:iCs/>
          <w:color w:val="auto"/>
          <w:sz w:val="26"/>
          <w:szCs w:val="26"/>
          <w:lang w:val="es-ES"/>
        </w:rPr>
      </w:pPr>
    </w:p>
    <w:p w14:paraId="4346CA03" w14:textId="7F96D13A" w:rsidR="00901BE7" w:rsidRPr="00C67536" w:rsidRDefault="00901BE7" w:rsidP="00140074">
      <w:pPr>
        <w:pStyle w:val="corte4fondo"/>
        <w:spacing w:line="240" w:lineRule="auto"/>
        <w:ind w:left="708" w:right="616" w:firstLine="0"/>
        <w:rPr>
          <w:rStyle w:val="Heading1Char"/>
          <w:rFonts w:ascii="Arial" w:eastAsia="Times New Roman" w:hAnsi="Arial" w:cs="Arial"/>
          <w:color w:val="auto"/>
          <w:sz w:val="26"/>
          <w:szCs w:val="26"/>
        </w:rPr>
      </w:pPr>
      <w:r w:rsidRPr="00C67536">
        <w:rPr>
          <w:rStyle w:val="Heading1Char"/>
          <w:rFonts w:ascii="Arial" w:hAnsi="Arial" w:cs="Arial"/>
          <w:i/>
          <w:iCs/>
          <w:color w:val="auto"/>
          <w:sz w:val="26"/>
          <w:szCs w:val="26"/>
          <w:lang w:val="es-ES"/>
        </w:rPr>
        <w:t>Por todo lo anterior, en opinión de la Comisión de Salud es importante resaltar que, estos sistemas no cuentan con ningún tipo de apoyo o respaldo de los grupos de expertos de la academia en México, ni así de experiencia internacional en países latinoamericanos. Sin embargo, sí han sido fuertemente impulsados por poderosos actores económicos […].”</w:t>
      </w:r>
    </w:p>
    <w:p w14:paraId="0DC0AB43" w14:textId="77777777" w:rsidR="00901BE7" w:rsidRPr="00C67536" w:rsidRDefault="00901BE7" w:rsidP="00901BE7">
      <w:pPr>
        <w:pStyle w:val="ListParagraph"/>
        <w:rPr>
          <w:rStyle w:val="Heading1Char"/>
          <w:rFonts w:ascii="Arial" w:hAnsi="Arial" w:cs="Arial"/>
          <w:color w:val="auto"/>
          <w:sz w:val="28"/>
          <w:szCs w:val="28"/>
          <w:lang w:val="es-ES"/>
        </w:rPr>
      </w:pPr>
    </w:p>
    <w:p w14:paraId="65A341A7" w14:textId="77777777" w:rsidR="00901BE7" w:rsidRPr="00C67536" w:rsidRDefault="00901BE7" w:rsidP="00901BE7">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color w:val="auto"/>
          <w:sz w:val="28"/>
          <w:szCs w:val="28"/>
          <w:lang w:val="es-ES"/>
        </w:rPr>
        <w:t>Como se puede observar, entre las razones que tuvo el legislador para descartar los diversos sistemas de etiquetado y decantarse por el etiquetado frontal de advertencia, fueron, básicamente, las siguientes.</w:t>
      </w:r>
    </w:p>
    <w:p w14:paraId="00CCA9F4" w14:textId="77777777" w:rsidR="00901BE7" w:rsidRPr="00C67536" w:rsidRDefault="00901BE7" w:rsidP="00901BE7">
      <w:pPr>
        <w:pStyle w:val="corte4fondo"/>
        <w:rPr>
          <w:rStyle w:val="Heading1Char"/>
          <w:rFonts w:ascii="Arial" w:hAnsi="Arial" w:cs="Arial"/>
          <w:color w:val="auto"/>
          <w:sz w:val="28"/>
          <w:szCs w:val="28"/>
          <w:lang w:val="es-ES"/>
        </w:rPr>
      </w:pPr>
    </w:p>
    <w:p w14:paraId="3BD0FFE5" w14:textId="77777777" w:rsidR="00901BE7" w:rsidRPr="00C67536" w:rsidRDefault="00901BE7" w:rsidP="00901BE7">
      <w:pPr>
        <w:pStyle w:val="ListParagraph"/>
        <w:numPr>
          <w:ilvl w:val="0"/>
          <w:numId w:val="16"/>
        </w:numPr>
        <w:spacing w:after="240" w:line="360" w:lineRule="auto"/>
        <w:ind w:right="51"/>
        <w:jc w:val="both"/>
        <w:rPr>
          <w:rFonts w:ascii="Arial" w:hAnsi="Arial" w:cs="Arial"/>
          <w:sz w:val="28"/>
          <w:szCs w:val="28"/>
          <w:lang w:val="es-ES"/>
        </w:rPr>
      </w:pPr>
      <w:r w:rsidRPr="00C67536">
        <w:rPr>
          <w:rStyle w:val="Heading1Char"/>
          <w:rFonts w:ascii="Arial" w:hAnsi="Arial" w:cs="Arial"/>
          <w:bCs/>
          <w:color w:val="auto"/>
          <w:sz w:val="28"/>
          <w:szCs w:val="28"/>
          <w:lang w:val="es-ES"/>
        </w:rPr>
        <w:t xml:space="preserve">Etiquetado </w:t>
      </w:r>
      <w:r w:rsidRPr="00C67536">
        <w:rPr>
          <w:rFonts w:ascii="Arial" w:hAnsi="Arial" w:cs="Arial"/>
          <w:b/>
          <w:sz w:val="28"/>
          <w:szCs w:val="28"/>
          <w:lang w:val="es-ES"/>
        </w:rPr>
        <w:t>GDA.</w:t>
      </w:r>
      <w:r w:rsidRPr="00C67536">
        <w:rPr>
          <w:rFonts w:ascii="Arial" w:hAnsi="Arial" w:cs="Arial"/>
          <w:sz w:val="28"/>
          <w:szCs w:val="28"/>
          <w:lang w:val="es-ES"/>
        </w:rPr>
        <w:t xml:space="preserve"> Porque resultaba altamente complejo de entender, puesto que era necesario contar con conocimientos previos sobre la cantidad de calorías que aportaba cada uno de los nutrimentos, además que, para poder descifrar el contenido real de sus productos de manera adecuada, el público consumidor tenía que realizar una serie de cálculos matemáticos o reglas de tres.</w:t>
      </w:r>
    </w:p>
    <w:p w14:paraId="5BF5D260" w14:textId="77777777" w:rsidR="00901BE7" w:rsidRPr="00C67536" w:rsidRDefault="00901BE7" w:rsidP="00901BE7">
      <w:pPr>
        <w:pStyle w:val="ListParagraph"/>
        <w:ind w:left="1287" w:right="51"/>
        <w:jc w:val="both"/>
        <w:rPr>
          <w:rFonts w:ascii="Arial" w:hAnsi="Arial" w:cs="Arial"/>
          <w:sz w:val="28"/>
          <w:szCs w:val="28"/>
          <w:lang w:val="es-ES"/>
        </w:rPr>
      </w:pPr>
    </w:p>
    <w:p w14:paraId="3E6737EC" w14:textId="77777777" w:rsidR="00901BE7" w:rsidRPr="00C67536" w:rsidRDefault="00901BE7" w:rsidP="00901BE7">
      <w:pPr>
        <w:pStyle w:val="ListParagraph"/>
        <w:numPr>
          <w:ilvl w:val="0"/>
          <w:numId w:val="16"/>
        </w:numPr>
        <w:spacing w:after="240" w:line="360" w:lineRule="auto"/>
        <w:ind w:right="51"/>
        <w:jc w:val="both"/>
        <w:rPr>
          <w:rFonts w:ascii="Arial" w:hAnsi="Arial" w:cs="Arial"/>
          <w:sz w:val="28"/>
          <w:szCs w:val="28"/>
          <w:lang w:val="es-ES"/>
        </w:rPr>
      </w:pPr>
      <w:r w:rsidRPr="00C67536">
        <w:rPr>
          <w:rStyle w:val="Heading1Char"/>
          <w:rFonts w:ascii="Arial" w:hAnsi="Arial" w:cs="Arial"/>
          <w:bCs/>
          <w:color w:val="auto"/>
          <w:sz w:val="28"/>
          <w:szCs w:val="28"/>
          <w:lang w:val="es-ES"/>
        </w:rPr>
        <w:t xml:space="preserve">Etiquetado de semáforo nutricional. </w:t>
      </w:r>
      <w:r w:rsidRPr="00C67536">
        <w:rPr>
          <w:rFonts w:ascii="Arial" w:hAnsi="Arial" w:cs="Arial"/>
          <w:sz w:val="28"/>
          <w:szCs w:val="28"/>
          <w:lang w:val="es-ES"/>
        </w:rPr>
        <w:t xml:space="preserve">Porque los colores resultaban confusos para la adecuada elección de los consumidores; además, porque podían perder impacto cuándo éstos resultaban similares a los colores del producto sobre el cual desean alertar; y porque existía evidencia que demostraba que algunas marcas de productos </w:t>
      </w:r>
      <w:proofErr w:type="spellStart"/>
      <w:r w:rsidRPr="00C67536">
        <w:rPr>
          <w:rFonts w:ascii="Arial" w:hAnsi="Arial" w:cs="Arial"/>
          <w:sz w:val="28"/>
          <w:szCs w:val="28"/>
          <w:lang w:val="es-ES"/>
        </w:rPr>
        <w:t>ultraprocesados</w:t>
      </w:r>
      <w:proofErr w:type="spellEnd"/>
      <w:r w:rsidRPr="00C67536">
        <w:rPr>
          <w:rFonts w:ascii="Arial" w:hAnsi="Arial" w:cs="Arial"/>
          <w:sz w:val="28"/>
          <w:szCs w:val="28"/>
          <w:lang w:val="es-ES"/>
        </w:rPr>
        <w:t xml:space="preserve"> habían logrado manipular la información de los semáforos.</w:t>
      </w:r>
    </w:p>
    <w:p w14:paraId="18D933ED" w14:textId="77777777" w:rsidR="00901BE7" w:rsidRPr="00C67536" w:rsidRDefault="00901BE7" w:rsidP="00901BE7">
      <w:pPr>
        <w:pStyle w:val="ListParagraph"/>
        <w:rPr>
          <w:rStyle w:val="Heading1Char"/>
          <w:rFonts w:ascii="Arial" w:hAnsi="Arial" w:cs="Arial"/>
          <w:bCs/>
          <w:color w:val="auto"/>
          <w:sz w:val="28"/>
          <w:szCs w:val="28"/>
          <w:lang w:val="es-ES"/>
        </w:rPr>
      </w:pPr>
    </w:p>
    <w:p w14:paraId="1D3CAD4C" w14:textId="49F7B1A7" w:rsidR="00901BE7" w:rsidRPr="00C67536" w:rsidRDefault="00901BE7" w:rsidP="00901BE7">
      <w:pPr>
        <w:pStyle w:val="ListParagraph"/>
        <w:numPr>
          <w:ilvl w:val="0"/>
          <w:numId w:val="16"/>
        </w:numPr>
        <w:spacing w:after="240" w:line="360" w:lineRule="auto"/>
        <w:ind w:right="51"/>
        <w:jc w:val="both"/>
        <w:rPr>
          <w:rStyle w:val="Heading1Char"/>
          <w:rFonts w:ascii="Arial" w:eastAsia="Times New Roman" w:hAnsi="Arial" w:cs="Arial"/>
          <w:color w:val="auto"/>
          <w:sz w:val="28"/>
          <w:szCs w:val="28"/>
          <w:lang w:val="es-ES"/>
        </w:rPr>
      </w:pPr>
      <w:r w:rsidRPr="00C67536">
        <w:rPr>
          <w:rStyle w:val="Heading1Char"/>
          <w:rFonts w:ascii="Arial" w:hAnsi="Arial" w:cs="Arial"/>
          <w:bCs/>
          <w:color w:val="auto"/>
          <w:sz w:val="28"/>
          <w:szCs w:val="28"/>
          <w:lang w:val="es-ES"/>
        </w:rPr>
        <w:t xml:space="preserve">Etiquetado </w:t>
      </w:r>
      <w:proofErr w:type="spellStart"/>
      <w:r w:rsidRPr="00C67536">
        <w:rPr>
          <w:rStyle w:val="Heading1Char"/>
          <w:rFonts w:ascii="Arial" w:hAnsi="Arial" w:cs="Arial"/>
          <w:bCs/>
          <w:color w:val="auto"/>
          <w:sz w:val="28"/>
          <w:szCs w:val="28"/>
          <w:lang w:val="es-ES"/>
        </w:rPr>
        <w:t>Nutriscore</w:t>
      </w:r>
      <w:proofErr w:type="spellEnd"/>
      <w:r w:rsidRPr="00C67536">
        <w:rPr>
          <w:rStyle w:val="Heading1Char"/>
          <w:rFonts w:ascii="Arial" w:hAnsi="Arial" w:cs="Arial"/>
          <w:bCs/>
          <w:color w:val="auto"/>
          <w:sz w:val="28"/>
          <w:szCs w:val="28"/>
          <w:lang w:val="es-ES"/>
        </w:rPr>
        <w:t>.</w:t>
      </w:r>
      <w:r w:rsidRPr="00C67536">
        <w:rPr>
          <w:rStyle w:val="Heading1Char"/>
          <w:rFonts w:ascii="Arial" w:hAnsi="Arial" w:cs="Arial"/>
          <w:color w:val="auto"/>
          <w:sz w:val="28"/>
          <w:szCs w:val="28"/>
          <w:lang w:val="es-ES"/>
        </w:rPr>
        <w:t xml:space="preserve"> Porque no estaba hecho para alertar sobre los nutrimentos críticos, sino para evaluar en su totalidad la calidad del alimento; porque resultaba contradictorio, pues alimentos altos en grasas o sodio, podían gozar de una “buena calificación” si se mezclaban con vitaminas y minerales y en ningún momento se señalarían en el frente del empaque los nutrimentos críticos; y porque se caracterizaban por la utilización de un sistema de calificaciones con letras de la A </w:t>
      </w:r>
      <w:proofErr w:type="spellStart"/>
      <w:r w:rsidRPr="00C67536">
        <w:rPr>
          <w:rStyle w:val="Heading1Char"/>
          <w:rFonts w:ascii="Arial" w:hAnsi="Arial" w:cs="Arial"/>
          <w:color w:val="auto"/>
          <w:sz w:val="28"/>
          <w:szCs w:val="28"/>
          <w:lang w:val="es-ES"/>
        </w:rPr>
        <w:t>a</w:t>
      </w:r>
      <w:proofErr w:type="spellEnd"/>
      <w:r w:rsidRPr="00C67536">
        <w:rPr>
          <w:rStyle w:val="Heading1Char"/>
          <w:rFonts w:ascii="Arial" w:hAnsi="Arial" w:cs="Arial"/>
          <w:color w:val="auto"/>
          <w:sz w:val="28"/>
          <w:szCs w:val="28"/>
          <w:lang w:val="es-ES"/>
        </w:rPr>
        <w:t xml:space="preserve"> la D que podía causar confusión haciendo alusión a vitaminas entre los consumidores.</w:t>
      </w:r>
    </w:p>
    <w:p w14:paraId="2E972569"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 xml:space="preserve">Expuesto lo anterior, a juicio de este Tribunal Pleno, entre las opciones analizadas por el legislador, el etiquetado frontal de advertencia resulta ser la herramienta más efectiva y rápida para lograr el fin pretendido por la norma, sin que exista una intervención mayor de la que pudiera tener las otras dos opciones, puesto que en cualquier caso la incorporación de un etiquetado frontal representa la misma carga administrativa para los productores y comercializadores de alimentos y bebidas preenvasados, quienes tendrían que proporcionar la información nutrimental simplificada de sus productos.  </w:t>
      </w:r>
    </w:p>
    <w:p w14:paraId="79003F98" w14:textId="77777777" w:rsidR="00901BE7" w:rsidRPr="00C67536" w:rsidRDefault="00901BE7" w:rsidP="00901BE7">
      <w:pPr>
        <w:pStyle w:val="corte4fondo"/>
        <w:ind w:firstLine="0"/>
        <w:rPr>
          <w:rFonts w:cs="Arial"/>
          <w:sz w:val="28"/>
          <w:szCs w:val="28"/>
        </w:rPr>
      </w:pPr>
    </w:p>
    <w:p w14:paraId="474DCF70"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 xml:space="preserve">Se afirma lo anterior, en primer lugar, si se toma en consideración que, a diferencia de los sistemas de etiquetado del GDA, de semáforo nutricional y de </w:t>
      </w:r>
      <w:proofErr w:type="spellStart"/>
      <w:r w:rsidRPr="00C67536">
        <w:rPr>
          <w:rFonts w:cs="Arial"/>
          <w:sz w:val="28"/>
          <w:szCs w:val="28"/>
          <w:lang w:val="es-ES"/>
        </w:rPr>
        <w:t>nutriscore</w:t>
      </w:r>
      <w:proofErr w:type="spellEnd"/>
      <w:r w:rsidRPr="00C67536">
        <w:rPr>
          <w:rFonts w:cs="Arial"/>
          <w:sz w:val="28"/>
          <w:szCs w:val="28"/>
          <w:lang w:val="es-ES"/>
        </w:rPr>
        <w:t xml:space="preserve">, el instrumento elegido por el legislador, en cuanto a sus características de diseño y la información nutrimental que proporciona (relacionada con </w:t>
      </w:r>
      <w:r w:rsidRPr="00C67536">
        <w:rPr>
          <w:rStyle w:val="Heading1Char"/>
          <w:rFonts w:ascii="Arial" w:hAnsi="Arial" w:cs="Arial"/>
          <w:color w:val="auto"/>
          <w:sz w:val="28"/>
          <w:szCs w:val="28"/>
          <w:lang w:val="es-ES"/>
        </w:rPr>
        <w:t>nutrimentos críticos)</w:t>
      </w:r>
      <w:r w:rsidRPr="00C67536">
        <w:rPr>
          <w:rFonts w:cs="Arial"/>
          <w:sz w:val="28"/>
          <w:szCs w:val="28"/>
          <w:lang w:val="es-ES"/>
        </w:rPr>
        <w:t>, resulta más asequible para el público consumidor.</w:t>
      </w:r>
    </w:p>
    <w:p w14:paraId="0F1BE471" w14:textId="77777777" w:rsidR="00901BE7" w:rsidRPr="00C67536" w:rsidRDefault="00901BE7" w:rsidP="00901BE7">
      <w:pPr>
        <w:pStyle w:val="ListParagraph"/>
        <w:rPr>
          <w:rFonts w:ascii="Arial" w:hAnsi="Arial" w:cs="Arial"/>
          <w:sz w:val="28"/>
          <w:szCs w:val="28"/>
          <w:lang w:val="es-ES"/>
        </w:rPr>
      </w:pPr>
    </w:p>
    <w:p w14:paraId="633CEC65"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Esto, porque como se pudo observar:</w:t>
      </w:r>
    </w:p>
    <w:p w14:paraId="6CDAA6D6" w14:textId="77777777" w:rsidR="00901BE7" w:rsidRPr="00C67536" w:rsidRDefault="00901BE7" w:rsidP="00901BE7">
      <w:pPr>
        <w:pStyle w:val="corte4fondo"/>
        <w:spacing w:after="240" w:line="240" w:lineRule="auto"/>
        <w:ind w:left="567" w:right="51" w:firstLine="0"/>
        <w:rPr>
          <w:rFonts w:cs="Arial"/>
          <w:sz w:val="28"/>
          <w:szCs w:val="28"/>
          <w:lang w:val="es-ES"/>
        </w:rPr>
      </w:pPr>
    </w:p>
    <w:p w14:paraId="3EABF3A9" w14:textId="23D2E652" w:rsidR="00901BE7" w:rsidRPr="00C67536" w:rsidRDefault="00901BE7" w:rsidP="00901BE7">
      <w:pPr>
        <w:pStyle w:val="corte4fondo"/>
        <w:spacing w:after="240"/>
        <w:ind w:left="567" w:right="51" w:firstLine="0"/>
        <w:rPr>
          <w:rFonts w:cs="Arial"/>
          <w:sz w:val="28"/>
          <w:szCs w:val="28"/>
          <w:lang w:val="es-ES"/>
        </w:rPr>
      </w:pPr>
      <w:r w:rsidRPr="00C67536">
        <w:rPr>
          <w:rFonts w:cs="Arial"/>
          <w:sz w:val="28"/>
          <w:szCs w:val="28"/>
          <w:lang w:val="es-ES"/>
        </w:rPr>
        <w:t xml:space="preserve">a) No se necesitan conocimientos previos sobre la cantidad de calorías que aporta cada uno de los nutrimentos y tampoco hacer cálculos matemáticos para descifrar el contenido real de los productos; </w:t>
      </w:r>
    </w:p>
    <w:p w14:paraId="65AF6685" w14:textId="77777777" w:rsidR="00901BE7" w:rsidRPr="00C67536" w:rsidRDefault="00901BE7" w:rsidP="00901BE7">
      <w:pPr>
        <w:pStyle w:val="ListParagraph"/>
        <w:rPr>
          <w:rFonts w:ascii="Arial" w:hAnsi="Arial" w:cs="Arial"/>
          <w:sz w:val="28"/>
          <w:szCs w:val="28"/>
          <w:lang w:val="es-ES"/>
        </w:rPr>
      </w:pPr>
    </w:p>
    <w:p w14:paraId="14FCEB23" w14:textId="77777777" w:rsidR="00901BE7" w:rsidRPr="00C67536" w:rsidRDefault="00901BE7" w:rsidP="00901BE7">
      <w:pPr>
        <w:pStyle w:val="corte4fondo"/>
        <w:spacing w:after="240"/>
        <w:ind w:left="567" w:right="51" w:firstLine="0"/>
        <w:rPr>
          <w:rFonts w:cs="Arial"/>
          <w:sz w:val="28"/>
          <w:szCs w:val="28"/>
          <w:lang w:val="es-ES"/>
        </w:rPr>
      </w:pPr>
      <w:r w:rsidRPr="00C67536">
        <w:rPr>
          <w:rFonts w:cs="Arial"/>
          <w:sz w:val="28"/>
          <w:szCs w:val="28"/>
          <w:lang w:val="es-ES"/>
        </w:rPr>
        <w:t>b) Se reduce el impacto que se genera cuando los colores del semáforo nutrimental son similares a los colores del producto sobre el cual desean alertar; y</w:t>
      </w:r>
    </w:p>
    <w:p w14:paraId="45D569FE" w14:textId="77777777" w:rsidR="00901BE7" w:rsidRPr="00C67536" w:rsidRDefault="00901BE7" w:rsidP="00901BE7">
      <w:pPr>
        <w:pStyle w:val="ListParagraph"/>
        <w:rPr>
          <w:rFonts w:ascii="Arial" w:hAnsi="Arial" w:cs="Arial"/>
          <w:sz w:val="28"/>
          <w:szCs w:val="28"/>
          <w:lang w:val="es-ES"/>
        </w:rPr>
      </w:pPr>
    </w:p>
    <w:p w14:paraId="27500BAB" w14:textId="77777777" w:rsidR="00901BE7" w:rsidRPr="00C67536" w:rsidRDefault="00901BE7" w:rsidP="00901BE7">
      <w:pPr>
        <w:pStyle w:val="corte4fondo"/>
        <w:spacing w:after="240"/>
        <w:ind w:left="567" w:right="51" w:firstLine="0"/>
        <w:rPr>
          <w:rStyle w:val="Heading1Char"/>
          <w:rFonts w:ascii="Arial" w:eastAsia="Arial" w:hAnsi="Arial" w:cs="Arial"/>
          <w:color w:val="auto"/>
          <w:sz w:val="28"/>
          <w:szCs w:val="28"/>
          <w:lang w:val="es-ES"/>
        </w:rPr>
      </w:pPr>
      <w:r w:rsidRPr="00C67536">
        <w:rPr>
          <w:rFonts w:cs="Arial"/>
          <w:sz w:val="28"/>
          <w:szCs w:val="28"/>
          <w:lang w:val="es-ES"/>
        </w:rPr>
        <w:t xml:space="preserve">c) Como no está diseñado para </w:t>
      </w:r>
      <w:r w:rsidRPr="00C67536">
        <w:rPr>
          <w:rStyle w:val="Heading1Char"/>
          <w:rFonts w:ascii="Arial" w:hAnsi="Arial" w:cs="Arial"/>
          <w:color w:val="auto"/>
          <w:sz w:val="28"/>
          <w:szCs w:val="28"/>
          <w:lang w:val="es-ES"/>
        </w:rPr>
        <w:t xml:space="preserve">evaluar en su totalidad la calidad del alimento sino para alertar sobre los nutrimentos críticos, se reduce la posibilidad de que se alteren los productos a fin de gozar de una buena calificación y de propiciar confusión al momento de calificar el producto con las letras de la A </w:t>
      </w:r>
      <w:proofErr w:type="spellStart"/>
      <w:r w:rsidRPr="00C67536">
        <w:rPr>
          <w:rStyle w:val="Heading1Char"/>
          <w:rFonts w:ascii="Arial" w:hAnsi="Arial" w:cs="Arial"/>
          <w:color w:val="auto"/>
          <w:sz w:val="28"/>
          <w:szCs w:val="28"/>
          <w:lang w:val="es-ES"/>
        </w:rPr>
        <w:t>a</w:t>
      </w:r>
      <w:proofErr w:type="spellEnd"/>
      <w:r w:rsidRPr="00C67536">
        <w:rPr>
          <w:rStyle w:val="Heading1Char"/>
          <w:rFonts w:ascii="Arial" w:hAnsi="Arial" w:cs="Arial"/>
          <w:color w:val="auto"/>
          <w:sz w:val="28"/>
          <w:szCs w:val="28"/>
          <w:lang w:val="es-ES"/>
        </w:rPr>
        <w:t xml:space="preserve"> la D, las cuales tienen relación con las vitaminas.</w:t>
      </w:r>
    </w:p>
    <w:p w14:paraId="078BC4B3" w14:textId="77777777" w:rsidR="00901BE7" w:rsidRPr="00C67536" w:rsidRDefault="00901BE7" w:rsidP="00901BE7">
      <w:pPr>
        <w:pStyle w:val="corte4fondo"/>
        <w:spacing w:line="240" w:lineRule="auto"/>
        <w:ind w:firstLine="0"/>
        <w:rPr>
          <w:rStyle w:val="Heading1Char"/>
          <w:rFonts w:ascii="Arial" w:eastAsia="Times New Roman" w:hAnsi="Arial" w:cs="Arial"/>
          <w:color w:val="auto"/>
          <w:sz w:val="28"/>
          <w:szCs w:val="28"/>
        </w:rPr>
      </w:pPr>
    </w:p>
    <w:p w14:paraId="700A2D79" w14:textId="77777777" w:rsidR="00901BE7" w:rsidRPr="00C67536" w:rsidRDefault="00901BE7" w:rsidP="00901BE7">
      <w:pPr>
        <w:pStyle w:val="corte4fondo"/>
        <w:numPr>
          <w:ilvl w:val="0"/>
          <w:numId w:val="15"/>
        </w:numPr>
        <w:ind w:left="0" w:hanging="567"/>
        <w:rPr>
          <w:rFonts w:cs="Arial"/>
          <w:sz w:val="28"/>
          <w:szCs w:val="28"/>
        </w:rPr>
      </w:pPr>
      <w:r w:rsidRPr="00C67536">
        <w:rPr>
          <w:rStyle w:val="Heading1Char"/>
          <w:rFonts w:ascii="Arial" w:hAnsi="Arial" w:cs="Arial"/>
          <w:color w:val="auto"/>
          <w:sz w:val="28"/>
          <w:szCs w:val="28"/>
          <w:lang w:val="es-ES"/>
        </w:rPr>
        <w:t xml:space="preserve">Un </w:t>
      </w:r>
      <w:r w:rsidRPr="00C67536">
        <w:rPr>
          <w:rFonts w:cs="Arial"/>
          <w:sz w:val="28"/>
          <w:szCs w:val="28"/>
          <w:lang w:val="es-ES"/>
        </w:rPr>
        <w:t xml:space="preserve">instrumento como el incorporado por el legislador, le permite al público consumidor elegir un producto de manera fácil y rápida, a partir de evaluar los nutrimentos críticos, conforme a las leyendas “EXCESO”, “CONTIENE EDULCORANTES, NO RECOMENDABLE EN NIÑOS” y “CONTIENE CAFEÍNA EVITAR EN NIÑOS”, así como por los numerales “1”, “2”, “3”, “4”, y “5”, los cuales representan, a su vez, el número de sellos que contiene cada producto.  </w:t>
      </w:r>
    </w:p>
    <w:p w14:paraId="7042F892" w14:textId="77777777" w:rsidR="00901BE7" w:rsidRPr="00C67536" w:rsidRDefault="00901BE7" w:rsidP="00901BE7">
      <w:pPr>
        <w:pStyle w:val="corte4fondo"/>
        <w:ind w:firstLine="0"/>
        <w:rPr>
          <w:rFonts w:cs="Arial"/>
          <w:sz w:val="28"/>
          <w:szCs w:val="28"/>
        </w:rPr>
      </w:pPr>
    </w:p>
    <w:p w14:paraId="2079DEAE" w14:textId="12127125" w:rsidR="00901BE7" w:rsidRPr="00C67536" w:rsidRDefault="00901BE7" w:rsidP="00901BE7">
      <w:pPr>
        <w:pStyle w:val="corte4fondo"/>
        <w:ind w:firstLine="0"/>
        <w:rPr>
          <w:rFonts w:cs="Arial"/>
          <w:sz w:val="28"/>
          <w:szCs w:val="28"/>
        </w:rPr>
      </w:pPr>
      <w:r w:rsidRPr="00C67536">
        <w:rPr>
          <w:rFonts w:cs="Arial"/>
          <w:noProof/>
          <w:sz w:val="28"/>
          <w:szCs w:val="28"/>
          <w:lang w:val="es-MX"/>
        </w:rPr>
        <w:drawing>
          <wp:inline distT="0" distB="0" distL="0" distR="0" wp14:anchorId="688B611F" wp14:editId="4619C372">
            <wp:extent cx="5094190" cy="1749778"/>
            <wp:effectExtent l="0" t="0" r="0" b="3175"/>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0798" cy="1765787"/>
                    </a:xfrm>
                    <a:prstGeom prst="rect">
                      <a:avLst/>
                    </a:prstGeom>
                    <a:noFill/>
                    <a:ln>
                      <a:noFill/>
                    </a:ln>
                  </pic:spPr>
                </pic:pic>
              </a:graphicData>
            </a:graphic>
          </wp:inline>
        </w:drawing>
      </w:r>
    </w:p>
    <w:p w14:paraId="54B2080C" w14:textId="77777777" w:rsidR="00901BE7" w:rsidRPr="00C67536" w:rsidRDefault="00901BE7" w:rsidP="00901BE7">
      <w:pPr>
        <w:pStyle w:val="corte4fondo"/>
        <w:ind w:firstLine="0"/>
        <w:rPr>
          <w:rFonts w:cs="Arial"/>
          <w:sz w:val="28"/>
          <w:szCs w:val="28"/>
        </w:rPr>
      </w:pPr>
    </w:p>
    <w:p w14:paraId="02CAF034"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Además, contrario a lo que sostiene la disconforme en el sentido de que el sistema de semáforo nutricional resulta más efectivo para lograr el fin pretendido por la norma, la Organización Panamericana de la Salud se ha pronunciado en sentido contrario, al señalar que no se ha aportado evidencia que sustente el argumento de que el sistema de etiquetado de semáforo ofrece mayores posibilidades a los consumidores para elegir ni que facilite la lectura y comprensión de los competentes nutricionales de los productos comparado con otros sistemas. Refirió que existen algunos datos científicos independientes que han demostrado lo contrario, tal como se advierte de la siguiente transcripción.</w:t>
      </w:r>
    </w:p>
    <w:p w14:paraId="0EF572C7" w14:textId="77777777" w:rsidR="00901BE7" w:rsidRPr="00C67536" w:rsidRDefault="00901BE7" w:rsidP="00901BE7">
      <w:pPr>
        <w:pStyle w:val="corte4fondo"/>
        <w:spacing w:line="240" w:lineRule="auto"/>
        <w:ind w:firstLine="0"/>
        <w:rPr>
          <w:rFonts w:cs="Arial"/>
          <w:sz w:val="28"/>
          <w:szCs w:val="28"/>
        </w:rPr>
      </w:pPr>
    </w:p>
    <w:p w14:paraId="5F128693"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i/>
          <w:iCs/>
          <w:sz w:val="26"/>
          <w:szCs w:val="26"/>
          <w:lang w:val="es-ES"/>
        </w:rPr>
        <w:t>“[…] No se aporta evidencia que sustente el argumento de que el sistema de semáforo ofrece mayores posibilidades a los consumidores para elegir ni que facilita la lectura y la compresión de los componentes nutricionales de los productos comparado con otros sistemas. De hecho, algunos datos científicos independientes han demostrado lo contrario:</w:t>
      </w:r>
    </w:p>
    <w:p w14:paraId="64C19C0D"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i/>
          <w:iCs/>
          <w:sz w:val="26"/>
          <w:szCs w:val="26"/>
          <w:lang w:val="es-ES"/>
        </w:rPr>
        <w:t xml:space="preserve">El uso del sistema de semáforo ha resultado menos eficaz para informar a los consumidores cuándo los productos contienen cantidades excesivas de azúcares, grasas o sodio, en comparación con el sistema de advertencias nutricionales adoptado en Chile, México, Perú y Uruguay, y cuyo uso se propone en Brasil, Canadá y otros países. </w:t>
      </w:r>
    </w:p>
    <w:p w14:paraId="728C9914"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b/>
          <w:bCs/>
          <w:i/>
          <w:iCs/>
          <w:sz w:val="26"/>
          <w:szCs w:val="26"/>
          <w:lang w:val="es-ES"/>
        </w:rPr>
        <w:t>El sistema de semáforo demostró ser menos eficaz para influir en la intención y decisión de compra de los consumidores.</w:t>
      </w:r>
      <w:r w:rsidRPr="00C67536">
        <w:rPr>
          <w:rFonts w:cs="Arial"/>
          <w:i/>
          <w:iCs/>
          <w:sz w:val="26"/>
          <w:szCs w:val="26"/>
          <w:lang w:val="es-ES"/>
        </w:rPr>
        <w:t xml:space="preserve"> Esta eficacia o desempeño inferiores fue explicada por varios estudios científicos, que demuestran que:</w:t>
      </w:r>
    </w:p>
    <w:p w14:paraId="16D985DC"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i/>
          <w:iCs/>
          <w:sz w:val="26"/>
          <w:szCs w:val="26"/>
          <w:lang w:val="es-ES"/>
        </w:rPr>
        <w:t>Los consumidores pueden confundirse cuando leen etiquetas que se refieren simultáneamente a contenidos altos, medios y bajos de distintos nutrientes.</w:t>
      </w:r>
    </w:p>
    <w:p w14:paraId="31F10A7C"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b/>
          <w:bCs/>
          <w:i/>
          <w:iCs/>
          <w:sz w:val="26"/>
          <w:szCs w:val="26"/>
          <w:lang w:val="es-ES"/>
        </w:rPr>
        <w:t>A los consumidores les cuesta trabajo y más tiempo determinar si un producto alimenticio que lleva una etiqueta frontal con los colores del semáforo tiene o uno un contenido excesivo de un nutriente dado</w:t>
      </w:r>
      <w:r w:rsidRPr="00C67536">
        <w:rPr>
          <w:rFonts w:cs="Arial"/>
          <w:i/>
          <w:iCs/>
          <w:sz w:val="26"/>
          <w:szCs w:val="26"/>
          <w:lang w:val="es-ES"/>
        </w:rPr>
        <w:t>.</w:t>
      </w:r>
    </w:p>
    <w:p w14:paraId="072C0E6B"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i/>
          <w:iCs/>
          <w:sz w:val="26"/>
          <w:szCs w:val="26"/>
          <w:lang w:val="es-ES"/>
        </w:rPr>
        <w:t>En algunos productos, la señal verde puede ser un estímulo para adquirir productos que pueden ser verdes en sodio, pero rojos en azúcar, lo que podría dar lugar a un mayor consumo no deseado de estos productos.</w:t>
      </w:r>
    </w:p>
    <w:p w14:paraId="4031CA68"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i/>
          <w:iCs/>
          <w:sz w:val="26"/>
          <w:szCs w:val="26"/>
          <w:lang w:val="es-ES"/>
        </w:rPr>
        <w:t xml:space="preserve">Las investigaciones de mercadotecnia y consumo realizadas desde los años setenta demostraron que los consumidores no intervienen mucho tiempo ni esfuerzo cognoscitivo al decidir una compra, especialmente cuando se trata de comprar repetitivas, como es el caso de los alimentos y bebidas. El sistema de semáforo requiere que los consumidores hagan mayor esfuerzo cognoscitivo y dediquen más tiempo a procesar la información y decidir, en comparación con el sistema de advertencias nutricionales.  </w:t>
      </w:r>
    </w:p>
    <w:p w14:paraId="512EBFB6"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i/>
          <w:iCs/>
          <w:sz w:val="26"/>
          <w:szCs w:val="26"/>
          <w:lang w:val="es-ES"/>
        </w:rPr>
        <w:t xml:space="preserve">Además de esta evidencia, también se sabe que el daltonismo rojo-verde es la forma más común de deficiencia en la visión de los colores, lo que significa que, con esta medida, la información no llegaría a una parte de la población. </w:t>
      </w:r>
    </w:p>
    <w:p w14:paraId="097D9159" w14:textId="77777777" w:rsidR="00901BE7" w:rsidRPr="00C67536" w:rsidRDefault="00901BE7" w:rsidP="00901BE7">
      <w:pPr>
        <w:pStyle w:val="corte4fondo"/>
        <w:spacing w:after="240" w:line="240" w:lineRule="auto"/>
        <w:ind w:left="567" w:right="616" w:firstLine="0"/>
        <w:rPr>
          <w:rFonts w:cs="Arial"/>
          <w:i/>
          <w:iCs/>
          <w:sz w:val="26"/>
          <w:szCs w:val="26"/>
          <w:lang w:val="es-ES"/>
        </w:rPr>
      </w:pPr>
      <w:r w:rsidRPr="00C67536">
        <w:rPr>
          <w:rFonts w:cs="Arial"/>
          <w:i/>
          <w:iCs/>
          <w:sz w:val="26"/>
          <w:szCs w:val="26"/>
          <w:lang w:val="es-ES"/>
        </w:rPr>
        <w:t xml:space="preserve">Además, si el sistema de semáforo ha sido adoptado voluntariamente porque las empresas se dieron cuenta de que podrían aumentar sus ventas de productos no recomendados. Las empresas que producen bebidas azucaradas lo adoptaron voluntariamente como estrategia de mercadotecnia para incrementar sus ventas al utilizar el verde para el sodio y las grasas en sus productos. </w:t>
      </w:r>
    </w:p>
    <w:p w14:paraId="3AA8214E" w14:textId="313DA9D9" w:rsidR="00901BE7" w:rsidRPr="00C67536" w:rsidRDefault="00901BE7" w:rsidP="00901BE7">
      <w:pPr>
        <w:pStyle w:val="corte4fondo"/>
        <w:spacing w:line="240" w:lineRule="auto"/>
        <w:ind w:left="567" w:firstLine="0"/>
        <w:rPr>
          <w:rFonts w:cs="Arial"/>
          <w:sz w:val="24"/>
          <w:szCs w:val="24"/>
        </w:rPr>
      </w:pPr>
      <w:r w:rsidRPr="00C67536">
        <w:rPr>
          <w:rFonts w:cs="Arial"/>
          <w:i/>
          <w:iCs/>
          <w:sz w:val="26"/>
          <w:szCs w:val="26"/>
          <w:lang w:val="es-ES"/>
        </w:rPr>
        <w:t>Para proteger a los consumidores, debería evitarse el uso de sistemas de etiquetado frontal que puedan utilizarse como parte de una estrategia de mercadotecnia para promover la compra de productos superfluos y nocivos para la salud […]”</w:t>
      </w:r>
      <w:r w:rsidRPr="00C67536">
        <w:rPr>
          <w:rFonts w:cs="Arial"/>
          <w:i/>
          <w:iCs/>
          <w:sz w:val="24"/>
          <w:szCs w:val="24"/>
          <w:lang w:val="es-ES"/>
        </w:rPr>
        <w:t>.</w:t>
      </w:r>
      <w:r w:rsidRPr="00C67536">
        <w:rPr>
          <w:rStyle w:val="FootnoteReference"/>
          <w:rFonts w:cs="Arial"/>
          <w:i/>
          <w:iCs/>
          <w:sz w:val="24"/>
          <w:szCs w:val="24"/>
          <w:lang w:val="es-ES"/>
        </w:rPr>
        <w:footnoteReference w:id="56"/>
      </w:r>
    </w:p>
    <w:p w14:paraId="4B2CCAE2" w14:textId="77777777" w:rsidR="00901BE7" w:rsidRPr="00C67536" w:rsidRDefault="00901BE7" w:rsidP="00901BE7">
      <w:pPr>
        <w:pStyle w:val="corte4fondo"/>
        <w:ind w:firstLine="0"/>
        <w:rPr>
          <w:rFonts w:cs="Arial"/>
          <w:sz w:val="28"/>
          <w:szCs w:val="28"/>
        </w:rPr>
      </w:pPr>
    </w:p>
    <w:p w14:paraId="415CCDD8"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Con respecto a la importancia de incorporar un sistema de etiquetado frontal que informe sobre nutrientes críticos y no combinarlo con información sobre nutrientes o atributos positivos, la Organización Panamericana de la Salud también se han pronunciado en ese sentido, al establecer:</w:t>
      </w:r>
    </w:p>
    <w:p w14:paraId="1F96D2AA" w14:textId="77777777" w:rsidR="00901BE7" w:rsidRPr="00C67536" w:rsidRDefault="00901BE7" w:rsidP="00901BE7">
      <w:pPr>
        <w:pStyle w:val="corte4fondo"/>
        <w:spacing w:line="240" w:lineRule="auto"/>
        <w:ind w:left="709" w:right="618" w:firstLine="0"/>
        <w:rPr>
          <w:rFonts w:cs="Arial"/>
          <w:sz w:val="28"/>
          <w:szCs w:val="28"/>
          <w:lang w:val="es-ES"/>
        </w:rPr>
      </w:pPr>
    </w:p>
    <w:p w14:paraId="781C7CED" w14:textId="77777777" w:rsidR="00901BE7" w:rsidRPr="00C67536" w:rsidRDefault="00901BE7" w:rsidP="00901BE7">
      <w:pPr>
        <w:pStyle w:val="corte4fondo"/>
        <w:spacing w:after="240" w:line="240" w:lineRule="auto"/>
        <w:ind w:left="709" w:right="616" w:firstLine="0"/>
        <w:rPr>
          <w:rFonts w:cs="Arial"/>
          <w:i/>
          <w:iCs/>
          <w:sz w:val="26"/>
          <w:szCs w:val="26"/>
          <w:lang w:val="es-ES"/>
        </w:rPr>
      </w:pPr>
      <w:r w:rsidRPr="00C67536">
        <w:rPr>
          <w:rFonts w:cs="Arial"/>
          <w:i/>
          <w:iCs/>
          <w:sz w:val="26"/>
          <w:szCs w:val="26"/>
          <w:lang w:val="es-ES"/>
        </w:rPr>
        <w:t xml:space="preserve">“[…] La finalidad de un sistema de advertencia nutricionales </w:t>
      </w:r>
      <w:r w:rsidRPr="00C67536">
        <w:rPr>
          <w:rFonts w:cs="Arial"/>
          <w:b/>
          <w:bCs/>
          <w:i/>
          <w:iCs/>
          <w:sz w:val="26"/>
          <w:szCs w:val="26"/>
          <w:lang w:val="es-ES"/>
        </w:rPr>
        <w:t>es ayudar a la población a identificar productos que contienen cantidades excesivas de nutrientes críticos como azúcares, grasas totales, grasas saturadas, grasas trans y sodio</w:t>
      </w:r>
      <w:r w:rsidRPr="00C67536">
        <w:rPr>
          <w:rFonts w:cs="Arial"/>
          <w:i/>
          <w:iCs/>
          <w:sz w:val="26"/>
          <w:szCs w:val="26"/>
          <w:lang w:val="es-ES"/>
        </w:rPr>
        <w:t xml:space="preserve">. Estos nutrientes deberán constituir la base del etiquetado frontal. </w:t>
      </w:r>
      <w:r w:rsidRPr="00C67536">
        <w:rPr>
          <w:rFonts w:cs="Arial"/>
          <w:b/>
          <w:bCs/>
          <w:i/>
          <w:iCs/>
          <w:sz w:val="26"/>
          <w:szCs w:val="26"/>
          <w:lang w:val="es-ES"/>
        </w:rPr>
        <w:t>Combinar o agregar información sobre nutrientes o atributos positivos desviaría al sistema de su finalidad, dilucidaría el efecto y crearía más confusión en el consumidor</w:t>
      </w:r>
      <w:r w:rsidRPr="00C67536">
        <w:rPr>
          <w:rFonts w:cs="Arial"/>
          <w:i/>
          <w:iCs/>
          <w:sz w:val="26"/>
          <w:szCs w:val="26"/>
          <w:lang w:val="es-ES"/>
        </w:rPr>
        <w:t xml:space="preserve">. </w:t>
      </w:r>
    </w:p>
    <w:p w14:paraId="77F180A3" w14:textId="77777777" w:rsidR="00901BE7" w:rsidRPr="00C67536" w:rsidRDefault="00901BE7" w:rsidP="00901BE7">
      <w:pPr>
        <w:pStyle w:val="corte4fondo"/>
        <w:spacing w:after="240" w:line="240" w:lineRule="auto"/>
        <w:ind w:left="709" w:right="616" w:firstLine="0"/>
        <w:rPr>
          <w:rFonts w:cs="Arial"/>
          <w:i/>
          <w:iCs/>
          <w:sz w:val="26"/>
          <w:szCs w:val="26"/>
          <w:lang w:val="es-ES"/>
        </w:rPr>
      </w:pPr>
      <w:r w:rsidRPr="00C67536">
        <w:rPr>
          <w:rFonts w:cs="Arial"/>
          <w:i/>
          <w:iCs/>
          <w:sz w:val="26"/>
          <w:szCs w:val="26"/>
          <w:lang w:val="es-ES"/>
        </w:rPr>
        <w:t xml:space="preserve">Un sistema de etiquetado frontal que presenta información sobre nutrientes o atributos positivos no es un medio adecuado para la finalidad señalada (es decir, ayudar a la población a identificar productos que contienen cantidades excesivas de nutrientes críticos) y promover la alimentación saludable, porque: </w:t>
      </w:r>
    </w:p>
    <w:p w14:paraId="06E0E6D4" w14:textId="77777777" w:rsidR="00901BE7" w:rsidRPr="00C67536" w:rsidRDefault="00901BE7" w:rsidP="00901BE7">
      <w:pPr>
        <w:pStyle w:val="corte4fondo"/>
        <w:numPr>
          <w:ilvl w:val="0"/>
          <w:numId w:val="17"/>
        </w:numPr>
        <w:spacing w:after="240" w:line="240" w:lineRule="auto"/>
        <w:ind w:left="709" w:right="616"/>
        <w:rPr>
          <w:rFonts w:cs="Arial"/>
          <w:i/>
          <w:iCs/>
          <w:sz w:val="26"/>
          <w:szCs w:val="26"/>
          <w:lang w:val="es-ES"/>
        </w:rPr>
      </w:pPr>
      <w:r w:rsidRPr="00C67536">
        <w:rPr>
          <w:rFonts w:cs="Arial"/>
          <w:i/>
          <w:iCs/>
          <w:sz w:val="26"/>
          <w:szCs w:val="26"/>
          <w:lang w:val="es-ES"/>
        </w:rPr>
        <w:t xml:space="preserve">Pueden </w:t>
      </w:r>
      <w:r w:rsidRPr="00C67536">
        <w:rPr>
          <w:rFonts w:cs="Arial"/>
          <w:b/>
          <w:bCs/>
          <w:i/>
          <w:iCs/>
          <w:sz w:val="26"/>
          <w:szCs w:val="26"/>
          <w:lang w:val="es-ES"/>
        </w:rPr>
        <w:t xml:space="preserve">estimular el consumo excesivo de productos procesados y </w:t>
      </w:r>
      <w:proofErr w:type="spellStart"/>
      <w:r w:rsidRPr="00C67536">
        <w:rPr>
          <w:rFonts w:cs="Arial"/>
          <w:b/>
          <w:bCs/>
          <w:i/>
          <w:iCs/>
          <w:sz w:val="26"/>
          <w:szCs w:val="26"/>
          <w:lang w:val="es-ES"/>
        </w:rPr>
        <w:t>ultraprocesados</w:t>
      </w:r>
      <w:proofErr w:type="spellEnd"/>
      <w:r w:rsidRPr="00C67536">
        <w:rPr>
          <w:rFonts w:cs="Arial"/>
          <w:i/>
          <w:iCs/>
          <w:sz w:val="26"/>
          <w:szCs w:val="26"/>
          <w:lang w:val="es-ES"/>
        </w:rPr>
        <w:t xml:space="preserve"> que no se recomendarían como parte de una alimentación saludable, ya que los envuelven en un “halo de salud” y proyectan la idea errónea de que son saludables.</w:t>
      </w:r>
    </w:p>
    <w:p w14:paraId="7D03FEFF" w14:textId="77777777" w:rsidR="00901BE7" w:rsidRPr="00C67536" w:rsidRDefault="00901BE7" w:rsidP="00901BE7">
      <w:pPr>
        <w:pStyle w:val="corte4fondo"/>
        <w:numPr>
          <w:ilvl w:val="0"/>
          <w:numId w:val="17"/>
        </w:numPr>
        <w:spacing w:after="240" w:line="240" w:lineRule="auto"/>
        <w:ind w:left="709" w:right="616"/>
        <w:rPr>
          <w:rFonts w:cs="Arial"/>
          <w:i/>
          <w:iCs/>
          <w:sz w:val="26"/>
          <w:szCs w:val="26"/>
          <w:lang w:val="es-ES"/>
        </w:rPr>
      </w:pPr>
      <w:r w:rsidRPr="00C67536">
        <w:rPr>
          <w:rFonts w:cs="Arial"/>
          <w:i/>
          <w:iCs/>
          <w:sz w:val="26"/>
          <w:szCs w:val="26"/>
          <w:lang w:val="es-ES"/>
        </w:rPr>
        <w:t xml:space="preserve">Distraen a los consumidores de las recomendaciones alimentarias que deberían abordarse en otros instrumentos de política y medios de información, no en la etiqueta de productos envasados. </w:t>
      </w:r>
    </w:p>
    <w:p w14:paraId="1D5A6E61" w14:textId="77777777" w:rsidR="00901BE7" w:rsidRPr="00C67536" w:rsidRDefault="00901BE7" w:rsidP="00901BE7">
      <w:pPr>
        <w:pStyle w:val="corte4fondo"/>
        <w:numPr>
          <w:ilvl w:val="0"/>
          <w:numId w:val="17"/>
        </w:numPr>
        <w:spacing w:after="240" w:line="240" w:lineRule="auto"/>
        <w:ind w:left="709" w:right="616"/>
        <w:rPr>
          <w:rFonts w:cs="Arial"/>
          <w:i/>
          <w:iCs/>
          <w:sz w:val="26"/>
          <w:szCs w:val="26"/>
          <w:lang w:val="es-ES"/>
        </w:rPr>
      </w:pPr>
      <w:r w:rsidRPr="00C67536">
        <w:rPr>
          <w:rFonts w:cs="Arial"/>
          <w:i/>
          <w:iCs/>
          <w:sz w:val="26"/>
          <w:szCs w:val="26"/>
          <w:lang w:val="es-ES"/>
        </w:rPr>
        <w:t xml:space="preserve">La incluso de texto como “Bajo en sodio” podría generar un consumo excesivo de productos </w:t>
      </w:r>
      <w:proofErr w:type="spellStart"/>
      <w:r w:rsidRPr="00C67536">
        <w:rPr>
          <w:rFonts w:cs="Arial"/>
          <w:i/>
          <w:iCs/>
          <w:sz w:val="26"/>
          <w:szCs w:val="26"/>
          <w:lang w:val="es-ES"/>
        </w:rPr>
        <w:t>ultraprocesados</w:t>
      </w:r>
      <w:proofErr w:type="spellEnd"/>
      <w:r w:rsidRPr="00C67536">
        <w:rPr>
          <w:rFonts w:cs="Arial"/>
          <w:i/>
          <w:iCs/>
          <w:sz w:val="26"/>
          <w:szCs w:val="26"/>
          <w:lang w:val="es-ES"/>
        </w:rPr>
        <w:t xml:space="preserve"> que presenten esa información en la etiqueta y, en consecuencia, una ingesta excesiva de sodio u otros nutrimentos críticos. Esto puede ser resultado de la combinación de una </w:t>
      </w:r>
      <w:proofErr w:type="spellStart"/>
      <w:r w:rsidRPr="00C67536">
        <w:rPr>
          <w:rFonts w:cs="Arial"/>
          <w:i/>
          <w:iCs/>
          <w:sz w:val="26"/>
          <w:szCs w:val="26"/>
          <w:lang w:val="es-ES"/>
        </w:rPr>
        <w:t>hiperpalatabilidad</w:t>
      </w:r>
      <w:proofErr w:type="spellEnd"/>
      <w:r w:rsidRPr="00C67536">
        <w:rPr>
          <w:rFonts w:cs="Arial"/>
          <w:i/>
          <w:iCs/>
          <w:sz w:val="26"/>
          <w:szCs w:val="26"/>
          <w:lang w:val="es-ES"/>
        </w:rPr>
        <w:t xml:space="preserve"> de esos productos y el estímulo de las alegaciones en la etiqueta.</w:t>
      </w:r>
    </w:p>
    <w:p w14:paraId="26AE35F7" w14:textId="77777777" w:rsidR="00901BE7" w:rsidRPr="00C67536" w:rsidRDefault="00901BE7" w:rsidP="00901BE7">
      <w:pPr>
        <w:pStyle w:val="corte4fondo"/>
        <w:numPr>
          <w:ilvl w:val="0"/>
          <w:numId w:val="17"/>
        </w:numPr>
        <w:spacing w:after="240" w:line="240" w:lineRule="auto"/>
        <w:ind w:left="709" w:right="616"/>
        <w:rPr>
          <w:rFonts w:cs="Arial"/>
          <w:i/>
          <w:iCs/>
          <w:sz w:val="26"/>
          <w:szCs w:val="26"/>
          <w:lang w:val="es-ES"/>
        </w:rPr>
      </w:pPr>
      <w:r w:rsidRPr="00C67536">
        <w:rPr>
          <w:rFonts w:cs="Arial"/>
          <w:i/>
          <w:iCs/>
          <w:sz w:val="26"/>
          <w:szCs w:val="26"/>
          <w:lang w:val="es-ES"/>
        </w:rPr>
        <w:t xml:space="preserve">En estudios realizados se demostró que cuando los consumidores están calificando cuán saludable es un producto que contiene cantidades excesivas de azúcares, grasas o sodio, la inclusión de color verde (percibido como característica positiva) el etiquetado frontal distorsiona su percepción y les hace creer que el producto es más saludable de lo que realmente es, o que se recomienda como parte de una alimentación saludable cuando no es así. </w:t>
      </w:r>
    </w:p>
    <w:p w14:paraId="23B987AE" w14:textId="2E7ABFFE" w:rsidR="00901BE7" w:rsidRPr="00C67536" w:rsidRDefault="00901BE7" w:rsidP="00901BE7">
      <w:pPr>
        <w:pStyle w:val="corte4fondo"/>
        <w:numPr>
          <w:ilvl w:val="0"/>
          <w:numId w:val="17"/>
        </w:numPr>
        <w:spacing w:after="240" w:line="240" w:lineRule="auto"/>
        <w:ind w:left="709" w:right="616"/>
        <w:rPr>
          <w:rFonts w:cs="Arial"/>
          <w:sz w:val="26"/>
          <w:szCs w:val="26"/>
          <w:lang w:val="es-ES"/>
        </w:rPr>
      </w:pPr>
      <w:r w:rsidRPr="00C67536">
        <w:rPr>
          <w:rFonts w:cs="Arial"/>
          <w:i/>
          <w:iCs/>
          <w:sz w:val="26"/>
          <w:szCs w:val="26"/>
          <w:lang w:val="es-ES"/>
        </w:rPr>
        <w:t xml:space="preserve">Los productos que llevan advertencias nutricionales en el frente del envase son normalmente productos alimentarios y bebidas </w:t>
      </w:r>
      <w:proofErr w:type="spellStart"/>
      <w:r w:rsidRPr="00C67536">
        <w:rPr>
          <w:rFonts w:cs="Arial"/>
          <w:i/>
          <w:iCs/>
          <w:sz w:val="26"/>
          <w:szCs w:val="26"/>
          <w:lang w:val="es-ES"/>
        </w:rPr>
        <w:t>ultraprocesados</w:t>
      </w:r>
      <w:proofErr w:type="spellEnd"/>
      <w:r w:rsidRPr="00C67536">
        <w:rPr>
          <w:rFonts w:cs="Arial"/>
          <w:i/>
          <w:iCs/>
          <w:sz w:val="26"/>
          <w:szCs w:val="26"/>
          <w:lang w:val="es-ES"/>
        </w:rPr>
        <w:t xml:space="preserve"> que, además de contener cantidades excesivas de nutrientes críticos, están asociados a una menor ingesta de nutrientes positivos como vitaminas, minerales, proteína y fibra. En consecuencia, aunque los sistemas de advertencia nutricionales en el etiquetado frontal hacen énfasis en las cantidades excesivas de nutrientes críticos, es más probable que los consumidores aumenten su ingesta de nutrientes positivos y a la vez eviten consumir cantidades excesivas de azúcares, grasas totales, grasas saturadas, grasas trans y sodio a medida que mejoran sus decisiones de compra con base en las advertencias nutricionales de la etiqueta […]”.</w:t>
      </w:r>
      <w:r w:rsidRPr="00C67536">
        <w:rPr>
          <w:rStyle w:val="FootnoteReference"/>
          <w:rFonts w:cs="Arial"/>
          <w:i/>
          <w:iCs/>
          <w:sz w:val="26"/>
          <w:szCs w:val="26"/>
          <w:lang w:val="es-ES"/>
        </w:rPr>
        <w:footnoteReference w:id="57"/>
      </w:r>
    </w:p>
    <w:p w14:paraId="3D965C7D" w14:textId="77777777" w:rsidR="00901BE7" w:rsidRPr="00C67536" w:rsidRDefault="00901BE7" w:rsidP="00901BE7">
      <w:pPr>
        <w:pStyle w:val="corte4fondo"/>
        <w:ind w:firstLine="0"/>
        <w:rPr>
          <w:rFonts w:cs="Arial"/>
          <w:sz w:val="28"/>
          <w:szCs w:val="28"/>
        </w:rPr>
      </w:pPr>
    </w:p>
    <w:p w14:paraId="254D036D" w14:textId="77777777" w:rsidR="00901BE7" w:rsidRPr="00C67536" w:rsidRDefault="00901BE7" w:rsidP="00901BE7">
      <w:pPr>
        <w:pStyle w:val="corte4fondo"/>
        <w:numPr>
          <w:ilvl w:val="0"/>
          <w:numId w:val="15"/>
        </w:numPr>
        <w:ind w:left="0" w:hanging="567"/>
        <w:rPr>
          <w:rFonts w:cs="Arial"/>
          <w:sz w:val="28"/>
          <w:szCs w:val="28"/>
        </w:rPr>
      </w:pPr>
      <w:r w:rsidRPr="00C67536">
        <w:rPr>
          <w:rFonts w:cs="Arial"/>
          <w:sz w:val="28"/>
          <w:szCs w:val="28"/>
          <w:lang w:val="es-ES"/>
        </w:rPr>
        <w:t xml:space="preserve">Lo anterior permite constatar que el etiquetado frontal de advertencia resulta ser la herramienta más efectiva y rápida para lograr el fin pretendido por la norma, sin que exista una intervención mayor de la que pudiera tener las otras dos opciones, puesto que en cualquier caso la incorporación de un etiquetado frontal representa la misma carga administrativa para los productores y comercializadores de alimentos y bebidas preenvasados, quienes tendrían que proporcionar la información nutrimental simplificada de sus productos.  </w:t>
      </w:r>
    </w:p>
    <w:p w14:paraId="272FD89A" w14:textId="77777777" w:rsidR="00901BE7" w:rsidRPr="00C67536" w:rsidRDefault="00901BE7" w:rsidP="00901BE7">
      <w:pPr>
        <w:pStyle w:val="corte4fondo"/>
        <w:ind w:firstLine="0"/>
        <w:rPr>
          <w:rFonts w:cs="Arial"/>
          <w:sz w:val="28"/>
          <w:szCs w:val="28"/>
        </w:rPr>
      </w:pPr>
    </w:p>
    <w:p w14:paraId="39155913" w14:textId="77777777" w:rsidR="00A0035B" w:rsidRPr="00C67536" w:rsidRDefault="00901BE7" w:rsidP="00A0035B">
      <w:pPr>
        <w:pStyle w:val="corte4fondo"/>
        <w:numPr>
          <w:ilvl w:val="0"/>
          <w:numId w:val="15"/>
        </w:numPr>
        <w:ind w:left="0" w:hanging="567"/>
        <w:rPr>
          <w:rFonts w:cs="Arial"/>
          <w:sz w:val="28"/>
          <w:szCs w:val="28"/>
        </w:rPr>
      </w:pPr>
      <w:r w:rsidRPr="00C67536">
        <w:rPr>
          <w:rFonts w:cs="Arial"/>
          <w:sz w:val="28"/>
          <w:szCs w:val="28"/>
          <w:lang w:val="es-ES"/>
        </w:rPr>
        <w:t>De ahí que, en la especie, se cumple con la grada de la necesidad, que exige la metodología de estudio que nos ocupa.</w:t>
      </w:r>
    </w:p>
    <w:p w14:paraId="0306F16B" w14:textId="77777777" w:rsidR="00A0035B" w:rsidRPr="00C67536" w:rsidRDefault="00A0035B" w:rsidP="00A0035B">
      <w:pPr>
        <w:pStyle w:val="ListParagraph"/>
        <w:rPr>
          <w:rFonts w:ascii="Arial" w:hAnsi="Arial" w:cs="Arial"/>
          <w:sz w:val="28"/>
          <w:szCs w:val="28"/>
          <w:lang w:val="es-ES"/>
        </w:rPr>
      </w:pPr>
    </w:p>
    <w:p w14:paraId="4B35501C" w14:textId="77777777" w:rsidR="00747061" w:rsidRPr="00C67536" w:rsidRDefault="00A0035B" w:rsidP="00747061">
      <w:pPr>
        <w:pStyle w:val="corte4fondo"/>
        <w:numPr>
          <w:ilvl w:val="0"/>
          <w:numId w:val="15"/>
        </w:numPr>
        <w:ind w:left="0" w:hanging="567"/>
        <w:rPr>
          <w:rFonts w:cs="Arial"/>
          <w:sz w:val="28"/>
          <w:szCs w:val="28"/>
        </w:rPr>
      </w:pPr>
      <w:r w:rsidRPr="00C67536">
        <w:rPr>
          <w:rFonts w:cs="Arial"/>
          <w:sz w:val="28"/>
          <w:szCs w:val="28"/>
          <w:lang w:val="es-ES"/>
        </w:rPr>
        <w:t xml:space="preserve">Así, la función del sistema </w:t>
      </w:r>
      <w:r w:rsidR="00901BE7" w:rsidRPr="00C67536">
        <w:rPr>
          <w:rFonts w:cs="Arial"/>
          <w:sz w:val="28"/>
          <w:szCs w:val="28"/>
          <w:lang w:val="es-ES"/>
        </w:rPr>
        <w:t xml:space="preserve">de advertencia es la de identificar productos que contienen cantidades excesivas de nutrientes críticos como azúcares, grasas totales, grasas saturadas, grasas trans y sodio; y como consecuencia, inhibir el consumo de aquellos productos nocivos para la salud; no así, la de proporcionar información sobre nutrientes o atributos positivos. </w:t>
      </w:r>
    </w:p>
    <w:p w14:paraId="574F2A65" w14:textId="77777777" w:rsidR="00747061" w:rsidRPr="00C67536" w:rsidRDefault="00747061" w:rsidP="00747061">
      <w:pPr>
        <w:pStyle w:val="ListParagraph"/>
        <w:rPr>
          <w:rFonts w:ascii="Arial" w:hAnsi="Arial" w:cs="Arial"/>
          <w:sz w:val="28"/>
          <w:szCs w:val="28"/>
          <w:lang w:val="es-ES"/>
        </w:rPr>
      </w:pPr>
    </w:p>
    <w:p w14:paraId="10B29B46" w14:textId="77777777" w:rsidR="00A54A32" w:rsidRPr="00C67536" w:rsidRDefault="00747061" w:rsidP="00A54A32">
      <w:pPr>
        <w:pStyle w:val="corte4fondo"/>
        <w:numPr>
          <w:ilvl w:val="0"/>
          <w:numId w:val="15"/>
        </w:numPr>
        <w:ind w:left="0" w:hanging="567"/>
        <w:rPr>
          <w:rFonts w:cs="Arial"/>
          <w:sz w:val="28"/>
          <w:szCs w:val="28"/>
        </w:rPr>
      </w:pPr>
      <w:r w:rsidRPr="00C67536">
        <w:rPr>
          <w:rFonts w:cs="Arial"/>
          <w:sz w:val="28"/>
          <w:szCs w:val="28"/>
          <w:lang w:val="es-ES"/>
        </w:rPr>
        <w:t>Lo que de ninguna manera significa una mayor carga administrativa (o interferencia en su derecho) de la que podrían tener los productores y comercializadores de alimentos y bebidas preenvasados, en caso de el legislador hubiera incorporado al entramado legal un etiquetado frontal diferente. Esto, si se toma en consideración que de cualquier forma tendrían que proporcionar la información sobre nutrientes o atributos positivos de sus productos, en aras de cumplir con el fin de la norma y de garantizar el derecho a la protección de la salud.</w:t>
      </w:r>
    </w:p>
    <w:p w14:paraId="2EFB847A" w14:textId="77777777" w:rsidR="00A54A32" w:rsidRPr="00C67536" w:rsidRDefault="00A54A32" w:rsidP="00A54A32">
      <w:pPr>
        <w:pStyle w:val="ListParagraph"/>
        <w:rPr>
          <w:sz w:val="28"/>
          <w:szCs w:val="28"/>
          <w:lang w:val="es-ES"/>
        </w:rPr>
      </w:pPr>
    </w:p>
    <w:p w14:paraId="78A677EC" w14:textId="77777777" w:rsidR="00AE1374" w:rsidRPr="00C67536" w:rsidRDefault="00A54A32" w:rsidP="00AE1374">
      <w:pPr>
        <w:pStyle w:val="corte4fondo"/>
        <w:numPr>
          <w:ilvl w:val="0"/>
          <w:numId w:val="15"/>
        </w:numPr>
        <w:ind w:left="0" w:hanging="567"/>
        <w:rPr>
          <w:rFonts w:cs="Arial"/>
          <w:sz w:val="28"/>
          <w:szCs w:val="28"/>
        </w:rPr>
      </w:pPr>
      <w:r w:rsidRPr="00C67536">
        <w:rPr>
          <w:rFonts w:cs="Arial"/>
          <w:sz w:val="28"/>
          <w:szCs w:val="28"/>
          <w:lang w:val="es-ES"/>
        </w:rPr>
        <w:t xml:space="preserve">A partir de lo anterior, resultan </w:t>
      </w:r>
      <w:r w:rsidRPr="00C67536">
        <w:rPr>
          <w:rFonts w:cs="Arial"/>
          <w:b/>
          <w:bCs/>
          <w:sz w:val="28"/>
          <w:szCs w:val="28"/>
          <w:lang w:val="es-ES"/>
        </w:rPr>
        <w:t xml:space="preserve">inoperantes </w:t>
      </w:r>
      <w:r w:rsidRPr="00C67536">
        <w:rPr>
          <w:rFonts w:cs="Arial"/>
          <w:sz w:val="28"/>
          <w:szCs w:val="28"/>
          <w:lang w:val="es-ES"/>
        </w:rPr>
        <w:t xml:space="preserve">todas aquellas alegaciones de la quejosa en las que, básicamente, sostiene </w:t>
      </w:r>
      <w:r w:rsidRPr="00C67536">
        <w:rPr>
          <w:rFonts w:cs="Arial"/>
          <w:sz w:val="28"/>
          <w:szCs w:val="28"/>
        </w:rPr>
        <w:t>que existen diversos estudios que concluyen que los etiquetados que utilizan colores y los que utilizan semáforos de tránsito pudieran resultar medios alternativos más eficaces para proteger el fin constitucional, con una intervención en menor intensidad los derechos fundamentales que estima afectados; aunado a que el sistema de advertencia</w:t>
      </w:r>
      <w:r w:rsidRPr="00C67536">
        <w:rPr>
          <w:rFonts w:cs="Arial"/>
          <w:bCs/>
          <w:sz w:val="28"/>
          <w:szCs w:val="28"/>
          <w:lang w:val="es-ES"/>
        </w:rPr>
        <w:t xml:space="preserve"> es el más invasivo y negativo dentro de las posibilidades que tenía la autoridad</w:t>
      </w:r>
      <w:r w:rsidRPr="00C67536">
        <w:rPr>
          <w:rFonts w:cs="Arial"/>
          <w:sz w:val="28"/>
          <w:szCs w:val="28"/>
        </w:rPr>
        <w:t>,</w:t>
      </w:r>
      <w:r w:rsidR="00AE1374" w:rsidRPr="00C67536">
        <w:rPr>
          <w:rFonts w:cs="Arial"/>
          <w:sz w:val="28"/>
          <w:szCs w:val="28"/>
        </w:rPr>
        <w:t xml:space="preserve"> porque</w:t>
      </w:r>
      <w:r w:rsidRPr="00C67536">
        <w:rPr>
          <w:rFonts w:cs="Arial"/>
          <w:sz w:val="28"/>
          <w:szCs w:val="28"/>
        </w:rPr>
        <w:t xml:space="preserve"> propicia que se realice una valoración negativa del producto, inhibe el consumo de productos (aun de los alimentos que no tienen ningún sello) e influye en las decisiones de los consumidores, generando un efecto disuasivo.</w:t>
      </w:r>
    </w:p>
    <w:p w14:paraId="25539245" w14:textId="77777777" w:rsidR="00AE1374" w:rsidRPr="00C67536" w:rsidRDefault="00AE1374" w:rsidP="00AE1374">
      <w:pPr>
        <w:pStyle w:val="ListParagraph"/>
        <w:rPr>
          <w:rStyle w:val="Heading1Char"/>
          <w:rFonts w:ascii="Arial" w:hAnsi="Arial" w:cs="Arial"/>
          <w:bCs/>
          <w:color w:val="auto"/>
          <w:sz w:val="28"/>
          <w:szCs w:val="28"/>
          <w:lang w:val="es-ES"/>
        </w:rPr>
      </w:pPr>
    </w:p>
    <w:p w14:paraId="7F181978" w14:textId="42DBCE8F" w:rsidR="00A54A32" w:rsidRPr="00C67536" w:rsidRDefault="00A54A32" w:rsidP="00AE1374">
      <w:pPr>
        <w:pStyle w:val="corte4fondo"/>
        <w:numPr>
          <w:ilvl w:val="0"/>
          <w:numId w:val="15"/>
        </w:numPr>
        <w:ind w:left="0" w:hanging="567"/>
        <w:rPr>
          <w:rStyle w:val="Heading1Char"/>
          <w:rFonts w:ascii="Arial" w:eastAsia="Times New Roman" w:hAnsi="Arial" w:cs="Arial"/>
          <w:color w:val="auto"/>
          <w:sz w:val="28"/>
          <w:szCs w:val="28"/>
        </w:rPr>
      </w:pPr>
      <w:r w:rsidRPr="00C67536">
        <w:rPr>
          <w:rStyle w:val="Heading1Char"/>
          <w:rFonts w:ascii="Arial" w:hAnsi="Arial" w:cs="Arial"/>
          <w:bCs/>
          <w:color w:val="auto"/>
          <w:sz w:val="28"/>
          <w:szCs w:val="28"/>
          <w:lang w:val="es-ES"/>
        </w:rPr>
        <w:t xml:space="preserve">Ello es así, pues como se dijo, en el caso concreto el legislador no está obligado a usar los mejores medios imaginables para conseguir la finalidad constitucionalmente </w:t>
      </w:r>
      <w:r w:rsidR="003F7990" w:rsidRPr="00C67536">
        <w:rPr>
          <w:rStyle w:val="Heading1Char"/>
          <w:rFonts w:ascii="Arial" w:hAnsi="Arial" w:cs="Arial"/>
          <w:bCs/>
          <w:color w:val="auto"/>
          <w:sz w:val="28"/>
          <w:szCs w:val="28"/>
          <w:lang w:val="es-ES"/>
        </w:rPr>
        <w:t>valida</w:t>
      </w:r>
      <w:r w:rsidRPr="00C67536">
        <w:rPr>
          <w:rStyle w:val="Heading1Char"/>
          <w:rFonts w:ascii="Arial" w:hAnsi="Arial" w:cs="Arial"/>
          <w:bCs/>
          <w:color w:val="auto"/>
          <w:sz w:val="28"/>
          <w:szCs w:val="28"/>
          <w:lang w:val="es-ES"/>
        </w:rPr>
        <w:t>, sino que únicamente debe adoptar aquél que sea útil para su consecución y no sea desproporcional.</w:t>
      </w:r>
    </w:p>
    <w:p w14:paraId="67E46471" w14:textId="77777777" w:rsidR="00A54A32" w:rsidRPr="00C67536" w:rsidRDefault="00A54A32" w:rsidP="003F7990">
      <w:pPr>
        <w:pStyle w:val="corte4fondo"/>
        <w:ind w:firstLine="0"/>
        <w:rPr>
          <w:rFonts w:cs="Arial"/>
          <w:sz w:val="28"/>
          <w:szCs w:val="28"/>
        </w:rPr>
      </w:pPr>
    </w:p>
    <w:p w14:paraId="130E9EA7" w14:textId="77777777" w:rsidR="00AF43BF" w:rsidRPr="00C67536" w:rsidRDefault="00AF43BF" w:rsidP="00AF43BF">
      <w:pPr>
        <w:pStyle w:val="ListParagraph"/>
        <w:rPr>
          <w:rFonts w:ascii="Arial" w:hAnsi="Arial" w:cs="Arial"/>
          <w:b/>
          <w:sz w:val="28"/>
          <w:szCs w:val="28"/>
        </w:rPr>
      </w:pPr>
    </w:p>
    <w:p w14:paraId="247263C2" w14:textId="71FB69CB" w:rsidR="002A28BF" w:rsidRPr="00C67536" w:rsidRDefault="00A433F1" w:rsidP="002A28BF">
      <w:pPr>
        <w:pStyle w:val="corte4fondo"/>
        <w:numPr>
          <w:ilvl w:val="0"/>
          <w:numId w:val="15"/>
        </w:numPr>
        <w:ind w:left="0" w:hanging="567"/>
        <w:rPr>
          <w:rFonts w:cs="Arial"/>
          <w:sz w:val="28"/>
          <w:szCs w:val="28"/>
        </w:rPr>
      </w:pPr>
      <w:r w:rsidRPr="00C67536">
        <w:rPr>
          <w:rFonts w:cs="Arial"/>
          <w:b/>
          <w:sz w:val="28"/>
          <w:szCs w:val="28"/>
        </w:rPr>
        <w:t>Cuarta etapa del test de proporcionalidad</w:t>
      </w:r>
      <w:r w:rsidR="0098078F" w:rsidRPr="00C67536">
        <w:rPr>
          <w:rFonts w:cs="Arial"/>
          <w:b/>
          <w:sz w:val="28"/>
          <w:szCs w:val="28"/>
        </w:rPr>
        <w:t xml:space="preserve">. </w:t>
      </w:r>
      <w:r w:rsidR="002A28BF" w:rsidRPr="00C67536">
        <w:rPr>
          <w:rFonts w:cs="Arial"/>
          <w:sz w:val="28"/>
          <w:szCs w:val="28"/>
        </w:rPr>
        <w:t>Finalmente, por lo que se refiere a la ponderación o proporcionalidad en sentido estricto de la medida impositiva que se analiza, también debe señalarse que se cumple, en atención a que existe una correspondencia proporcional mínima entre el medio elegido y el fin buscado.</w:t>
      </w:r>
    </w:p>
    <w:p w14:paraId="5369C32C" w14:textId="77777777" w:rsidR="002A28BF" w:rsidRPr="00C67536" w:rsidRDefault="002A28BF" w:rsidP="002A28BF">
      <w:pPr>
        <w:pStyle w:val="ListParagraph"/>
        <w:rPr>
          <w:rFonts w:ascii="Arial" w:hAnsi="Arial" w:cs="Arial"/>
          <w:sz w:val="28"/>
          <w:szCs w:val="28"/>
        </w:rPr>
      </w:pPr>
    </w:p>
    <w:p w14:paraId="7BD2517D" w14:textId="77777777" w:rsidR="002A28BF" w:rsidRPr="00C67536" w:rsidRDefault="002A28BF" w:rsidP="002A28BF">
      <w:pPr>
        <w:pStyle w:val="corte4fondo"/>
        <w:numPr>
          <w:ilvl w:val="0"/>
          <w:numId w:val="15"/>
        </w:numPr>
        <w:ind w:left="0" w:hanging="567"/>
        <w:rPr>
          <w:rFonts w:cs="Arial"/>
          <w:sz w:val="28"/>
          <w:szCs w:val="28"/>
        </w:rPr>
      </w:pPr>
      <w:r w:rsidRPr="00C67536">
        <w:rPr>
          <w:rFonts w:cs="Arial"/>
          <w:sz w:val="28"/>
          <w:szCs w:val="28"/>
        </w:rPr>
        <w:t xml:space="preserve">Ello es así, pues atendiendo a las ventajas y desventajas que produce la medida implementada por el legislador, se advierte que dentro de las primeras permite que los consumidores puedan realizar elecciones más saludables a partir de identificar de una manera fácil y rápida aquellos productos </w:t>
      </w:r>
      <w:r w:rsidRPr="00C67536">
        <w:rPr>
          <w:rFonts w:cs="Arial"/>
          <w:sz w:val="28"/>
          <w:szCs w:val="28"/>
          <w:lang w:val="es-ES"/>
        </w:rPr>
        <w:t xml:space="preserve">que contienen cantidades excesivas de nutrientes críticos como azúcares, grasas saturadas, grasas trans y sodio. Lo cual, contribuye a paliar el fenómeno de la obesidad, como el principal factor de riesgo para el desarrollo de las enfermedades no trasmisibles (ENT), como la diabetes y las enfermedades cardiovasculares, mismas que constituyen las principales causas de mortalidad en México.  </w:t>
      </w:r>
    </w:p>
    <w:p w14:paraId="4E8D31CA" w14:textId="77777777" w:rsidR="002A28BF" w:rsidRPr="00C67536" w:rsidRDefault="002A28BF" w:rsidP="002A28BF">
      <w:pPr>
        <w:pStyle w:val="ListParagraph"/>
        <w:rPr>
          <w:rFonts w:ascii="Arial" w:hAnsi="Arial" w:cs="Arial"/>
          <w:sz w:val="28"/>
          <w:szCs w:val="28"/>
        </w:rPr>
      </w:pPr>
    </w:p>
    <w:p w14:paraId="0E59A8A5" w14:textId="77777777" w:rsidR="002A28BF" w:rsidRPr="00C67536" w:rsidRDefault="002A28BF" w:rsidP="002A28BF">
      <w:pPr>
        <w:pStyle w:val="corte4fondo"/>
        <w:numPr>
          <w:ilvl w:val="0"/>
          <w:numId w:val="15"/>
        </w:numPr>
        <w:ind w:left="0" w:hanging="567"/>
        <w:rPr>
          <w:rFonts w:cs="Arial"/>
          <w:sz w:val="28"/>
          <w:szCs w:val="28"/>
        </w:rPr>
      </w:pPr>
      <w:r w:rsidRPr="00C67536">
        <w:rPr>
          <w:rFonts w:cs="Arial"/>
          <w:sz w:val="28"/>
          <w:szCs w:val="28"/>
        </w:rPr>
        <w:t xml:space="preserve">Dentro de las segundas, es de considerar las cargas administrativas y económicas que pudieran generar en los productores y comercializadoras de productos industrializados, el hecho de tener que incorporar a sus productos un etiquetado de advertencia para </w:t>
      </w:r>
      <w:r w:rsidRPr="00C67536">
        <w:rPr>
          <w:rFonts w:cs="Arial"/>
          <w:sz w:val="28"/>
          <w:szCs w:val="28"/>
          <w:lang w:val="es-ES"/>
        </w:rPr>
        <w:t>identificar productos que contienen cantidades excesivas de nutrientes críticos.</w:t>
      </w:r>
    </w:p>
    <w:p w14:paraId="20A76BFA" w14:textId="77777777" w:rsidR="002A28BF" w:rsidRPr="00C67536" w:rsidRDefault="002A28BF" w:rsidP="002A28BF">
      <w:pPr>
        <w:pStyle w:val="ListParagraph"/>
        <w:rPr>
          <w:rFonts w:ascii="Arial" w:hAnsi="Arial" w:cs="Arial"/>
          <w:sz w:val="28"/>
          <w:szCs w:val="28"/>
        </w:rPr>
      </w:pPr>
    </w:p>
    <w:p w14:paraId="7375A0B5" w14:textId="77777777" w:rsidR="002A28BF" w:rsidRPr="00C67536" w:rsidRDefault="002A28BF" w:rsidP="002A28BF">
      <w:pPr>
        <w:pStyle w:val="corte4fondo"/>
        <w:numPr>
          <w:ilvl w:val="0"/>
          <w:numId w:val="15"/>
        </w:numPr>
        <w:ind w:left="0" w:hanging="567"/>
        <w:rPr>
          <w:rFonts w:cs="Arial"/>
          <w:sz w:val="28"/>
          <w:szCs w:val="28"/>
        </w:rPr>
      </w:pPr>
      <w:r w:rsidRPr="00C67536">
        <w:rPr>
          <w:rFonts w:cs="Arial"/>
          <w:sz w:val="28"/>
          <w:szCs w:val="28"/>
        </w:rPr>
        <w:t xml:space="preserve">Sin embargo, estas desventajas no son de tal entidad ni se encuentran por encima de la importancia de la realización de la finalidad (mediata e inmediata) de la medida analizada. </w:t>
      </w:r>
      <w:proofErr w:type="gramStart"/>
      <w:r w:rsidRPr="00C67536">
        <w:rPr>
          <w:rFonts w:cs="Arial"/>
          <w:sz w:val="28"/>
          <w:szCs w:val="28"/>
        </w:rPr>
        <w:t>Dicho</w:t>
      </w:r>
      <w:proofErr w:type="gramEnd"/>
      <w:r w:rsidRPr="00C67536">
        <w:rPr>
          <w:rFonts w:cs="Arial"/>
          <w:sz w:val="28"/>
          <w:szCs w:val="28"/>
        </w:rPr>
        <w:t xml:space="preserve"> en otros términos, las ventajas que se obtienen con la intervención del Estado justifican los sacrificios o desventajas que la misma ocasiona.</w:t>
      </w:r>
    </w:p>
    <w:p w14:paraId="02A34654" w14:textId="77777777" w:rsidR="002A28BF" w:rsidRPr="00C67536" w:rsidRDefault="002A28BF" w:rsidP="002A28BF">
      <w:pPr>
        <w:pStyle w:val="ListParagraph"/>
        <w:rPr>
          <w:rFonts w:ascii="Arial" w:hAnsi="Arial" w:cs="Arial"/>
          <w:sz w:val="28"/>
          <w:szCs w:val="28"/>
          <w:lang w:val="es-ES"/>
        </w:rPr>
      </w:pPr>
    </w:p>
    <w:p w14:paraId="1CC42443" w14:textId="77777777" w:rsidR="00503492" w:rsidRPr="00C67536" w:rsidRDefault="002A28BF" w:rsidP="00503492">
      <w:pPr>
        <w:pStyle w:val="corte4fondo"/>
        <w:numPr>
          <w:ilvl w:val="0"/>
          <w:numId w:val="15"/>
        </w:numPr>
        <w:ind w:left="0" w:hanging="567"/>
        <w:rPr>
          <w:rFonts w:cs="Arial"/>
          <w:sz w:val="28"/>
          <w:szCs w:val="28"/>
        </w:rPr>
      </w:pPr>
      <w:r w:rsidRPr="00C67536">
        <w:rPr>
          <w:rFonts w:cs="Arial"/>
          <w:sz w:val="28"/>
          <w:szCs w:val="28"/>
          <w:lang w:val="es-ES"/>
        </w:rPr>
        <w:t xml:space="preserve">Así las cosas, se estima que la medida establecida por el legislador en los numerales combatidos se encuentra debidamente fundada y motivada, debido a que supera el test de proporcionalidad. </w:t>
      </w:r>
    </w:p>
    <w:p w14:paraId="7C3454D3" w14:textId="77777777" w:rsidR="00503492" w:rsidRPr="00C67536" w:rsidRDefault="00503492" w:rsidP="00503492">
      <w:pPr>
        <w:pStyle w:val="ListParagraph"/>
        <w:rPr>
          <w:rFonts w:ascii="Arial" w:hAnsi="Arial" w:cs="Arial"/>
          <w:sz w:val="28"/>
          <w:szCs w:val="28"/>
        </w:rPr>
      </w:pPr>
    </w:p>
    <w:p w14:paraId="36253695" w14:textId="77777777" w:rsidR="00503492" w:rsidRPr="00C67536" w:rsidRDefault="00503492" w:rsidP="00503492">
      <w:pPr>
        <w:pStyle w:val="corte4fondo"/>
        <w:numPr>
          <w:ilvl w:val="0"/>
          <w:numId w:val="15"/>
        </w:numPr>
        <w:ind w:left="0" w:hanging="567"/>
        <w:rPr>
          <w:rFonts w:cs="Arial"/>
          <w:sz w:val="28"/>
          <w:szCs w:val="28"/>
        </w:rPr>
      </w:pPr>
      <w:r w:rsidRPr="00C67536">
        <w:rPr>
          <w:rFonts w:cs="Arial"/>
          <w:sz w:val="28"/>
          <w:szCs w:val="28"/>
          <w:lang w:val="es-ES"/>
        </w:rPr>
        <w:t xml:space="preserve">A partir de lo anteriormente expuesto, deben calificarse de </w:t>
      </w:r>
      <w:r w:rsidRPr="00C67536">
        <w:rPr>
          <w:rFonts w:cs="Arial"/>
          <w:b/>
          <w:bCs/>
          <w:sz w:val="28"/>
          <w:szCs w:val="28"/>
          <w:lang w:val="es-ES"/>
        </w:rPr>
        <w:t>infundadas</w:t>
      </w:r>
      <w:r w:rsidRPr="00C67536">
        <w:rPr>
          <w:rFonts w:cs="Arial"/>
          <w:sz w:val="28"/>
          <w:szCs w:val="28"/>
          <w:lang w:val="es-ES"/>
        </w:rPr>
        <w:t xml:space="preserve"> las aseveraciones de la quejosa, en las que, sostiene, básicamente, que la medida impuesta por el legislador viola </w:t>
      </w:r>
      <w:r w:rsidRPr="00C67536">
        <w:rPr>
          <w:rFonts w:cs="Arial"/>
          <w:bCs/>
          <w:iCs/>
          <w:sz w:val="28"/>
          <w:szCs w:val="28"/>
          <w:lang w:val="es-MX"/>
        </w:rPr>
        <w:t>su libertad de trabajo, al prever como mecanismo de prevención un etiquetado que busca inhibir el consumo de productos preenvasados, en lugar de proporcionar información.</w:t>
      </w:r>
    </w:p>
    <w:p w14:paraId="4CABB869" w14:textId="77777777" w:rsidR="00503492" w:rsidRPr="00C67536" w:rsidRDefault="00503492" w:rsidP="00503492">
      <w:pPr>
        <w:pStyle w:val="ListParagraph"/>
        <w:rPr>
          <w:rFonts w:ascii="Arial" w:hAnsi="Arial" w:cs="Arial"/>
          <w:sz w:val="28"/>
          <w:szCs w:val="28"/>
          <w:lang w:val="es-ES"/>
        </w:rPr>
      </w:pPr>
    </w:p>
    <w:p w14:paraId="788675E0" w14:textId="77777777" w:rsidR="00503492" w:rsidRPr="00C67536" w:rsidRDefault="002A28BF" w:rsidP="00503492">
      <w:pPr>
        <w:pStyle w:val="corte4fondo"/>
        <w:numPr>
          <w:ilvl w:val="0"/>
          <w:numId w:val="15"/>
        </w:numPr>
        <w:ind w:left="0" w:hanging="567"/>
        <w:rPr>
          <w:rFonts w:cs="Arial"/>
          <w:sz w:val="28"/>
          <w:szCs w:val="28"/>
        </w:rPr>
      </w:pPr>
      <w:r w:rsidRPr="00C67536">
        <w:rPr>
          <w:rFonts w:cs="Arial"/>
          <w:sz w:val="28"/>
          <w:szCs w:val="28"/>
          <w:lang w:val="es-ES"/>
        </w:rPr>
        <w:t xml:space="preserve">Esto, porque como se pudo observar anteriormente, el hecho de que el etiquetado frontal de advertencia tenga como objetivo precisamente el identificar productos que contienen cantidades excesivas de nutrientes críticos como azúcares, grasas totales, grasas saturadas, grasas trans y sodio; y como consecuencia, inhibir el consumo de aquellos productos nocivos para la salud, no así, la de proporcionar información sobre nutrientes o atributos positivos. </w:t>
      </w:r>
    </w:p>
    <w:p w14:paraId="596516FF" w14:textId="77777777" w:rsidR="00503492" w:rsidRPr="00C67536" w:rsidRDefault="00503492" w:rsidP="00503492">
      <w:pPr>
        <w:pStyle w:val="ListParagraph"/>
        <w:rPr>
          <w:rFonts w:ascii="Arial" w:hAnsi="Arial" w:cs="Arial"/>
          <w:sz w:val="28"/>
          <w:szCs w:val="28"/>
          <w:lang w:val="es-ES"/>
        </w:rPr>
      </w:pPr>
    </w:p>
    <w:p w14:paraId="216E3B1E" w14:textId="77777777" w:rsidR="00503492" w:rsidRPr="00C67536" w:rsidRDefault="002A28BF" w:rsidP="00503492">
      <w:pPr>
        <w:pStyle w:val="corte4fondo"/>
        <w:numPr>
          <w:ilvl w:val="0"/>
          <w:numId w:val="15"/>
        </w:numPr>
        <w:ind w:left="0" w:hanging="567"/>
        <w:rPr>
          <w:rFonts w:cs="Arial"/>
          <w:sz w:val="28"/>
          <w:szCs w:val="28"/>
        </w:rPr>
      </w:pPr>
      <w:r w:rsidRPr="00C67536">
        <w:rPr>
          <w:rFonts w:cs="Arial"/>
          <w:sz w:val="28"/>
          <w:szCs w:val="28"/>
          <w:lang w:val="es-ES"/>
        </w:rPr>
        <w:t xml:space="preserve">De ninguna manera significa que las porciones normativas impugnadas vulneren la </w:t>
      </w:r>
      <w:r w:rsidRPr="00C67536">
        <w:rPr>
          <w:rFonts w:cs="Arial"/>
          <w:bCs/>
          <w:iCs/>
          <w:sz w:val="28"/>
          <w:szCs w:val="28"/>
        </w:rPr>
        <w:t>libertad de</w:t>
      </w:r>
      <w:r w:rsidR="00503492" w:rsidRPr="00C67536">
        <w:rPr>
          <w:rFonts w:cs="Arial"/>
          <w:bCs/>
          <w:iCs/>
          <w:sz w:val="28"/>
          <w:szCs w:val="28"/>
        </w:rPr>
        <w:t xml:space="preserve"> trabajo</w:t>
      </w:r>
      <w:r w:rsidRPr="00C67536">
        <w:rPr>
          <w:rFonts w:cs="Arial"/>
          <w:bCs/>
          <w:iCs/>
          <w:sz w:val="28"/>
          <w:szCs w:val="28"/>
        </w:rPr>
        <w:t xml:space="preserve"> de la parte quejosa, en la medida que, no se le impide dedicarse a la actividad que desee ni tampoco se le restringe su participación en el mercado en beneficio de quien ejerce la misma actividad. </w:t>
      </w:r>
    </w:p>
    <w:p w14:paraId="1CDEADE4" w14:textId="77777777" w:rsidR="00503492" w:rsidRPr="00C67536" w:rsidRDefault="00503492" w:rsidP="00503492">
      <w:pPr>
        <w:pStyle w:val="ListParagraph"/>
        <w:rPr>
          <w:rFonts w:ascii="Arial" w:hAnsi="Arial" w:cs="Arial"/>
          <w:bCs/>
          <w:iCs/>
          <w:sz w:val="28"/>
          <w:szCs w:val="28"/>
        </w:rPr>
      </w:pPr>
    </w:p>
    <w:p w14:paraId="2C77045D" w14:textId="45E947A4" w:rsidR="009B78AF" w:rsidRPr="00C67536" w:rsidRDefault="002A28BF" w:rsidP="00503492">
      <w:pPr>
        <w:pStyle w:val="corte4fondo"/>
        <w:numPr>
          <w:ilvl w:val="0"/>
          <w:numId w:val="15"/>
        </w:numPr>
        <w:ind w:left="0" w:hanging="567"/>
        <w:rPr>
          <w:rFonts w:cs="Arial"/>
          <w:sz w:val="28"/>
          <w:szCs w:val="28"/>
        </w:rPr>
      </w:pPr>
      <w:r w:rsidRPr="00C67536">
        <w:rPr>
          <w:rFonts w:cs="Arial"/>
          <w:bCs/>
          <w:iCs/>
          <w:sz w:val="28"/>
          <w:szCs w:val="28"/>
          <w:lang w:val="es-MX"/>
        </w:rPr>
        <w:t xml:space="preserve">Esto, porque con la regulación del etiquetado frontal de advertencia únicamente se generan mayores cargas administrativas </w:t>
      </w:r>
      <w:r w:rsidRPr="00C67536">
        <w:rPr>
          <w:rFonts w:cs="Arial"/>
          <w:sz w:val="28"/>
          <w:szCs w:val="28"/>
          <w:lang w:val="es-ES"/>
        </w:rPr>
        <w:t xml:space="preserve">de las que podrían tener los productores y comercializadores de alimentos y bebidas preenvasados, en el supuesto de que se hubiese mantenido el etiquetado frontal existente; y </w:t>
      </w:r>
      <w:r w:rsidRPr="00C67536">
        <w:rPr>
          <w:rFonts w:cs="Arial"/>
          <w:bCs/>
          <w:iCs/>
          <w:sz w:val="28"/>
          <w:szCs w:val="28"/>
          <w:lang w:val="es-MX"/>
        </w:rPr>
        <w:t>en todo caso, económicas. Las cuales se encuentran justificadas en un aspecto de mayor entidad como lo es la salud pública de la población.</w:t>
      </w:r>
    </w:p>
    <w:p w14:paraId="116DF4B8" w14:textId="77777777" w:rsidR="003E119F" w:rsidRPr="00C67536" w:rsidRDefault="003E119F" w:rsidP="003E119F">
      <w:pPr>
        <w:pStyle w:val="ListParagraph"/>
        <w:rPr>
          <w:rFonts w:cs="Arial"/>
          <w:sz w:val="28"/>
          <w:szCs w:val="28"/>
          <w:lang w:val="es-ES"/>
        </w:rPr>
      </w:pPr>
    </w:p>
    <w:p w14:paraId="520B54E6" w14:textId="77777777" w:rsidR="00A2231F" w:rsidRPr="00C67536" w:rsidRDefault="0098078F" w:rsidP="00B144AE">
      <w:pPr>
        <w:pStyle w:val="corte4fondo"/>
        <w:numPr>
          <w:ilvl w:val="0"/>
          <w:numId w:val="15"/>
        </w:numPr>
        <w:ind w:left="0" w:hanging="567"/>
        <w:rPr>
          <w:rFonts w:cs="Arial"/>
          <w:sz w:val="28"/>
          <w:szCs w:val="28"/>
        </w:rPr>
      </w:pPr>
      <w:r w:rsidRPr="00C67536">
        <w:rPr>
          <w:rFonts w:cs="Arial"/>
          <w:sz w:val="28"/>
          <w:szCs w:val="28"/>
          <w:lang w:val="es-ES"/>
        </w:rPr>
        <w:t>Por tanto, el sistema de etiquetado frontal de advertencia, previsto en el artículo 212 de la Ley General de Salud, es constitucional al superar el test de proporcionalidad respecto a</w:t>
      </w:r>
      <w:r w:rsidR="007C2F59" w:rsidRPr="00C67536">
        <w:rPr>
          <w:rFonts w:cs="Arial"/>
          <w:sz w:val="28"/>
          <w:szCs w:val="28"/>
          <w:lang w:val="es-ES"/>
        </w:rPr>
        <w:t>l derecho de libertad de trabajo de la quejosa</w:t>
      </w:r>
      <w:r w:rsidRPr="00C67536">
        <w:rPr>
          <w:rFonts w:cs="Arial"/>
          <w:sz w:val="28"/>
          <w:szCs w:val="28"/>
          <w:lang w:val="es-ES"/>
        </w:rPr>
        <w:t>.</w:t>
      </w:r>
    </w:p>
    <w:p w14:paraId="17C4EC2D" w14:textId="77777777" w:rsidR="00A2231F" w:rsidRPr="00C67536" w:rsidRDefault="00A2231F" w:rsidP="00A2231F">
      <w:pPr>
        <w:pStyle w:val="ListParagraph"/>
        <w:rPr>
          <w:rFonts w:cs="Arial"/>
          <w:sz w:val="28"/>
          <w:szCs w:val="28"/>
        </w:rPr>
      </w:pPr>
    </w:p>
    <w:p w14:paraId="134D986E" w14:textId="31334960" w:rsidR="00A2231F" w:rsidRPr="00C67536" w:rsidRDefault="0098078F" w:rsidP="00B144AE">
      <w:pPr>
        <w:pStyle w:val="corte4fondo"/>
        <w:numPr>
          <w:ilvl w:val="0"/>
          <w:numId w:val="15"/>
        </w:numPr>
        <w:ind w:left="0" w:hanging="567"/>
        <w:rPr>
          <w:rFonts w:cs="Arial"/>
          <w:sz w:val="28"/>
          <w:szCs w:val="28"/>
        </w:rPr>
      </w:pPr>
      <w:r w:rsidRPr="00C67536">
        <w:rPr>
          <w:rFonts w:cs="Arial"/>
          <w:sz w:val="28"/>
          <w:szCs w:val="28"/>
        </w:rPr>
        <w:t xml:space="preserve">Por otra parte, es verdad que, con el sistema de etiquetado frontal de advertencia, se coloca a los productos que comercializan las quejosas una </w:t>
      </w:r>
      <w:r w:rsidR="00920112" w:rsidRPr="00C67536">
        <w:rPr>
          <w:rFonts w:cs="Arial"/>
          <w:sz w:val="28"/>
          <w:szCs w:val="28"/>
        </w:rPr>
        <w:t>leyenda</w:t>
      </w:r>
      <w:r w:rsidRPr="00C67536">
        <w:rPr>
          <w:rFonts w:cs="Arial"/>
          <w:sz w:val="28"/>
          <w:szCs w:val="28"/>
        </w:rPr>
        <w:t xml:space="preserve"> para que las personas decidan si consumen el producto, pero ello, no se encuentra fuera de su ámbito de actuación cuando tienen la obligación de hacer efectivos los derechos a la alimentación nutritiva, suficiente y de calidad, y a la protección de la salud de la población. </w:t>
      </w:r>
    </w:p>
    <w:p w14:paraId="22DD815D" w14:textId="77777777" w:rsidR="00A2231F" w:rsidRPr="00C67536" w:rsidRDefault="00A2231F" w:rsidP="00A2231F">
      <w:pPr>
        <w:pStyle w:val="ListParagraph"/>
        <w:rPr>
          <w:rFonts w:cs="Arial"/>
          <w:sz w:val="28"/>
          <w:szCs w:val="28"/>
        </w:rPr>
      </w:pPr>
    </w:p>
    <w:p w14:paraId="52954F12" w14:textId="77777777" w:rsidR="00A2231F" w:rsidRPr="00C67536" w:rsidRDefault="0098078F" w:rsidP="00B144AE">
      <w:pPr>
        <w:pStyle w:val="corte4fondo"/>
        <w:numPr>
          <w:ilvl w:val="0"/>
          <w:numId w:val="15"/>
        </w:numPr>
        <w:ind w:left="0" w:hanging="567"/>
        <w:rPr>
          <w:rFonts w:cs="Arial"/>
          <w:sz w:val="28"/>
          <w:szCs w:val="28"/>
        </w:rPr>
      </w:pPr>
      <w:r w:rsidRPr="00C67536">
        <w:rPr>
          <w:rFonts w:cs="Arial"/>
          <w:sz w:val="28"/>
          <w:szCs w:val="28"/>
        </w:rPr>
        <w:t>Es más, ello en modo alguno implica que se califique a un alimento de "bueno" o "malo", ya que, con base en elementos técnicos y científicos, se busca incidir en los hábitos alimenticios de la población con la finalidad de cumplir los citados derechos, esto es, dar información al consumidor sobre los ingredientes que tienen en exceso los productos y que pueden causar un efecto nocivo a la salud, para que sean ellos quienes determinen su consumo.</w:t>
      </w:r>
    </w:p>
    <w:p w14:paraId="45073856" w14:textId="77777777" w:rsidR="00A2231F" w:rsidRPr="00C67536" w:rsidRDefault="00A2231F" w:rsidP="00A2231F">
      <w:pPr>
        <w:pStyle w:val="ListParagraph"/>
        <w:rPr>
          <w:rFonts w:cs="Arial"/>
          <w:sz w:val="28"/>
          <w:szCs w:val="28"/>
        </w:rPr>
      </w:pPr>
    </w:p>
    <w:p w14:paraId="20834E32" w14:textId="77777777" w:rsidR="00E06CFD" w:rsidRPr="00C67536" w:rsidRDefault="0098078F" w:rsidP="00B144AE">
      <w:pPr>
        <w:pStyle w:val="corte4fondo"/>
        <w:numPr>
          <w:ilvl w:val="0"/>
          <w:numId w:val="15"/>
        </w:numPr>
        <w:ind w:left="0" w:hanging="567"/>
        <w:rPr>
          <w:rFonts w:cs="Arial"/>
          <w:sz w:val="28"/>
          <w:szCs w:val="28"/>
        </w:rPr>
      </w:pPr>
      <w:r w:rsidRPr="00C67536">
        <w:rPr>
          <w:rFonts w:cs="Arial"/>
          <w:sz w:val="28"/>
          <w:szCs w:val="28"/>
        </w:rPr>
        <w:t>En tal contexto, la finalidad buscada con la implementación del sistema de etiquetado frontal de advertencia se encuentra por encima de las posibles ventajas competitivas de los productos que no contengan los sellos de advertencia.</w:t>
      </w:r>
    </w:p>
    <w:p w14:paraId="685B9AF8" w14:textId="77777777" w:rsidR="00E06CFD" w:rsidRPr="00C67536" w:rsidRDefault="00E06CFD" w:rsidP="00E06CFD">
      <w:pPr>
        <w:pStyle w:val="ListParagraph"/>
        <w:rPr>
          <w:rFonts w:cs="Arial"/>
          <w:sz w:val="28"/>
          <w:szCs w:val="28"/>
        </w:rPr>
      </w:pPr>
    </w:p>
    <w:p w14:paraId="535FA826" w14:textId="77777777" w:rsidR="00974241" w:rsidRPr="00C67536" w:rsidRDefault="0098078F" w:rsidP="00B144AE">
      <w:pPr>
        <w:pStyle w:val="corte4fondo"/>
        <w:numPr>
          <w:ilvl w:val="0"/>
          <w:numId w:val="15"/>
        </w:numPr>
        <w:ind w:left="0" w:hanging="567"/>
        <w:rPr>
          <w:rFonts w:cs="Arial"/>
          <w:sz w:val="28"/>
          <w:szCs w:val="28"/>
        </w:rPr>
      </w:pPr>
      <w:r w:rsidRPr="00C67536">
        <w:rPr>
          <w:rFonts w:cs="Arial"/>
          <w:sz w:val="28"/>
          <w:szCs w:val="28"/>
        </w:rPr>
        <w:t>Ello, porque la medida no impide la venta, compra y consumo de los alimentos preenvasados por la población en general, pero con las advertencias necesarias sobre la cantidad en exceso que contiene de determinados ingredientes críticos, de ahí que se traduce en una medida de protección al público consumidor (población) de dichos alimentos, quien será finalmente quien lo resienta en su alimentación y salud.</w:t>
      </w:r>
    </w:p>
    <w:p w14:paraId="17C29A77" w14:textId="77777777" w:rsidR="00974241" w:rsidRPr="00C67536" w:rsidRDefault="00974241" w:rsidP="00974241">
      <w:pPr>
        <w:pStyle w:val="ListParagraph"/>
        <w:rPr>
          <w:rFonts w:cs="Arial"/>
          <w:sz w:val="28"/>
          <w:szCs w:val="28"/>
        </w:rPr>
      </w:pPr>
    </w:p>
    <w:p w14:paraId="4CE8A3E8" w14:textId="77777777" w:rsidR="00974241" w:rsidRPr="00C67536" w:rsidRDefault="0098078F" w:rsidP="00B144AE">
      <w:pPr>
        <w:pStyle w:val="corte4fondo"/>
        <w:numPr>
          <w:ilvl w:val="0"/>
          <w:numId w:val="15"/>
        </w:numPr>
        <w:ind w:left="0" w:hanging="567"/>
        <w:rPr>
          <w:rFonts w:cs="Arial"/>
          <w:sz w:val="28"/>
          <w:szCs w:val="28"/>
        </w:rPr>
      </w:pPr>
      <w:r w:rsidRPr="00C67536">
        <w:rPr>
          <w:rFonts w:cs="Arial"/>
          <w:sz w:val="28"/>
          <w:szCs w:val="28"/>
        </w:rPr>
        <w:t>Además, entre los bienes jurídicos tutelados por el artículo 28 constitucional se encuentran los derechos del consumidor y de la sociedad, sin que ello implique que se trate de la única protección perseguida por la Constitución, pues también reconoce los relativos a la competencia y a la libre concurrencia, lo que es lógico pues en la medida en que exista un ambiente de competencia y libre concurrencia, el consumidor y la sociedad en general, como eslabones de una cadena de producción, se benefician al no ser afectados por prácticas monopólicas.</w:t>
      </w:r>
    </w:p>
    <w:p w14:paraId="05A871D0" w14:textId="77777777" w:rsidR="005C46DB" w:rsidRPr="00C67536" w:rsidRDefault="005C46DB" w:rsidP="005C46DB">
      <w:pPr>
        <w:pStyle w:val="corte4fondo"/>
        <w:ind w:firstLine="0"/>
        <w:rPr>
          <w:rFonts w:cs="Arial"/>
          <w:sz w:val="28"/>
          <w:szCs w:val="28"/>
        </w:rPr>
      </w:pPr>
    </w:p>
    <w:p w14:paraId="08804D90" w14:textId="77777777" w:rsidR="00BC7B1C" w:rsidRPr="00C67536" w:rsidRDefault="0098078F" w:rsidP="00B144AE">
      <w:pPr>
        <w:pStyle w:val="corte4fondo"/>
        <w:numPr>
          <w:ilvl w:val="0"/>
          <w:numId w:val="15"/>
        </w:numPr>
        <w:ind w:left="0" w:hanging="567"/>
        <w:rPr>
          <w:rFonts w:cs="Arial"/>
          <w:sz w:val="28"/>
          <w:szCs w:val="28"/>
        </w:rPr>
      </w:pPr>
      <w:r w:rsidRPr="00C67536">
        <w:rPr>
          <w:rFonts w:cs="Arial"/>
          <w:sz w:val="28"/>
          <w:szCs w:val="28"/>
        </w:rPr>
        <w:t>Por ello, dicho sistema no provoca un estigma contra los productos que elabora la quejosa ni generan una barrera de acceso, puesto que sólo establecen una medida preventiva con la finalidad de informar a los consumidores la cantidad de ingredientes nocivos para la salud que contiene el producto en exceso y pueden decidir de forma libre sobre su consumo.</w:t>
      </w:r>
    </w:p>
    <w:p w14:paraId="3D2C3CE4" w14:textId="77777777" w:rsidR="00BC7B1C" w:rsidRPr="00C67536" w:rsidRDefault="00BC7B1C" w:rsidP="00BC7B1C">
      <w:pPr>
        <w:pStyle w:val="ListParagraph"/>
        <w:rPr>
          <w:rFonts w:cs="Arial"/>
          <w:sz w:val="28"/>
          <w:szCs w:val="28"/>
        </w:rPr>
      </w:pPr>
    </w:p>
    <w:p w14:paraId="515CCAE2" w14:textId="4874FE26" w:rsidR="002D432F" w:rsidRPr="00C67536" w:rsidRDefault="00CD0382" w:rsidP="00B144AE">
      <w:pPr>
        <w:pStyle w:val="corte4fondo"/>
        <w:numPr>
          <w:ilvl w:val="0"/>
          <w:numId w:val="15"/>
        </w:numPr>
        <w:ind w:left="0" w:hanging="567"/>
        <w:rPr>
          <w:rFonts w:cs="Arial"/>
          <w:sz w:val="28"/>
          <w:szCs w:val="28"/>
        </w:rPr>
      </w:pPr>
      <w:r w:rsidRPr="00C67536">
        <w:rPr>
          <w:rFonts w:cs="Arial"/>
          <w:sz w:val="28"/>
          <w:szCs w:val="28"/>
        </w:rPr>
        <w:t>En</w:t>
      </w:r>
      <w:r w:rsidR="00BC7B1C" w:rsidRPr="00C67536">
        <w:rPr>
          <w:rFonts w:cs="Arial"/>
          <w:sz w:val="28"/>
          <w:szCs w:val="28"/>
        </w:rPr>
        <w:t xml:space="preserve"> conclusión, la norma impugnada cumple con el test de proporcionalidad, debido a que cumple con un </w:t>
      </w:r>
      <w:r w:rsidR="001251CE" w:rsidRPr="00C67536">
        <w:rPr>
          <w:rFonts w:cs="Arial"/>
          <w:sz w:val="28"/>
          <w:szCs w:val="28"/>
        </w:rPr>
        <w:t>fin constitucionalmente válid</w:t>
      </w:r>
      <w:r w:rsidR="003B5AB6" w:rsidRPr="00C67536">
        <w:rPr>
          <w:rFonts w:cs="Arial"/>
          <w:sz w:val="28"/>
          <w:szCs w:val="28"/>
        </w:rPr>
        <w:t xml:space="preserve">o, como es, </w:t>
      </w:r>
      <w:r w:rsidR="001251CE" w:rsidRPr="00C67536">
        <w:rPr>
          <w:rFonts w:cs="Arial"/>
          <w:sz w:val="28"/>
          <w:szCs w:val="28"/>
        </w:rPr>
        <w:t xml:space="preserve">implementar una medida </w:t>
      </w:r>
      <w:r w:rsidR="003B5AB6" w:rsidRPr="00C67536">
        <w:rPr>
          <w:rFonts w:cs="Arial"/>
          <w:sz w:val="28"/>
          <w:szCs w:val="28"/>
        </w:rPr>
        <w:t>que com</w:t>
      </w:r>
      <w:r w:rsidR="001251CE" w:rsidRPr="00C67536">
        <w:rPr>
          <w:rFonts w:cs="Arial"/>
          <w:sz w:val="28"/>
          <w:szCs w:val="28"/>
        </w:rPr>
        <w:t>bata el sobrepeso y la obesidad, finalidad inmediata que encuentra asidero en el artículo 4</w:t>
      </w:r>
      <w:r w:rsidR="002C4A22" w:rsidRPr="00C67536">
        <w:rPr>
          <w:rFonts w:cs="Arial"/>
          <w:sz w:val="28"/>
          <w:szCs w:val="28"/>
        </w:rPr>
        <w:t>º</w:t>
      </w:r>
      <w:r w:rsidR="001251CE" w:rsidRPr="00C67536">
        <w:rPr>
          <w:rFonts w:cs="Arial"/>
          <w:sz w:val="28"/>
          <w:szCs w:val="28"/>
        </w:rPr>
        <w:t>, párrafos tercero y cuarto, de la Constitución, ya que la finalidad mediata que se busca con dicha medida legislativa consiste en que el Estado garantice a toda persona el derecho a una alimentación nutritiva, suficiente y de calidad, además de que a través de esa medida el Estado busca hacer efectivo el derecho a la protección de la salud de la población.</w:t>
      </w:r>
    </w:p>
    <w:p w14:paraId="6FE02C25" w14:textId="77777777" w:rsidR="002D432F" w:rsidRPr="00C67536" w:rsidRDefault="002D432F" w:rsidP="002D432F">
      <w:pPr>
        <w:pStyle w:val="ListParagraph"/>
        <w:rPr>
          <w:rFonts w:ascii="Arial" w:hAnsi="Arial" w:cs="Arial"/>
          <w:sz w:val="28"/>
          <w:szCs w:val="28"/>
        </w:rPr>
      </w:pPr>
    </w:p>
    <w:p w14:paraId="6BA40417" w14:textId="639F2646" w:rsidR="002D432F" w:rsidRPr="00C67536" w:rsidRDefault="001251CE" w:rsidP="00B144AE">
      <w:pPr>
        <w:pStyle w:val="corte4fondo"/>
        <w:numPr>
          <w:ilvl w:val="0"/>
          <w:numId w:val="15"/>
        </w:numPr>
        <w:ind w:left="0" w:hanging="567"/>
        <w:rPr>
          <w:rFonts w:cs="Arial"/>
          <w:sz w:val="28"/>
          <w:szCs w:val="28"/>
        </w:rPr>
      </w:pPr>
      <w:r w:rsidRPr="00C67536">
        <w:rPr>
          <w:rFonts w:cs="Arial"/>
          <w:sz w:val="28"/>
          <w:szCs w:val="28"/>
        </w:rPr>
        <w:t>El medio elegido por el legislador resulta idóneo</w:t>
      </w:r>
      <w:r w:rsidR="00363889" w:rsidRPr="00C67536">
        <w:rPr>
          <w:rFonts w:cs="Arial"/>
          <w:sz w:val="28"/>
          <w:szCs w:val="28"/>
        </w:rPr>
        <w:t>,</w:t>
      </w:r>
      <w:r w:rsidRPr="00C67536">
        <w:rPr>
          <w:rFonts w:cs="Arial"/>
          <w:sz w:val="28"/>
          <w:szCs w:val="28"/>
        </w:rPr>
        <w:t xml:space="preserve"> atendiendo a</w:t>
      </w:r>
      <w:r w:rsidR="00363889" w:rsidRPr="00C67536">
        <w:rPr>
          <w:rFonts w:cs="Arial"/>
          <w:sz w:val="28"/>
          <w:szCs w:val="28"/>
        </w:rPr>
        <w:t xml:space="preserve"> q</w:t>
      </w:r>
      <w:r w:rsidR="00002037" w:rsidRPr="00C67536">
        <w:rPr>
          <w:rFonts w:cs="Arial"/>
          <w:sz w:val="28"/>
          <w:szCs w:val="28"/>
        </w:rPr>
        <w:t xml:space="preserve">ue </w:t>
      </w:r>
      <w:r w:rsidR="00363889" w:rsidRPr="00C67536">
        <w:rPr>
          <w:rFonts w:cs="Arial"/>
          <w:sz w:val="28"/>
          <w:szCs w:val="28"/>
        </w:rPr>
        <w:t>el sistema de etiquetado frontal</w:t>
      </w:r>
      <w:r w:rsidR="00002037" w:rsidRPr="00C67536">
        <w:rPr>
          <w:rFonts w:cs="Arial"/>
          <w:sz w:val="28"/>
          <w:szCs w:val="28"/>
        </w:rPr>
        <w:t xml:space="preserve"> de </w:t>
      </w:r>
      <w:r w:rsidR="00625B72" w:rsidRPr="00C67536">
        <w:rPr>
          <w:rFonts w:cs="Arial"/>
          <w:sz w:val="28"/>
          <w:szCs w:val="28"/>
        </w:rPr>
        <w:t>advertencia</w:t>
      </w:r>
      <w:r w:rsidR="00765763" w:rsidRPr="00C67536">
        <w:rPr>
          <w:rFonts w:cs="Arial"/>
          <w:sz w:val="28"/>
          <w:szCs w:val="28"/>
        </w:rPr>
        <w:t xml:space="preserve"> es eficaz</w:t>
      </w:r>
      <w:r w:rsidR="00002037" w:rsidRPr="00C67536">
        <w:rPr>
          <w:rFonts w:cs="Arial"/>
          <w:sz w:val="28"/>
          <w:szCs w:val="28"/>
        </w:rPr>
        <w:t xml:space="preserve"> para dar información</w:t>
      </w:r>
      <w:r w:rsidR="00765763" w:rsidRPr="00C67536">
        <w:rPr>
          <w:rFonts w:cs="Arial"/>
          <w:sz w:val="28"/>
          <w:szCs w:val="28"/>
        </w:rPr>
        <w:t xml:space="preserve"> al consumidor de manera veraz, rápida y clara, solo los ingredientes que tiene en exceso el producto</w:t>
      </w:r>
      <w:r w:rsidR="004728B6" w:rsidRPr="00C67536">
        <w:rPr>
          <w:rFonts w:cs="Arial"/>
          <w:sz w:val="28"/>
          <w:szCs w:val="28"/>
        </w:rPr>
        <w:t>, para que pueda decidir sobre su consumo, con lo que se pretende que la alimentación del consumidor sea</w:t>
      </w:r>
      <w:r w:rsidR="009F7989" w:rsidRPr="00C67536">
        <w:rPr>
          <w:rFonts w:cs="Arial"/>
          <w:sz w:val="28"/>
          <w:szCs w:val="28"/>
        </w:rPr>
        <w:t xml:space="preserve"> de calidad y, con ello, se protege el derecho a la salud.</w:t>
      </w:r>
    </w:p>
    <w:p w14:paraId="0E3DE7D6" w14:textId="77777777" w:rsidR="002D432F" w:rsidRPr="00C67536" w:rsidRDefault="002D432F" w:rsidP="002D432F">
      <w:pPr>
        <w:pStyle w:val="ListParagraph"/>
        <w:rPr>
          <w:rFonts w:ascii="Arial" w:hAnsi="Arial" w:cs="Arial"/>
          <w:sz w:val="28"/>
          <w:szCs w:val="28"/>
        </w:rPr>
      </w:pPr>
    </w:p>
    <w:p w14:paraId="2E2C51AE" w14:textId="76912EC5" w:rsidR="002D432F" w:rsidRPr="00C67536" w:rsidRDefault="001251CE" w:rsidP="00B144AE">
      <w:pPr>
        <w:pStyle w:val="corte4fondo"/>
        <w:numPr>
          <w:ilvl w:val="0"/>
          <w:numId w:val="15"/>
        </w:numPr>
        <w:ind w:left="0" w:hanging="567"/>
        <w:rPr>
          <w:rFonts w:cs="Arial"/>
          <w:sz w:val="28"/>
          <w:szCs w:val="28"/>
        </w:rPr>
      </w:pPr>
      <w:r w:rsidRPr="00C67536">
        <w:rPr>
          <w:rFonts w:cs="Arial"/>
          <w:sz w:val="28"/>
          <w:szCs w:val="28"/>
        </w:rPr>
        <w:t>Asimismo, la medida impositiva que se analiza es necesaria dado que es sólo una de las herramientas a cargo del Estado para alcanzar el fin constitucionalmente válido antes señalado, pues no sólo se encuentra dentro de las facultades del legislador hacer efectivos los derechos a la alimentación y a la protección de la salud a través de los instrumentos a su alcance, sino que el uso de dicha medida fue sugerido por parte de organismos internacionales (</w:t>
      </w:r>
      <w:r w:rsidR="00CD7187" w:rsidRPr="00C67536">
        <w:rPr>
          <w:rFonts w:cs="Arial"/>
          <w:sz w:val="28"/>
          <w:szCs w:val="28"/>
        </w:rPr>
        <w:t>Organización Mundial de la Salud y Organización Panamericana de la Salud, con base en estudios científicos llevados por dichos organismos</w:t>
      </w:r>
      <w:r w:rsidRPr="00C67536">
        <w:rPr>
          <w:rFonts w:cs="Arial"/>
          <w:sz w:val="28"/>
          <w:szCs w:val="28"/>
        </w:rPr>
        <w:t>).</w:t>
      </w:r>
    </w:p>
    <w:p w14:paraId="754645D1" w14:textId="77777777" w:rsidR="002D432F" w:rsidRPr="00C67536" w:rsidRDefault="002D432F" w:rsidP="002D432F">
      <w:pPr>
        <w:pStyle w:val="ListParagraph"/>
        <w:rPr>
          <w:rFonts w:ascii="Arial" w:hAnsi="Arial" w:cs="Arial"/>
          <w:sz w:val="28"/>
          <w:szCs w:val="28"/>
          <w:lang w:val="es-ES_tradnl"/>
        </w:rPr>
      </w:pPr>
    </w:p>
    <w:p w14:paraId="15827D73" w14:textId="45CA1241" w:rsidR="002D432F" w:rsidRPr="00C67536" w:rsidRDefault="00CD7187" w:rsidP="00B144AE">
      <w:pPr>
        <w:pStyle w:val="corte4fondo"/>
        <w:numPr>
          <w:ilvl w:val="0"/>
          <w:numId w:val="15"/>
        </w:numPr>
        <w:ind w:left="0" w:hanging="567"/>
        <w:rPr>
          <w:rFonts w:cs="Arial"/>
          <w:sz w:val="28"/>
          <w:szCs w:val="28"/>
        </w:rPr>
      </w:pPr>
      <w:r w:rsidRPr="00C67536">
        <w:rPr>
          <w:rFonts w:cs="Arial"/>
          <w:sz w:val="28"/>
          <w:szCs w:val="28"/>
        </w:rPr>
        <w:t xml:space="preserve">De igual forma, </w:t>
      </w:r>
      <w:r w:rsidR="00D557F7" w:rsidRPr="00C67536">
        <w:rPr>
          <w:rFonts w:cs="Arial"/>
          <w:sz w:val="28"/>
          <w:szCs w:val="28"/>
        </w:rPr>
        <w:t>el sistema de etiquetado frontal de advertencia implementado por las autoridades mexicanas,</w:t>
      </w:r>
      <w:r w:rsidR="001251CE" w:rsidRPr="00C67536">
        <w:rPr>
          <w:rFonts w:cs="Arial"/>
          <w:sz w:val="28"/>
          <w:szCs w:val="28"/>
        </w:rPr>
        <w:t xml:space="preserve"> también resulta proporcional, pues atendiendo a las ventajas (inhibir o desincentivar el consumo de alimentos básicos para evitar enfermedades crónicas no transmisibles; hacer efectivo el derecho a la alimentación nutritiva, suficiente y de calidad y proteger el derecho a la salud de la población) que se obtienen con el establecimiento de dicha medida se puede advertir que se justifican los sacrificios o desventajas (</w:t>
      </w:r>
      <w:r w:rsidR="00157C5B" w:rsidRPr="00C67536">
        <w:rPr>
          <w:rFonts w:cs="Arial"/>
          <w:sz w:val="28"/>
          <w:szCs w:val="28"/>
        </w:rPr>
        <w:t>disminución en la venta de productos de la quejosa</w:t>
      </w:r>
      <w:r w:rsidR="009353A8" w:rsidRPr="00C67536">
        <w:rPr>
          <w:rFonts w:cs="Arial"/>
          <w:sz w:val="28"/>
          <w:szCs w:val="28"/>
        </w:rPr>
        <w:t>, lo que repercute en la liberta</w:t>
      </w:r>
      <w:r w:rsidR="00FD5B1B">
        <w:rPr>
          <w:rFonts w:cs="Arial"/>
          <w:sz w:val="28"/>
          <w:szCs w:val="28"/>
        </w:rPr>
        <w:t>d</w:t>
      </w:r>
      <w:r w:rsidR="009353A8" w:rsidRPr="00C67536">
        <w:rPr>
          <w:rFonts w:cs="Arial"/>
          <w:sz w:val="28"/>
          <w:szCs w:val="28"/>
        </w:rPr>
        <w:t xml:space="preserve"> de trabajo</w:t>
      </w:r>
      <w:r w:rsidR="001251CE" w:rsidRPr="00C67536">
        <w:rPr>
          <w:rFonts w:cs="Arial"/>
          <w:sz w:val="28"/>
          <w:szCs w:val="28"/>
        </w:rPr>
        <w:t>) que se producen con la misma.</w:t>
      </w:r>
    </w:p>
    <w:p w14:paraId="37D56A57" w14:textId="77777777" w:rsidR="00B361C7" w:rsidRPr="00C67536" w:rsidRDefault="00B361C7" w:rsidP="00C71D38">
      <w:pPr>
        <w:pStyle w:val="ListParagraph"/>
        <w:rPr>
          <w:rFonts w:ascii="Arial" w:eastAsiaTheme="minorHAnsi" w:hAnsi="Arial" w:cs="Arial"/>
          <w:b/>
          <w:bCs/>
          <w:sz w:val="28"/>
          <w:szCs w:val="28"/>
          <w:u w:val="single"/>
          <w:lang w:eastAsia="en-US"/>
        </w:rPr>
      </w:pPr>
    </w:p>
    <w:p w14:paraId="59C1E267" w14:textId="742B1277" w:rsidR="00B361C7" w:rsidRPr="00C67536" w:rsidRDefault="00352393" w:rsidP="00B361C7">
      <w:pPr>
        <w:rPr>
          <w:rFonts w:ascii="Arial" w:hAnsi="Arial" w:cs="Arial"/>
          <w:b/>
          <w:bCs/>
          <w:sz w:val="28"/>
          <w:szCs w:val="28"/>
        </w:rPr>
      </w:pPr>
      <w:r w:rsidRPr="003F120A">
        <w:rPr>
          <w:rFonts w:ascii="Arial" w:hAnsi="Arial" w:cs="Arial"/>
          <w:b/>
          <w:bCs/>
          <w:sz w:val="28"/>
          <w:szCs w:val="28"/>
        </w:rPr>
        <w:t>VI.</w:t>
      </w:r>
      <w:r w:rsidR="00C71D38" w:rsidRPr="003F120A">
        <w:rPr>
          <w:rFonts w:ascii="Arial" w:hAnsi="Arial" w:cs="Arial"/>
          <w:b/>
          <w:bCs/>
          <w:sz w:val="28"/>
          <w:szCs w:val="28"/>
        </w:rPr>
        <w:t>3</w:t>
      </w:r>
      <w:r w:rsidRPr="003F120A">
        <w:rPr>
          <w:rFonts w:ascii="Arial" w:hAnsi="Arial" w:cs="Arial"/>
          <w:b/>
          <w:bCs/>
          <w:sz w:val="28"/>
          <w:szCs w:val="28"/>
        </w:rPr>
        <w:t xml:space="preserve">. </w:t>
      </w:r>
      <w:r w:rsidR="00B361C7" w:rsidRPr="003F120A">
        <w:rPr>
          <w:rFonts w:ascii="Arial" w:hAnsi="Arial" w:cs="Arial"/>
          <w:b/>
          <w:bCs/>
          <w:sz w:val="28"/>
          <w:szCs w:val="28"/>
        </w:rPr>
        <w:t>Derecho a la seguridad jurídica.</w:t>
      </w:r>
    </w:p>
    <w:p w14:paraId="6B849E82" w14:textId="77777777" w:rsidR="00B361C7" w:rsidRPr="00C67536" w:rsidRDefault="00B361C7" w:rsidP="00B361C7">
      <w:pPr>
        <w:pStyle w:val="ListParagraph"/>
        <w:rPr>
          <w:rFonts w:ascii="Arial" w:eastAsiaTheme="minorHAnsi" w:hAnsi="Arial" w:cs="Arial"/>
          <w:b/>
          <w:bCs/>
          <w:sz w:val="28"/>
          <w:szCs w:val="28"/>
          <w:u w:val="single"/>
          <w:lang w:eastAsia="en-US"/>
        </w:rPr>
      </w:pPr>
    </w:p>
    <w:p w14:paraId="490587CC" w14:textId="47D3B186" w:rsidR="00E75E1A" w:rsidRPr="00C67536" w:rsidRDefault="00352393" w:rsidP="00B144AE">
      <w:pPr>
        <w:pStyle w:val="corte4fondo"/>
        <w:numPr>
          <w:ilvl w:val="0"/>
          <w:numId w:val="15"/>
        </w:numPr>
        <w:ind w:left="0" w:hanging="567"/>
        <w:rPr>
          <w:rFonts w:cs="Arial"/>
          <w:sz w:val="28"/>
          <w:szCs w:val="28"/>
        </w:rPr>
      </w:pPr>
      <w:r w:rsidRPr="00C67536">
        <w:rPr>
          <w:rFonts w:eastAsiaTheme="minorHAnsi" w:cs="Arial"/>
          <w:sz w:val="28"/>
          <w:szCs w:val="28"/>
          <w:lang w:val="es-MX" w:eastAsia="en-US"/>
        </w:rPr>
        <w:t xml:space="preserve">Al respecto en el </w:t>
      </w:r>
      <w:r w:rsidR="00FC68B6" w:rsidRPr="00C67536">
        <w:rPr>
          <w:rFonts w:eastAsiaTheme="minorHAnsi" w:cs="Arial"/>
          <w:sz w:val="28"/>
          <w:szCs w:val="28"/>
          <w:lang w:val="es-MX" w:eastAsia="en-US"/>
        </w:rPr>
        <w:t>tercer agravio,</w:t>
      </w:r>
      <w:r w:rsidRPr="00C67536">
        <w:rPr>
          <w:rFonts w:eastAsiaTheme="minorHAnsi" w:cs="Arial"/>
          <w:sz w:val="28"/>
          <w:szCs w:val="28"/>
          <w:lang w:val="es-MX" w:eastAsia="en-US"/>
        </w:rPr>
        <w:t xml:space="preserve"> la quejosa</w:t>
      </w:r>
      <w:r w:rsidR="00FC68B6" w:rsidRPr="00C67536">
        <w:rPr>
          <w:rFonts w:eastAsiaTheme="minorHAnsi" w:cs="Arial"/>
          <w:sz w:val="28"/>
          <w:szCs w:val="28"/>
          <w:lang w:val="es-MX" w:eastAsia="en-US"/>
        </w:rPr>
        <w:t xml:space="preserve"> argumenta que el juez de distrito no analizó el concepto de violación relativo al principio de seguridad, a la luz del derecho de igualdad, no discriminación, trabajo, comercio y libre concurrencia</w:t>
      </w:r>
      <w:r w:rsidR="00196B00" w:rsidRPr="00C67536">
        <w:rPr>
          <w:rFonts w:eastAsiaTheme="minorHAnsi" w:cs="Arial"/>
          <w:sz w:val="28"/>
          <w:szCs w:val="28"/>
          <w:lang w:val="es-MX" w:eastAsia="en-US"/>
        </w:rPr>
        <w:t xml:space="preserve">, porque </w:t>
      </w:r>
      <w:r w:rsidR="00FC68B6" w:rsidRPr="00C67536">
        <w:rPr>
          <w:rFonts w:eastAsiaTheme="minorHAnsi" w:cs="Arial"/>
          <w:sz w:val="28"/>
          <w:szCs w:val="28"/>
          <w:lang w:val="es-MX" w:eastAsia="en-US"/>
        </w:rPr>
        <w:t>no es posible hacer una interpretación conforme del numeral 1, inciso c)</w:t>
      </w:r>
      <w:r w:rsidR="00D970C0">
        <w:rPr>
          <w:rFonts w:eastAsiaTheme="minorHAnsi" w:cs="Arial"/>
          <w:sz w:val="28"/>
          <w:szCs w:val="28"/>
          <w:lang w:val="es-MX" w:eastAsia="en-US"/>
        </w:rPr>
        <w:t>,</w:t>
      </w:r>
      <w:r w:rsidR="00FC68B6" w:rsidRPr="00C67536">
        <w:rPr>
          <w:rFonts w:eastAsiaTheme="minorHAnsi" w:cs="Arial"/>
          <w:sz w:val="28"/>
          <w:szCs w:val="28"/>
          <w:lang w:val="es-MX" w:eastAsia="en-US"/>
        </w:rPr>
        <w:t xml:space="preserve"> de la modificación de la norma reclamada, dado que la existencia de un fundamento expreso para dotar de competencia a la autoridad</w:t>
      </w:r>
      <w:r w:rsidR="00E75E1A" w:rsidRPr="00C67536">
        <w:rPr>
          <w:rFonts w:eastAsiaTheme="minorHAnsi" w:cs="Arial"/>
          <w:sz w:val="28"/>
          <w:szCs w:val="28"/>
          <w:lang w:val="es-MX" w:eastAsia="en-US"/>
        </w:rPr>
        <w:t>,</w:t>
      </w:r>
      <w:r w:rsidR="00FC68B6" w:rsidRPr="00C67536">
        <w:rPr>
          <w:rFonts w:eastAsiaTheme="minorHAnsi" w:cs="Arial"/>
          <w:sz w:val="28"/>
          <w:szCs w:val="28"/>
          <w:lang w:val="es-MX" w:eastAsia="en-US"/>
        </w:rPr>
        <w:t xml:space="preserve"> es un elemento esencial de seguridad jurídica, por lo que no puede exentar a diversos productos de su aplicación.</w:t>
      </w:r>
    </w:p>
    <w:p w14:paraId="0DA4A7EB" w14:textId="77777777" w:rsidR="00E75E1A" w:rsidRPr="00C67536" w:rsidRDefault="00E75E1A" w:rsidP="00E75E1A">
      <w:pPr>
        <w:pStyle w:val="corte4fondo"/>
        <w:ind w:firstLine="0"/>
        <w:rPr>
          <w:rFonts w:cs="Arial"/>
          <w:sz w:val="28"/>
          <w:szCs w:val="28"/>
        </w:rPr>
      </w:pPr>
    </w:p>
    <w:p w14:paraId="65E9689A" w14:textId="14F849E4" w:rsidR="00E75E1A" w:rsidRPr="00C67536" w:rsidRDefault="00FC68B6" w:rsidP="00B144AE">
      <w:pPr>
        <w:pStyle w:val="corte4fondo"/>
        <w:numPr>
          <w:ilvl w:val="0"/>
          <w:numId w:val="15"/>
        </w:numPr>
        <w:ind w:left="0" w:hanging="567"/>
        <w:rPr>
          <w:rFonts w:cs="Arial"/>
          <w:sz w:val="28"/>
          <w:szCs w:val="28"/>
        </w:rPr>
      </w:pPr>
      <w:r w:rsidRPr="00C67536">
        <w:rPr>
          <w:rFonts w:eastAsiaTheme="minorHAnsi" w:cs="Arial"/>
          <w:sz w:val="28"/>
          <w:szCs w:val="28"/>
          <w:lang w:val="es-MX" w:eastAsia="en-US"/>
        </w:rPr>
        <w:t xml:space="preserve">Así, aduce que la jurisprudencia del título y subtítulo siguientes: “PERMISOS DE </w:t>
      </w:r>
      <w:r w:rsidRPr="00C67536">
        <w:rPr>
          <w:rFonts w:eastAsiaTheme="minorHAnsi" w:cs="Arial"/>
          <w:sz w:val="28"/>
          <w:szCs w:val="28"/>
          <w:lang w:eastAsia="en-US"/>
        </w:rPr>
        <w:t>RADIODIFUSIÓN. EL ARTÍCULO 20 DE LA LEY FEDERAL DE RADIO Y TELEVISIÓN, EN CUANTO CONCEDE DISCRECIONALIDAD EN EL EJERCICIO DE LAS FACULTADES CONFERIDAS A LA SECRETAR</w:t>
      </w:r>
      <w:r w:rsidR="00D970C0">
        <w:rPr>
          <w:rFonts w:eastAsiaTheme="minorHAnsi" w:cs="Arial"/>
          <w:sz w:val="28"/>
          <w:szCs w:val="28"/>
          <w:lang w:eastAsia="en-US"/>
        </w:rPr>
        <w:t>Í</w:t>
      </w:r>
      <w:r w:rsidRPr="00C67536">
        <w:rPr>
          <w:rFonts w:eastAsiaTheme="minorHAnsi" w:cs="Arial"/>
          <w:sz w:val="28"/>
          <w:szCs w:val="28"/>
          <w:lang w:eastAsia="en-US"/>
        </w:rPr>
        <w:t>A DE COMUNICACIONES Y TRANSPORTES PARA EL OTORGAMIENTO DE AQUÉLLOS VIOLA LOS PRINCIPIOS DE LEGALIDAD Y SEGURIDAD JURÍDICA” es aplicable, en cuanto al derecho de seguridad jurídica contenido en el artículo 16 constitucional que es aplicable a cualquier acto de autoridad</w:t>
      </w:r>
      <w:r w:rsidR="00E75E1A" w:rsidRPr="00C67536">
        <w:rPr>
          <w:rFonts w:eastAsiaTheme="minorHAnsi" w:cs="Arial"/>
          <w:sz w:val="28"/>
          <w:szCs w:val="28"/>
          <w:lang w:eastAsia="en-US"/>
        </w:rPr>
        <w:t>.</w:t>
      </w:r>
    </w:p>
    <w:p w14:paraId="465ED554" w14:textId="77777777" w:rsidR="00E75E1A" w:rsidRPr="00C67536" w:rsidRDefault="00E75E1A" w:rsidP="00E75E1A">
      <w:pPr>
        <w:pStyle w:val="ListParagraph"/>
        <w:rPr>
          <w:rFonts w:ascii="Arial" w:eastAsiaTheme="minorHAnsi" w:hAnsi="Arial" w:cs="Arial"/>
          <w:sz w:val="28"/>
          <w:szCs w:val="28"/>
          <w:lang w:eastAsia="en-US"/>
        </w:rPr>
      </w:pPr>
    </w:p>
    <w:p w14:paraId="7B5DDDC2" w14:textId="77777777" w:rsidR="00946650" w:rsidRPr="00C67536" w:rsidRDefault="00FC68B6" w:rsidP="00B144AE">
      <w:pPr>
        <w:pStyle w:val="corte4fondo"/>
        <w:numPr>
          <w:ilvl w:val="0"/>
          <w:numId w:val="15"/>
        </w:numPr>
        <w:ind w:left="0" w:hanging="567"/>
        <w:rPr>
          <w:rFonts w:cs="Arial"/>
          <w:sz w:val="28"/>
          <w:szCs w:val="28"/>
        </w:rPr>
      </w:pPr>
      <w:r w:rsidRPr="00C67536">
        <w:rPr>
          <w:rFonts w:eastAsiaTheme="minorHAnsi" w:cs="Arial"/>
          <w:sz w:val="28"/>
          <w:szCs w:val="28"/>
          <w:lang w:val="es-MX" w:eastAsia="en-US"/>
        </w:rPr>
        <w:t>De ahí que, el numeral 1, inciso c), de la citada modificación a la norma, constituye una norma arbitraria no una facultad discrecional, puesto que la ausencia de reglas y criterios objetivos para exentar productos de dicha normatividad propicia la arbitrariedad de las facultades otorgadas a la autoridad</w:t>
      </w:r>
      <w:r w:rsidR="00946650" w:rsidRPr="00C67536">
        <w:rPr>
          <w:rFonts w:eastAsiaTheme="minorHAnsi" w:cs="Arial"/>
          <w:sz w:val="28"/>
          <w:szCs w:val="28"/>
          <w:lang w:val="es-MX" w:eastAsia="en-US"/>
        </w:rPr>
        <w:t>.</w:t>
      </w:r>
    </w:p>
    <w:p w14:paraId="5B116558" w14:textId="77777777" w:rsidR="00946650" w:rsidRPr="00C67536" w:rsidRDefault="00946650" w:rsidP="00946650">
      <w:pPr>
        <w:pStyle w:val="ListParagraph"/>
        <w:rPr>
          <w:rFonts w:ascii="Arial" w:eastAsiaTheme="minorHAnsi" w:hAnsi="Arial" w:cs="Arial"/>
          <w:sz w:val="28"/>
          <w:szCs w:val="28"/>
          <w:lang w:eastAsia="en-US"/>
        </w:rPr>
      </w:pPr>
    </w:p>
    <w:p w14:paraId="3D10D3EA" w14:textId="5EAA224F" w:rsidR="00FC68B6" w:rsidRPr="00C67536" w:rsidRDefault="00FC68B6" w:rsidP="00B144AE">
      <w:pPr>
        <w:pStyle w:val="corte4fondo"/>
        <w:numPr>
          <w:ilvl w:val="0"/>
          <w:numId w:val="15"/>
        </w:numPr>
        <w:ind w:left="0" w:hanging="567"/>
        <w:rPr>
          <w:rFonts w:cs="Arial"/>
          <w:sz w:val="28"/>
          <w:szCs w:val="28"/>
        </w:rPr>
      </w:pPr>
      <w:r w:rsidRPr="00C67536">
        <w:rPr>
          <w:rFonts w:eastAsiaTheme="minorHAnsi" w:cs="Arial"/>
          <w:sz w:val="28"/>
          <w:szCs w:val="28"/>
          <w:lang w:val="es-MX" w:eastAsia="en-US"/>
        </w:rPr>
        <w:t>Por ello, la</w:t>
      </w:r>
      <w:r w:rsidR="00946650" w:rsidRPr="00C67536">
        <w:rPr>
          <w:rFonts w:eastAsiaTheme="minorHAnsi" w:cs="Arial"/>
          <w:sz w:val="28"/>
          <w:szCs w:val="28"/>
          <w:lang w:val="es-MX" w:eastAsia="en-US"/>
        </w:rPr>
        <w:t xml:space="preserve"> peticionaria de amparo aduce que la</w:t>
      </w:r>
      <w:r w:rsidRPr="00C67536">
        <w:rPr>
          <w:rFonts w:eastAsiaTheme="minorHAnsi" w:cs="Arial"/>
          <w:sz w:val="28"/>
          <w:szCs w:val="28"/>
          <w:lang w:val="es-MX" w:eastAsia="en-US"/>
        </w:rPr>
        <w:t xml:space="preserve"> norma debía señalar la autoridad que podría actuar y ante qué supuestos la autoridad podría excluir algún producto del cumplimiento de la norma.</w:t>
      </w:r>
    </w:p>
    <w:p w14:paraId="67607747" w14:textId="77777777" w:rsidR="00CF1CA3" w:rsidRPr="00C67536" w:rsidRDefault="00CF1CA3" w:rsidP="00CF1CA3">
      <w:pPr>
        <w:pStyle w:val="ListParagraph"/>
        <w:rPr>
          <w:rFonts w:ascii="Arial" w:hAnsi="Arial" w:cs="Arial"/>
          <w:sz w:val="28"/>
          <w:szCs w:val="28"/>
        </w:rPr>
      </w:pPr>
    </w:p>
    <w:p w14:paraId="25DCCB6F" w14:textId="45C4B4D4" w:rsidR="00CF1CA3" w:rsidRPr="00C67536" w:rsidRDefault="00F6109A" w:rsidP="00B144AE">
      <w:pPr>
        <w:pStyle w:val="corte4fondo"/>
        <w:numPr>
          <w:ilvl w:val="0"/>
          <w:numId w:val="15"/>
        </w:numPr>
        <w:ind w:left="0" w:hanging="567"/>
        <w:rPr>
          <w:rFonts w:cs="Arial"/>
          <w:sz w:val="28"/>
          <w:szCs w:val="28"/>
        </w:rPr>
      </w:pPr>
      <w:r w:rsidRPr="00C67536">
        <w:rPr>
          <w:rFonts w:cs="Arial"/>
          <w:sz w:val="28"/>
          <w:szCs w:val="28"/>
        </w:rPr>
        <w:t xml:space="preserve">Son </w:t>
      </w:r>
      <w:r w:rsidRPr="00C67536">
        <w:rPr>
          <w:rFonts w:cs="Arial"/>
          <w:b/>
          <w:bCs/>
          <w:sz w:val="28"/>
          <w:szCs w:val="28"/>
        </w:rPr>
        <w:t xml:space="preserve">fundados </w:t>
      </w:r>
      <w:r w:rsidR="00036CF0" w:rsidRPr="00C67536">
        <w:rPr>
          <w:rFonts w:cs="Arial"/>
          <w:b/>
          <w:bCs/>
          <w:sz w:val="28"/>
          <w:szCs w:val="28"/>
        </w:rPr>
        <w:t>pero inoperantes</w:t>
      </w:r>
      <w:r w:rsidR="00EB76CD" w:rsidRPr="00C67536">
        <w:rPr>
          <w:rFonts w:cs="Arial"/>
          <w:sz w:val="28"/>
          <w:szCs w:val="28"/>
        </w:rPr>
        <w:t xml:space="preserve">, </w:t>
      </w:r>
      <w:r w:rsidR="00EB76CD" w:rsidRPr="00C67536">
        <w:rPr>
          <w:rFonts w:cs="Arial"/>
          <w:b/>
          <w:bCs/>
          <w:sz w:val="28"/>
          <w:szCs w:val="28"/>
        </w:rPr>
        <w:t>los agravios en cita.</w:t>
      </w:r>
    </w:p>
    <w:p w14:paraId="6E1C90BE" w14:textId="77777777" w:rsidR="00F6109A" w:rsidRPr="00C67536" w:rsidRDefault="00F6109A" w:rsidP="00F6109A">
      <w:pPr>
        <w:pStyle w:val="ListParagraph"/>
        <w:rPr>
          <w:rFonts w:ascii="Arial" w:hAnsi="Arial" w:cs="Arial"/>
          <w:sz w:val="28"/>
          <w:szCs w:val="28"/>
        </w:rPr>
      </w:pPr>
    </w:p>
    <w:p w14:paraId="64066724" w14:textId="77777777" w:rsidR="00E75A03" w:rsidRPr="00C67536" w:rsidRDefault="004A3BAC" w:rsidP="00B144AE">
      <w:pPr>
        <w:pStyle w:val="corte4fondo"/>
        <w:numPr>
          <w:ilvl w:val="0"/>
          <w:numId w:val="15"/>
        </w:numPr>
        <w:ind w:left="0" w:hanging="567"/>
        <w:rPr>
          <w:rFonts w:eastAsiaTheme="minorHAnsi" w:cs="Arial"/>
          <w:b/>
          <w:bCs/>
          <w:color w:val="000000"/>
          <w:sz w:val="28"/>
          <w:szCs w:val="28"/>
          <w:lang w:eastAsia="en-US"/>
        </w:rPr>
      </w:pPr>
      <w:r w:rsidRPr="00C67536">
        <w:rPr>
          <w:rFonts w:eastAsiaTheme="minorHAnsi" w:cs="Arial"/>
          <w:color w:val="000000"/>
          <w:sz w:val="28"/>
          <w:szCs w:val="28"/>
          <w:lang w:eastAsia="en-US"/>
        </w:rPr>
        <w:t>El juez de distrito</w:t>
      </w:r>
      <w:r w:rsidR="007837F3" w:rsidRPr="00C67536">
        <w:rPr>
          <w:rFonts w:eastAsiaTheme="minorHAnsi" w:cs="Arial"/>
          <w:color w:val="000000"/>
          <w:sz w:val="28"/>
          <w:szCs w:val="28"/>
          <w:lang w:eastAsia="en-US"/>
        </w:rPr>
        <w:t xml:space="preserve"> indicó que el </w:t>
      </w:r>
      <w:r w:rsidRPr="00C67536">
        <w:rPr>
          <w:rFonts w:eastAsiaTheme="minorHAnsi" w:cs="Arial"/>
          <w:color w:val="000000"/>
          <w:sz w:val="28"/>
          <w:szCs w:val="28"/>
          <w:lang w:eastAsia="en-US"/>
        </w:rPr>
        <w:t>numeral 1, inciso c), de la Modificación a la Norma</w:t>
      </w:r>
      <w:r w:rsidR="007837F3" w:rsidRPr="00C67536">
        <w:rPr>
          <w:rFonts w:eastAsiaTheme="minorHAnsi" w:cs="Arial"/>
          <w:color w:val="000000"/>
          <w:sz w:val="28"/>
          <w:szCs w:val="28"/>
          <w:lang w:eastAsia="en-US"/>
        </w:rPr>
        <w:t xml:space="preserve"> </w:t>
      </w:r>
      <w:r w:rsidRPr="00C67536">
        <w:rPr>
          <w:rFonts w:eastAsiaTheme="minorHAnsi" w:cs="Arial"/>
          <w:color w:val="000000"/>
          <w:sz w:val="28"/>
          <w:szCs w:val="28"/>
          <w:lang w:eastAsia="en-US"/>
        </w:rPr>
        <w:t xml:space="preserve">Oficial Mexicana NOM-051-SCFI/SSA1-2010 </w:t>
      </w:r>
      <w:r w:rsidR="007837F3" w:rsidRPr="00C67536">
        <w:rPr>
          <w:rFonts w:eastAsiaTheme="minorHAnsi" w:cs="Arial"/>
          <w:color w:val="000000"/>
          <w:sz w:val="28"/>
          <w:szCs w:val="28"/>
          <w:lang w:eastAsia="en-US"/>
        </w:rPr>
        <w:t>no es</w:t>
      </w:r>
      <w:r w:rsidRPr="00C67536">
        <w:rPr>
          <w:rFonts w:eastAsiaTheme="minorHAnsi" w:cs="Arial"/>
          <w:color w:val="000000"/>
          <w:sz w:val="28"/>
          <w:szCs w:val="28"/>
          <w:lang w:eastAsia="en-US"/>
        </w:rPr>
        <w:t xml:space="preserve"> violatorio del principio de</w:t>
      </w:r>
      <w:r w:rsidR="007837F3" w:rsidRPr="00C67536">
        <w:rPr>
          <w:rFonts w:eastAsiaTheme="minorHAnsi" w:cs="Arial"/>
          <w:color w:val="000000"/>
          <w:sz w:val="28"/>
          <w:szCs w:val="28"/>
          <w:lang w:eastAsia="en-US"/>
        </w:rPr>
        <w:t xml:space="preserve"> </w:t>
      </w:r>
      <w:r w:rsidRPr="00C67536">
        <w:rPr>
          <w:rFonts w:eastAsiaTheme="minorHAnsi" w:cs="Arial"/>
          <w:color w:val="000000"/>
          <w:sz w:val="28"/>
          <w:szCs w:val="28"/>
          <w:lang w:eastAsia="en-US"/>
        </w:rPr>
        <w:t xml:space="preserve">seguridad jurídica, </w:t>
      </w:r>
      <w:r w:rsidR="00EA0735" w:rsidRPr="00C67536">
        <w:rPr>
          <w:rFonts w:eastAsiaTheme="minorHAnsi" w:cs="Arial"/>
          <w:color w:val="000000"/>
          <w:sz w:val="28"/>
          <w:szCs w:val="28"/>
          <w:lang w:eastAsia="en-US"/>
        </w:rPr>
        <w:t>por lo que calificó de infundado el concepto de violación</w:t>
      </w:r>
      <w:r w:rsidR="00E75A03" w:rsidRPr="00C67536">
        <w:rPr>
          <w:rFonts w:eastAsiaTheme="minorHAnsi" w:cs="Arial"/>
          <w:color w:val="000000"/>
          <w:sz w:val="28"/>
          <w:szCs w:val="28"/>
          <w:lang w:eastAsia="en-US"/>
        </w:rPr>
        <w:t xml:space="preserve"> sobre dicho tópico.</w:t>
      </w:r>
    </w:p>
    <w:p w14:paraId="64AFCA6F" w14:textId="77777777" w:rsidR="00E75A03" w:rsidRPr="00C67536" w:rsidRDefault="00E75A03" w:rsidP="00E75A03">
      <w:pPr>
        <w:pStyle w:val="ListParagraph"/>
        <w:rPr>
          <w:rFonts w:ascii="Arial" w:eastAsiaTheme="minorHAnsi" w:hAnsi="Arial" w:cs="Arial"/>
          <w:color w:val="000000"/>
          <w:sz w:val="28"/>
          <w:szCs w:val="28"/>
          <w:lang w:eastAsia="en-US"/>
        </w:rPr>
      </w:pPr>
    </w:p>
    <w:p w14:paraId="797B30BC" w14:textId="77777777" w:rsidR="001E248A" w:rsidRPr="00C67536" w:rsidRDefault="004A3BAC" w:rsidP="00B144AE">
      <w:pPr>
        <w:pStyle w:val="corte4fondo"/>
        <w:numPr>
          <w:ilvl w:val="0"/>
          <w:numId w:val="15"/>
        </w:numPr>
        <w:ind w:left="0" w:hanging="567"/>
        <w:rPr>
          <w:rFonts w:eastAsiaTheme="minorHAnsi" w:cs="Arial"/>
          <w:b/>
          <w:bCs/>
          <w:color w:val="000000"/>
          <w:sz w:val="28"/>
          <w:szCs w:val="28"/>
          <w:lang w:eastAsia="en-US"/>
        </w:rPr>
      </w:pPr>
      <w:r w:rsidRPr="00C67536">
        <w:rPr>
          <w:rFonts w:eastAsiaTheme="minorHAnsi" w:cs="Arial"/>
          <w:color w:val="000000"/>
          <w:sz w:val="28"/>
          <w:szCs w:val="28"/>
          <w:lang w:eastAsia="en-US"/>
        </w:rPr>
        <w:t>El</w:t>
      </w:r>
      <w:r w:rsidR="00E75A03" w:rsidRPr="00C67536">
        <w:rPr>
          <w:rFonts w:eastAsiaTheme="minorHAnsi" w:cs="Arial"/>
          <w:color w:val="000000"/>
          <w:sz w:val="28"/>
          <w:szCs w:val="28"/>
          <w:lang w:eastAsia="en-US"/>
        </w:rPr>
        <w:t xml:space="preserve">lo, porque </w:t>
      </w:r>
      <w:r w:rsidRPr="00C67536">
        <w:rPr>
          <w:rFonts w:eastAsiaTheme="minorHAnsi" w:cs="Arial"/>
          <w:color w:val="000000"/>
          <w:sz w:val="28"/>
          <w:szCs w:val="28"/>
          <w:lang w:eastAsia="en-US"/>
        </w:rPr>
        <w:t>al analizar la norma oficial en su integridad,</w:t>
      </w:r>
      <w:r w:rsidR="00AB4FE3" w:rsidRPr="00C67536">
        <w:rPr>
          <w:rFonts w:eastAsiaTheme="minorHAnsi" w:cs="Arial"/>
          <w:color w:val="000000"/>
          <w:sz w:val="28"/>
          <w:szCs w:val="28"/>
          <w:lang w:eastAsia="en-US"/>
        </w:rPr>
        <w:t xml:space="preserve"> </w:t>
      </w:r>
      <w:r w:rsidRPr="00C67536">
        <w:rPr>
          <w:rFonts w:eastAsiaTheme="minorHAnsi" w:cs="Arial"/>
          <w:color w:val="000000"/>
          <w:sz w:val="28"/>
          <w:szCs w:val="28"/>
          <w:lang w:eastAsia="en-US"/>
        </w:rPr>
        <w:t>es decir al realizar una interpretación conforme, en su numeral 8, se puede</w:t>
      </w:r>
      <w:r w:rsidR="00AB4FE3" w:rsidRPr="00C67536">
        <w:rPr>
          <w:rFonts w:eastAsiaTheme="minorHAnsi" w:cs="Arial"/>
          <w:color w:val="000000"/>
          <w:sz w:val="28"/>
          <w:szCs w:val="28"/>
          <w:lang w:eastAsia="en-US"/>
        </w:rPr>
        <w:t xml:space="preserve"> </w:t>
      </w:r>
      <w:r w:rsidRPr="00C67536">
        <w:rPr>
          <w:rFonts w:eastAsiaTheme="minorHAnsi" w:cs="Arial"/>
          <w:color w:val="000000"/>
          <w:sz w:val="28"/>
          <w:szCs w:val="28"/>
          <w:lang w:eastAsia="en-US"/>
        </w:rPr>
        <w:t>advertir que las autoridades competentes son la Procuraduría Federal del</w:t>
      </w:r>
      <w:r w:rsidR="00AB4FE3" w:rsidRPr="00C67536">
        <w:rPr>
          <w:rFonts w:eastAsiaTheme="minorHAnsi" w:cs="Arial"/>
          <w:color w:val="000000"/>
          <w:sz w:val="28"/>
          <w:szCs w:val="28"/>
          <w:lang w:eastAsia="en-US"/>
        </w:rPr>
        <w:t xml:space="preserve"> </w:t>
      </w:r>
      <w:r w:rsidRPr="00C67536">
        <w:rPr>
          <w:rFonts w:eastAsiaTheme="minorHAnsi" w:cs="Arial"/>
          <w:color w:val="000000"/>
          <w:sz w:val="28"/>
          <w:szCs w:val="28"/>
          <w:lang w:eastAsia="en-US"/>
        </w:rPr>
        <w:t>Consumidor, la Comisión Federal para la Protección contra Riesgos</w:t>
      </w:r>
      <w:r w:rsidR="00AB4FE3" w:rsidRPr="00C67536">
        <w:rPr>
          <w:rFonts w:eastAsiaTheme="minorHAnsi" w:cs="Arial"/>
          <w:color w:val="000000"/>
          <w:sz w:val="28"/>
          <w:szCs w:val="28"/>
          <w:lang w:eastAsia="en-US"/>
        </w:rPr>
        <w:t xml:space="preserve"> </w:t>
      </w:r>
      <w:r w:rsidRPr="00C67536">
        <w:rPr>
          <w:rFonts w:eastAsiaTheme="minorHAnsi" w:cs="Arial"/>
          <w:color w:val="000000"/>
          <w:sz w:val="28"/>
          <w:szCs w:val="28"/>
          <w:lang w:eastAsia="en-US"/>
        </w:rPr>
        <w:t xml:space="preserve">Sanitarios, así como todas aquellas que se establezcan </w:t>
      </w:r>
      <w:r w:rsidRPr="00C67536">
        <w:rPr>
          <w:rFonts w:eastAsiaTheme="minorHAnsi" w:cs="Arial"/>
          <w:b/>
          <w:bCs/>
          <w:color w:val="000000"/>
          <w:sz w:val="28"/>
          <w:szCs w:val="28"/>
          <w:lang w:eastAsia="en-US"/>
        </w:rPr>
        <w:t>en la Ley Federal</w:t>
      </w:r>
      <w:r w:rsidR="00AB4FE3" w:rsidRPr="00C67536">
        <w:rPr>
          <w:rFonts w:eastAsiaTheme="minorHAnsi" w:cs="Arial"/>
          <w:b/>
          <w:bCs/>
          <w:color w:val="000000"/>
          <w:sz w:val="28"/>
          <w:szCs w:val="28"/>
          <w:lang w:eastAsia="en-US"/>
        </w:rPr>
        <w:t xml:space="preserve"> </w:t>
      </w:r>
      <w:r w:rsidRPr="00C67536">
        <w:rPr>
          <w:rFonts w:eastAsiaTheme="minorHAnsi" w:cs="Arial"/>
          <w:b/>
          <w:bCs/>
          <w:color w:val="000000"/>
          <w:sz w:val="28"/>
          <w:szCs w:val="28"/>
          <w:lang w:eastAsia="en-US"/>
        </w:rPr>
        <w:t>de Protección al Consumidor, la Ley General de Salud, la Ley Federal</w:t>
      </w:r>
      <w:r w:rsidR="00AB4FE3" w:rsidRPr="00C67536">
        <w:rPr>
          <w:rFonts w:eastAsiaTheme="minorHAnsi" w:cs="Arial"/>
          <w:b/>
          <w:bCs/>
          <w:color w:val="000000"/>
          <w:sz w:val="28"/>
          <w:szCs w:val="28"/>
          <w:lang w:eastAsia="en-US"/>
        </w:rPr>
        <w:t xml:space="preserve"> </w:t>
      </w:r>
      <w:r w:rsidRPr="00C67536">
        <w:rPr>
          <w:rFonts w:eastAsiaTheme="minorHAnsi" w:cs="Arial"/>
          <w:b/>
          <w:bCs/>
          <w:color w:val="000000"/>
          <w:sz w:val="28"/>
          <w:szCs w:val="28"/>
          <w:lang w:eastAsia="en-US"/>
        </w:rPr>
        <w:t>sobre Metrología y Normalización, es decir</w:t>
      </w:r>
      <w:r w:rsidR="00313325" w:rsidRPr="00C67536">
        <w:rPr>
          <w:rFonts w:eastAsiaTheme="minorHAnsi" w:cs="Arial"/>
          <w:b/>
          <w:bCs/>
          <w:color w:val="000000"/>
          <w:sz w:val="28"/>
          <w:szCs w:val="28"/>
          <w:lang w:eastAsia="en-US"/>
        </w:rPr>
        <w:t>, que</w:t>
      </w:r>
      <w:r w:rsidRPr="00C67536">
        <w:rPr>
          <w:rFonts w:eastAsiaTheme="minorHAnsi" w:cs="Arial"/>
          <w:b/>
          <w:bCs/>
          <w:color w:val="000000"/>
          <w:sz w:val="28"/>
          <w:szCs w:val="28"/>
          <w:lang w:eastAsia="en-US"/>
        </w:rPr>
        <w:t xml:space="preserve"> sí se puede advertir qué</w:t>
      </w:r>
      <w:r w:rsidR="00313325" w:rsidRPr="00C67536">
        <w:rPr>
          <w:rFonts w:eastAsiaTheme="minorHAnsi" w:cs="Arial"/>
          <w:b/>
          <w:bCs/>
          <w:color w:val="000000"/>
          <w:sz w:val="28"/>
          <w:szCs w:val="28"/>
          <w:lang w:eastAsia="en-US"/>
        </w:rPr>
        <w:t xml:space="preserve"> </w:t>
      </w:r>
      <w:r w:rsidRPr="00C67536">
        <w:rPr>
          <w:rFonts w:eastAsiaTheme="minorHAnsi" w:cs="Arial"/>
          <w:b/>
          <w:bCs/>
          <w:color w:val="000000"/>
          <w:sz w:val="28"/>
          <w:szCs w:val="28"/>
          <w:lang w:eastAsia="en-US"/>
        </w:rPr>
        <w:t>autoridades serán las competentes para determinar lo establecido en el</w:t>
      </w:r>
      <w:r w:rsidR="00313325" w:rsidRPr="00C67536">
        <w:rPr>
          <w:rFonts w:eastAsiaTheme="minorHAnsi" w:cs="Arial"/>
          <w:b/>
          <w:bCs/>
          <w:color w:val="000000"/>
          <w:sz w:val="28"/>
          <w:szCs w:val="28"/>
          <w:lang w:eastAsia="en-US"/>
        </w:rPr>
        <w:t xml:space="preserve"> </w:t>
      </w:r>
      <w:r w:rsidRPr="00C67536">
        <w:rPr>
          <w:rFonts w:eastAsiaTheme="minorHAnsi" w:cs="Arial"/>
          <w:b/>
          <w:bCs/>
          <w:color w:val="000000"/>
          <w:sz w:val="28"/>
          <w:szCs w:val="28"/>
          <w:lang w:eastAsia="en-US"/>
        </w:rPr>
        <w:t xml:space="preserve">numeral 1, inciso c, </w:t>
      </w:r>
      <w:r w:rsidRPr="00C67536">
        <w:rPr>
          <w:rFonts w:eastAsiaTheme="minorHAnsi" w:cs="Arial"/>
          <w:color w:val="000000"/>
          <w:sz w:val="28"/>
          <w:szCs w:val="28"/>
          <w:lang w:eastAsia="en-US"/>
        </w:rPr>
        <w:t>de la Modificación a la Norma Oficial Mexicana NOM-051-SCFI/SSA1-2010</w:t>
      </w:r>
      <w:r w:rsidR="001E248A" w:rsidRPr="00C67536">
        <w:rPr>
          <w:rFonts w:eastAsiaTheme="minorHAnsi" w:cs="Arial"/>
          <w:color w:val="000000"/>
          <w:sz w:val="28"/>
          <w:szCs w:val="28"/>
          <w:lang w:eastAsia="en-US"/>
        </w:rPr>
        <w:t>.</w:t>
      </w:r>
    </w:p>
    <w:p w14:paraId="060994B6" w14:textId="77777777" w:rsidR="001E248A" w:rsidRPr="00C67536" w:rsidRDefault="001E248A" w:rsidP="001E248A">
      <w:pPr>
        <w:pStyle w:val="ListParagraph"/>
        <w:rPr>
          <w:rFonts w:ascii="Arial" w:eastAsiaTheme="minorHAnsi" w:hAnsi="Arial" w:cs="Arial"/>
          <w:color w:val="000000"/>
          <w:sz w:val="28"/>
          <w:szCs w:val="28"/>
          <w:lang w:eastAsia="en-US"/>
        </w:rPr>
      </w:pPr>
    </w:p>
    <w:p w14:paraId="608625BB" w14:textId="6B20DA78" w:rsidR="004A3BAC" w:rsidRPr="00C67536" w:rsidRDefault="001E248A" w:rsidP="00B144AE">
      <w:pPr>
        <w:pStyle w:val="corte4fondo"/>
        <w:numPr>
          <w:ilvl w:val="0"/>
          <w:numId w:val="15"/>
        </w:numPr>
        <w:ind w:left="0" w:hanging="567"/>
        <w:rPr>
          <w:rFonts w:eastAsiaTheme="minorHAnsi" w:cs="Arial"/>
          <w:b/>
          <w:bCs/>
          <w:color w:val="000000"/>
          <w:sz w:val="28"/>
          <w:szCs w:val="28"/>
          <w:lang w:eastAsia="en-US"/>
        </w:rPr>
      </w:pPr>
      <w:r w:rsidRPr="00C67536">
        <w:rPr>
          <w:rFonts w:eastAsiaTheme="minorHAnsi" w:cs="Arial"/>
          <w:color w:val="000000"/>
          <w:sz w:val="28"/>
          <w:szCs w:val="28"/>
          <w:lang w:eastAsia="en-US"/>
        </w:rPr>
        <w:t>A</w:t>
      </w:r>
      <w:r w:rsidR="004A3BAC" w:rsidRPr="00C67536">
        <w:rPr>
          <w:rFonts w:eastAsiaTheme="minorHAnsi" w:cs="Arial"/>
          <w:color w:val="000000"/>
          <w:sz w:val="28"/>
          <w:szCs w:val="28"/>
          <w:lang w:eastAsia="en-US"/>
        </w:rPr>
        <w:t>demás</w:t>
      </w:r>
      <w:r w:rsidR="009A5828" w:rsidRPr="00C67536">
        <w:rPr>
          <w:rFonts w:eastAsiaTheme="minorHAnsi" w:cs="Arial"/>
          <w:color w:val="000000"/>
          <w:sz w:val="28"/>
          <w:szCs w:val="28"/>
          <w:lang w:eastAsia="en-US"/>
        </w:rPr>
        <w:t xml:space="preserve">, </w:t>
      </w:r>
      <w:r w:rsidR="008A77CD" w:rsidRPr="00C67536">
        <w:rPr>
          <w:rFonts w:eastAsiaTheme="minorHAnsi" w:cs="Arial"/>
          <w:color w:val="000000"/>
          <w:sz w:val="28"/>
          <w:szCs w:val="28"/>
          <w:lang w:eastAsia="en-US"/>
        </w:rPr>
        <w:t xml:space="preserve">refirió </w:t>
      </w:r>
      <w:r w:rsidR="009A5828" w:rsidRPr="00C67536">
        <w:rPr>
          <w:rFonts w:eastAsiaTheme="minorHAnsi" w:cs="Arial"/>
          <w:color w:val="000000"/>
          <w:sz w:val="28"/>
          <w:szCs w:val="28"/>
          <w:lang w:eastAsia="en-US"/>
        </w:rPr>
        <w:t>que</w:t>
      </w:r>
      <w:r w:rsidR="004A3BAC" w:rsidRPr="00C67536">
        <w:rPr>
          <w:rFonts w:eastAsiaTheme="minorHAnsi" w:cs="Arial"/>
          <w:color w:val="000000"/>
          <w:sz w:val="28"/>
          <w:szCs w:val="28"/>
          <w:lang w:eastAsia="en-US"/>
        </w:rPr>
        <w:t xml:space="preserve"> parte de una premisa falsa en el sentido de</w:t>
      </w:r>
      <w:r w:rsidR="00313325"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que el numeral 1, inciso c), le causa incertidumbre</w:t>
      </w:r>
      <w:r w:rsidR="00787257" w:rsidRPr="00C67536">
        <w:rPr>
          <w:rFonts w:eastAsiaTheme="minorHAnsi" w:cs="Arial"/>
          <w:color w:val="000000"/>
          <w:sz w:val="28"/>
          <w:szCs w:val="28"/>
          <w:lang w:eastAsia="en-US"/>
        </w:rPr>
        <w:t>,</w:t>
      </w:r>
      <w:r w:rsidR="004A3BAC" w:rsidRPr="00C67536">
        <w:rPr>
          <w:rFonts w:eastAsiaTheme="minorHAnsi" w:cs="Arial"/>
          <w:color w:val="000000"/>
          <w:sz w:val="28"/>
          <w:szCs w:val="28"/>
          <w:lang w:eastAsia="en-US"/>
        </w:rPr>
        <w:t xml:space="preserve"> ya que no señala los</w:t>
      </w:r>
      <w:r w:rsidR="00313325"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supuestos ante los cuales la autoridad puede llegar a exentar a cierto</w:t>
      </w:r>
      <w:r w:rsidR="00B12266" w:rsidRPr="00C67536">
        <w:rPr>
          <w:rFonts w:eastAsiaTheme="minorHAnsi" w:cs="Arial"/>
          <w:color w:val="000000"/>
          <w:sz w:val="28"/>
          <w:szCs w:val="28"/>
          <w:lang w:eastAsia="en-US"/>
        </w:rPr>
        <w:t>s</w:t>
      </w:r>
      <w:r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productos, toda vez que la norma es muy clara al establecer que uno de sus</w:t>
      </w:r>
      <w:r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objetivos es establecer la información comercial y sanitaria que debe</w:t>
      </w:r>
      <w:r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 xml:space="preserve">contener el etiquetado del producto </w:t>
      </w:r>
      <w:r w:rsidR="004A3BAC" w:rsidRPr="00C67536">
        <w:rPr>
          <w:rFonts w:eastAsiaTheme="minorHAnsi" w:cs="Arial"/>
          <w:b/>
          <w:bCs/>
          <w:color w:val="000000"/>
          <w:sz w:val="28"/>
          <w:szCs w:val="28"/>
          <w:lang w:eastAsia="en-US"/>
        </w:rPr>
        <w:t xml:space="preserve">preenvasado </w:t>
      </w:r>
      <w:r w:rsidR="004A3BAC" w:rsidRPr="00C67536">
        <w:rPr>
          <w:rFonts w:eastAsiaTheme="minorHAnsi" w:cs="Arial"/>
          <w:color w:val="000000"/>
          <w:sz w:val="28"/>
          <w:szCs w:val="28"/>
          <w:lang w:eastAsia="en-US"/>
        </w:rPr>
        <w:t>destinado al consumidor</w:t>
      </w:r>
      <w:r w:rsidR="00432313"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 xml:space="preserve">final, por ello si el quejoso se ostenta como comercializador de productos </w:t>
      </w:r>
      <w:r w:rsidR="004A3BAC" w:rsidRPr="00C67536">
        <w:rPr>
          <w:rFonts w:eastAsiaTheme="minorHAnsi" w:cs="Arial"/>
          <w:b/>
          <w:bCs/>
          <w:color w:val="000000"/>
          <w:sz w:val="28"/>
          <w:szCs w:val="28"/>
          <w:lang w:eastAsia="en-US"/>
        </w:rPr>
        <w:t>de</w:t>
      </w:r>
      <w:r w:rsidR="00432313" w:rsidRPr="00C67536">
        <w:rPr>
          <w:rFonts w:eastAsiaTheme="minorHAnsi" w:cs="Arial"/>
          <w:b/>
          <w:bCs/>
          <w:color w:val="000000"/>
          <w:sz w:val="28"/>
          <w:szCs w:val="28"/>
          <w:lang w:eastAsia="en-US"/>
        </w:rPr>
        <w:t xml:space="preserve"> </w:t>
      </w:r>
      <w:r w:rsidR="004A3BAC" w:rsidRPr="00C67536">
        <w:rPr>
          <w:rFonts w:eastAsiaTheme="minorHAnsi" w:cs="Arial"/>
          <w:b/>
          <w:bCs/>
          <w:color w:val="000000"/>
          <w:sz w:val="28"/>
          <w:szCs w:val="28"/>
          <w:lang w:eastAsia="en-US"/>
        </w:rPr>
        <w:t xml:space="preserve">bebidas preenvasadas, </w:t>
      </w:r>
      <w:r w:rsidR="004A3BAC" w:rsidRPr="00C67536">
        <w:rPr>
          <w:rFonts w:eastAsiaTheme="minorHAnsi" w:cs="Arial"/>
          <w:color w:val="000000"/>
          <w:sz w:val="28"/>
          <w:szCs w:val="28"/>
          <w:lang w:eastAsia="en-US"/>
        </w:rPr>
        <w:t>es claro que la observación y vigilancia de la norma</w:t>
      </w:r>
      <w:r w:rsidR="00432313"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va dirigida a la parte quejosa, máxime que sus argumentos guardan relación</w:t>
      </w:r>
      <w:r w:rsidR="00F12999" w:rsidRPr="00C67536">
        <w:rPr>
          <w:rFonts w:eastAsiaTheme="minorHAnsi" w:cs="Arial"/>
          <w:color w:val="000000"/>
          <w:sz w:val="28"/>
          <w:szCs w:val="28"/>
          <w:lang w:eastAsia="en-US"/>
        </w:rPr>
        <w:t xml:space="preserve"> </w:t>
      </w:r>
      <w:r w:rsidR="004A3BAC" w:rsidRPr="00C67536">
        <w:rPr>
          <w:rFonts w:eastAsiaTheme="minorHAnsi" w:cs="Arial"/>
          <w:color w:val="000000"/>
          <w:sz w:val="28"/>
          <w:szCs w:val="28"/>
          <w:lang w:eastAsia="en-US"/>
        </w:rPr>
        <w:t>a aspectos meramente económicos, no así jurídicos.</w:t>
      </w:r>
    </w:p>
    <w:p w14:paraId="72D5377E" w14:textId="77777777" w:rsidR="00036CF0" w:rsidRPr="00C67536" w:rsidRDefault="00036CF0" w:rsidP="00036CF0">
      <w:pPr>
        <w:pStyle w:val="ListParagraph"/>
        <w:rPr>
          <w:rFonts w:ascii="Arial" w:eastAsiaTheme="minorHAnsi" w:hAnsi="Arial" w:cs="Arial"/>
          <w:b/>
          <w:bCs/>
          <w:color w:val="000000"/>
          <w:sz w:val="28"/>
          <w:szCs w:val="28"/>
          <w:lang w:eastAsia="en-US"/>
        </w:rPr>
      </w:pPr>
    </w:p>
    <w:p w14:paraId="59C8E51A" w14:textId="42817155" w:rsidR="00DE5799" w:rsidRPr="00C67536" w:rsidRDefault="00036CF0" w:rsidP="00B144AE">
      <w:pPr>
        <w:pStyle w:val="corte4fondo"/>
        <w:numPr>
          <w:ilvl w:val="0"/>
          <w:numId w:val="15"/>
        </w:numPr>
        <w:ind w:left="0" w:hanging="567"/>
        <w:rPr>
          <w:rFonts w:eastAsiaTheme="minorHAnsi" w:cs="Arial"/>
          <w:color w:val="000000"/>
          <w:sz w:val="28"/>
          <w:szCs w:val="28"/>
          <w:lang w:eastAsia="en-US"/>
        </w:rPr>
      </w:pPr>
      <w:r w:rsidRPr="00C67536">
        <w:rPr>
          <w:rFonts w:eastAsiaTheme="minorHAnsi" w:cs="Arial"/>
          <w:color w:val="000000"/>
          <w:sz w:val="28"/>
          <w:szCs w:val="28"/>
          <w:lang w:eastAsia="en-US"/>
        </w:rPr>
        <w:t xml:space="preserve">Ahora bien, </w:t>
      </w:r>
      <w:r w:rsidR="006342B6" w:rsidRPr="00C67536">
        <w:rPr>
          <w:rFonts w:eastAsiaTheme="minorHAnsi" w:cs="Arial"/>
          <w:color w:val="000000"/>
          <w:sz w:val="28"/>
          <w:szCs w:val="28"/>
          <w:lang w:eastAsia="en-US"/>
        </w:rPr>
        <w:t>el citado dispositivo de la norma impugnada establece lo siguiente:</w:t>
      </w:r>
    </w:p>
    <w:p w14:paraId="0B09F037" w14:textId="77777777" w:rsidR="00DE5799" w:rsidRPr="00C67536" w:rsidRDefault="00DE5799" w:rsidP="00DE5799">
      <w:pPr>
        <w:pStyle w:val="ListParagraph"/>
        <w:rPr>
          <w:rFonts w:ascii="Arial" w:eastAsiaTheme="minorHAnsi" w:hAnsi="Arial" w:cs="Arial"/>
          <w:color w:val="000000"/>
          <w:sz w:val="28"/>
          <w:szCs w:val="28"/>
          <w:lang w:eastAsia="en-US"/>
        </w:rPr>
      </w:pPr>
    </w:p>
    <w:p w14:paraId="0221FBBE" w14:textId="199F0F64" w:rsidR="00DE5799" w:rsidRPr="00C67536" w:rsidRDefault="00F85C2A" w:rsidP="002F3FAD">
      <w:pPr>
        <w:autoSpaceDE w:val="0"/>
        <w:autoSpaceDN w:val="0"/>
        <w:adjustRightInd w:val="0"/>
        <w:ind w:left="567" w:right="335"/>
        <w:jc w:val="both"/>
        <w:rPr>
          <w:rFonts w:ascii="Arial" w:eastAsiaTheme="minorHAnsi" w:hAnsi="Arial" w:cs="Arial"/>
          <w:b/>
          <w:bCs/>
          <w:i/>
          <w:iCs/>
          <w:sz w:val="26"/>
          <w:szCs w:val="26"/>
          <w:lang w:eastAsia="en-US"/>
        </w:rPr>
      </w:pPr>
      <w:r w:rsidRPr="00C67536">
        <w:rPr>
          <w:rFonts w:ascii="Arial" w:eastAsiaTheme="minorHAnsi" w:hAnsi="Arial" w:cs="Arial"/>
          <w:b/>
          <w:bCs/>
          <w:i/>
          <w:iCs/>
          <w:sz w:val="26"/>
          <w:szCs w:val="26"/>
          <w:lang w:eastAsia="en-US"/>
        </w:rPr>
        <w:t>“</w:t>
      </w:r>
      <w:r w:rsidR="00DE5799" w:rsidRPr="00C67536">
        <w:rPr>
          <w:rFonts w:ascii="Arial" w:eastAsiaTheme="minorHAnsi" w:hAnsi="Arial" w:cs="Arial"/>
          <w:b/>
          <w:bCs/>
          <w:i/>
          <w:iCs/>
          <w:sz w:val="26"/>
          <w:szCs w:val="26"/>
          <w:lang w:eastAsia="en-US"/>
        </w:rPr>
        <w:t>1. Objetivo y Campo de Aplicación</w:t>
      </w:r>
      <w:r w:rsidR="001D1E1B">
        <w:rPr>
          <w:rFonts w:ascii="Arial" w:eastAsiaTheme="minorHAnsi" w:hAnsi="Arial" w:cs="Arial"/>
          <w:b/>
          <w:bCs/>
          <w:i/>
          <w:iCs/>
          <w:sz w:val="26"/>
          <w:szCs w:val="26"/>
          <w:lang w:eastAsia="en-US"/>
        </w:rPr>
        <w:t>.</w:t>
      </w:r>
    </w:p>
    <w:p w14:paraId="7623829E" w14:textId="0D2DD3C3" w:rsidR="00DE5799" w:rsidRPr="00C67536" w:rsidRDefault="00DE5799" w:rsidP="002F3FAD">
      <w:pPr>
        <w:autoSpaceDE w:val="0"/>
        <w:autoSpaceDN w:val="0"/>
        <w:adjustRightInd w:val="0"/>
        <w:ind w:left="567" w:right="335"/>
        <w:jc w:val="both"/>
        <w:rPr>
          <w:rFonts w:ascii="Arial" w:eastAsiaTheme="minorHAnsi" w:hAnsi="Arial" w:cs="Arial"/>
          <w:i/>
          <w:iCs/>
          <w:sz w:val="26"/>
          <w:szCs w:val="26"/>
          <w:lang w:eastAsia="en-US"/>
        </w:rPr>
      </w:pPr>
      <w:r w:rsidRPr="00C67536">
        <w:rPr>
          <w:rFonts w:ascii="Arial" w:eastAsiaTheme="minorHAnsi" w:hAnsi="Arial" w:cs="Arial"/>
          <w:i/>
          <w:iCs/>
          <w:sz w:val="26"/>
          <w:szCs w:val="26"/>
          <w:lang w:eastAsia="en-US"/>
        </w:rPr>
        <w:t>Esta Norma Oficial Mexicana tiene por objeto establecer la información comercial y sanitaria que debe</w:t>
      </w:r>
      <w:r w:rsidR="006342B6" w:rsidRPr="00C67536">
        <w:rPr>
          <w:rFonts w:ascii="Arial" w:eastAsiaTheme="minorHAnsi" w:hAnsi="Arial" w:cs="Arial"/>
          <w:i/>
          <w:iCs/>
          <w:sz w:val="26"/>
          <w:szCs w:val="26"/>
          <w:lang w:eastAsia="en-US"/>
        </w:rPr>
        <w:t xml:space="preserve"> </w:t>
      </w:r>
      <w:r w:rsidRPr="00C67536">
        <w:rPr>
          <w:rFonts w:ascii="Arial" w:eastAsiaTheme="minorHAnsi" w:hAnsi="Arial" w:cs="Arial"/>
          <w:i/>
          <w:iCs/>
          <w:sz w:val="26"/>
          <w:szCs w:val="26"/>
          <w:lang w:eastAsia="en-US"/>
        </w:rPr>
        <w:t>contener el etiquetado del producto preenvasado destinado al consumidor final, de fabricación nacional o</w:t>
      </w:r>
      <w:r w:rsidR="006342B6" w:rsidRPr="00C67536">
        <w:rPr>
          <w:rFonts w:ascii="Arial" w:eastAsiaTheme="minorHAnsi" w:hAnsi="Arial" w:cs="Arial"/>
          <w:i/>
          <w:iCs/>
          <w:sz w:val="26"/>
          <w:szCs w:val="26"/>
          <w:lang w:eastAsia="en-US"/>
        </w:rPr>
        <w:t xml:space="preserve"> </w:t>
      </w:r>
      <w:r w:rsidRPr="00C67536">
        <w:rPr>
          <w:rFonts w:ascii="Arial" w:eastAsiaTheme="minorHAnsi" w:hAnsi="Arial" w:cs="Arial"/>
          <w:i/>
          <w:iCs/>
          <w:sz w:val="26"/>
          <w:szCs w:val="26"/>
          <w:lang w:eastAsia="en-US"/>
        </w:rPr>
        <w:t>extranjera, comercializado en territorio nacional, así como determinar las características de dicha información</w:t>
      </w:r>
      <w:r w:rsidR="006342B6" w:rsidRPr="00C67536">
        <w:rPr>
          <w:rFonts w:ascii="Arial" w:eastAsiaTheme="minorHAnsi" w:hAnsi="Arial" w:cs="Arial"/>
          <w:i/>
          <w:iCs/>
          <w:sz w:val="26"/>
          <w:szCs w:val="26"/>
          <w:lang w:eastAsia="en-US"/>
        </w:rPr>
        <w:t xml:space="preserve"> </w:t>
      </w:r>
      <w:r w:rsidRPr="00C67536">
        <w:rPr>
          <w:rFonts w:ascii="Arial" w:eastAsiaTheme="minorHAnsi" w:hAnsi="Arial" w:cs="Arial"/>
          <w:i/>
          <w:iCs/>
          <w:sz w:val="26"/>
          <w:szCs w:val="26"/>
          <w:lang w:eastAsia="en-US"/>
        </w:rPr>
        <w:t>y establecer un sistema de etiquetado frontal, el cual debe advertir de forma clara y veraz sobre el contenido</w:t>
      </w:r>
      <w:r w:rsidR="006342B6" w:rsidRPr="00C67536">
        <w:rPr>
          <w:rFonts w:ascii="Arial" w:eastAsiaTheme="minorHAnsi" w:hAnsi="Arial" w:cs="Arial"/>
          <w:i/>
          <w:iCs/>
          <w:sz w:val="26"/>
          <w:szCs w:val="26"/>
          <w:lang w:eastAsia="en-US"/>
        </w:rPr>
        <w:t xml:space="preserve"> </w:t>
      </w:r>
      <w:r w:rsidRPr="00C67536">
        <w:rPr>
          <w:rFonts w:ascii="Arial" w:eastAsiaTheme="minorHAnsi" w:hAnsi="Arial" w:cs="Arial"/>
          <w:i/>
          <w:iCs/>
          <w:sz w:val="26"/>
          <w:szCs w:val="26"/>
          <w:lang w:eastAsia="en-US"/>
        </w:rPr>
        <w:t>de nutrimentos críticos e ingredientes que representan riesgos para su salud en un consumo excesivo.</w:t>
      </w:r>
    </w:p>
    <w:p w14:paraId="4B56E188" w14:textId="77777777" w:rsidR="00DE5799" w:rsidRPr="00C67536" w:rsidRDefault="00DE5799" w:rsidP="002F3FAD">
      <w:pPr>
        <w:autoSpaceDE w:val="0"/>
        <w:autoSpaceDN w:val="0"/>
        <w:adjustRightInd w:val="0"/>
        <w:ind w:left="567" w:right="335"/>
        <w:jc w:val="both"/>
        <w:rPr>
          <w:rFonts w:ascii="Arial" w:eastAsiaTheme="minorHAnsi" w:hAnsi="Arial" w:cs="Arial"/>
          <w:i/>
          <w:iCs/>
          <w:sz w:val="26"/>
          <w:szCs w:val="26"/>
          <w:lang w:eastAsia="en-US"/>
        </w:rPr>
      </w:pPr>
      <w:r w:rsidRPr="00C67536">
        <w:rPr>
          <w:rFonts w:ascii="Arial" w:eastAsiaTheme="minorHAnsi" w:hAnsi="Arial" w:cs="Arial"/>
          <w:i/>
          <w:iCs/>
          <w:sz w:val="26"/>
          <w:szCs w:val="26"/>
          <w:lang w:eastAsia="en-US"/>
        </w:rPr>
        <w:t>La presente Norma Oficial Mexicana no se aplica a:</w:t>
      </w:r>
    </w:p>
    <w:p w14:paraId="376AD4F1" w14:textId="216BE01D" w:rsidR="00DE5799" w:rsidRPr="00C67536" w:rsidRDefault="00DE5799" w:rsidP="002F3FAD">
      <w:pPr>
        <w:autoSpaceDE w:val="0"/>
        <w:autoSpaceDN w:val="0"/>
        <w:adjustRightInd w:val="0"/>
        <w:ind w:left="567" w:right="335"/>
        <w:jc w:val="both"/>
        <w:rPr>
          <w:rFonts w:ascii="Arial" w:eastAsiaTheme="minorHAnsi" w:hAnsi="Arial" w:cs="Arial"/>
          <w:i/>
          <w:iCs/>
          <w:sz w:val="26"/>
          <w:szCs w:val="26"/>
          <w:lang w:eastAsia="en-US"/>
        </w:rPr>
      </w:pPr>
      <w:r w:rsidRPr="00C67536">
        <w:rPr>
          <w:rFonts w:ascii="Arial" w:eastAsiaTheme="minorHAnsi" w:hAnsi="Arial" w:cs="Arial"/>
          <w:b/>
          <w:bCs/>
          <w:i/>
          <w:iCs/>
          <w:sz w:val="26"/>
          <w:szCs w:val="26"/>
          <w:lang w:eastAsia="en-US"/>
        </w:rPr>
        <w:t xml:space="preserve">a) </w:t>
      </w:r>
      <w:r w:rsidRPr="00C67536">
        <w:rPr>
          <w:rFonts w:ascii="Arial" w:eastAsiaTheme="minorHAnsi" w:hAnsi="Arial" w:cs="Arial"/>
          <w:i/>
          <w:iCs/>
          <w:sz w:val="26"/>
          <w:szCs w:val="26"/>
          <w:lang w:eastAsia="en-US"/>
        </w:rPr>
        <w:t>los alimentos y las bebidas no alcohólicas preenvasados que estén sujetos a disposiciones de</w:t>
      </w:r>
      <w:r w:rsidR="00372588" w:rsidRPr="00C67536">
        <w:rPr>
          <w:rFonts w:ascii="Arial" w:eastAsiaTheme="minorHAnsi" w:hAnsi="Arial" w:cs="Arial"/>
          <w:i/>
          <w:iCs/>
          <w:sz w:val="26"/>
          <w:szCs w:val="26"/>
          <w:lang w:eastAsia="en-US"/>
        </w:rPr>
        <w:t xml:space="preserve"> </w:t>
      </w:r>
      <w:r w:rsidRPr="00C67536">
        <w:rPr>
          <w:rFonts w:ascii="Arial" w:eastAsiaTheme="minorHAnsi" w:hAnsi="Arial" w:cs="Arial"/>
          <w:i/>
          <w:iCs/>
          <w:sz w:val="26"/>
          <w:szCs w:val="26"/>
          <w:lang w:eastAsia="en-US"/>
        </w:rPr>
        <w:t>información comercial y sanitaria contenidas en Normas Oficiales Mexicanas específicas y que no</w:t>
      </w:r>
      <w:r w:rsidR="00372588" w:rsidRPr="00C67536">
        <w:rPr>
          <w:rFonts w:ascii="Arial" w:eastAsiaTheme="minorHAnsi" w:hAnsi="Arial" w:cs="Arial"/>
          <w:i/>
          <w:iCs/>
          <w:sz w:val="26"/>
          <w:szCs w:val="26"/>
          <w:lang w:eastAsia="en-US"/>
        </w:rPr>
        <w:t xml:space="preserve"> </w:t>
      </w:r>
      <w:r w:rsidRPr="00C67536">
        <w:rPr>
          <w:rFonts w:ascii="Arial" w:eastAsiaTheme="minorHAnsi" w:hAnsi="Arial" w:cs="Arial"/>
          <w:i/>
          <w:iCs/>
          <w:sz w:val="26"/>
          <w:szCs w:val="26"/>
          <w:lang w:eastAsia="en-US"/>
        </w:rPr>
        <w:t>incluyan como referencia normativa a esta Norma Oficial Mexicana, o en alguna otra reglamentación</w:t>
      </w:r>
      <w:r w:rsidR="00372588" w:rsidRPr="00C67536">
        <w:rPr>
          <w:rFonts w:ascii="Arial" w:eastAsiaTheme="minorHAnsi" w:hAnsi="Arial" w:cs="Arial"/>
          <w:i/>
          <w:iCs/>
          <w:sz w:val="26"/>
          <w:szCs w:val="26"/>
          <w:lang w:eastAsia="en-US"/>
        </w:rPr>
        <w:t xml:space="preserve"> </w:t>
      </w:r>
      <w:r w:rsidRPr="00C67536">
        <w:rPr>
          <w:rFonts w:ascii="Arial" w:eastAsiaTheme="minorHAnsi" w:hAnsi="Arial" w:cs="Arial"/>
          <w:i/>
          <w:iCs/>
          <w:sz w:val="26"/>
          <w:szCs w:val="26"/>
          <w:lang w:eastAsia="en-US"/>
        </w:rPr>
        <w:t>federal vigente que explícitamente excluya de su cumplimiento al presente ordenamiento;</w:t>
      </w:r>
    </w:p>
    <w:p w14:paraId="1877F9E5" w14:textId="77777777" w:rsidR="00DE5799" w:rsidRPr="00C67536" w:rsidRDefault="00DE5799" w:rsidP="002F3FAD">
      <w:pPr>
        <w:autoSpaceDE w:val="0"/>
        <w:autoSpaceDN w:val="0"/>
        <w:adjustRightInd w:val="0"/>
        <w:ind w:left="567" w:right="335"/>
        <w:jc w:val="both"/>
        <w:rPr>
          <w:rFonts w:ascii="Arial" w:eastAsiaTheme="minorHAnsi" w:hAnsi="Arial" w:cs="Arial"/>
          <w:i/>
          <w:iCs/>
          <w:sz w:val="26"/>
          <w:szCs w:val="26"/>
          <w:lang w:eastAsia="en-US"/>
        </w:rPr>
      </w:pPr>
      <w:r w:rsidRPr="00C67536">
        <w:rPr>
          <w:rFonts w:ascii="Arial" w:eastAsiaTheme="minorHAnsi" w:hAnsi="Arial" w:cs="Arial"/>
          <w:b/>
          <w:bCs/>
          <w:i/>
          <w:iCs/>
          <w:sz w:val="26"/>
          <w:szCs w:val="26"/>
          <w:lang w:eastAsia="en-US"/>
        </w:rPr>
        <w:t xml:space="preserve">b) </w:t>
      </w:r>
      <w:r w:rsidRPr="00C67536">
        <w:rPr>
          <w:rFonts w:ascii="Arial" w:eastAsiaTheme="minorHAnsi" w:hAnsi="Arial" w:cs="Arial"/>
          <w:i/>
          <w:iCs/>
          <w:sz w:val="26"/>
          <w:szCs w:val="26"/>
          <w:lang w:eastAsia="en-US"/>
        </w:rPr>
        <w:t>los alimentos y las bebidas no alcohólicas a granel;</w:t>
      </w:r>
    </w:p>
    <w:p w14:paraId="4DBA7F96" w14:textId="77777777" w:rsidR="00DE5799" w:rsidRPr="00C67536" w:rsidRDefault="00DE5799" w:rsidP="002F3FAD">
      <w:pPr>
        <w:autoSpaceDE w:val="0"/>
        <w:autoSpaceDN w:val="0"/>
        <w:adjustRightInd w:val="0"/>
        <w:ind w:left="567" w:right="335"/>
        <w:jc w:val="both"/>
        <w:rPr>
          <w:rFonts w:ascii="Arial" w:eastAsiaTheme="minorHAnsi" w:hAnsi="Arial" w:cs="Arial"/>
          <w:i/>
          <w:iCs/>
          <w:sz w:val="26"/>
          <w:szCs w:val="26"/>
          <w:lang w:eastAsia="en-US"/>
        </w:rPr>
      </w:pPr>
      <w:r w:rsidRPr="00C67536">
        <w:rPr>
          <w:rFonts w:ascii="Arial" w:eastAsiaTheme="minorHAnsi" w:hAnsi="Arial" w:cs="Arial"/>
          <w:b/>
          <w:bCs/>
          <w:i/>
          <w:iCs/>
          <w:sz w:val="26"/>
          <w:szCs w:val="26"/>
          <w:lang w:eastAsia="en-US"/>
        </w:rPr>
        <w:t xml:space="preserve">c) </w:t>
      </w:r>
      <w:r w:rsidRPr="00C67536">
        <w:rPr>
          <w:rFonts w:ascii="Arial" w:eastAsiaTheme="minorHAnsi" w:hAnsi="Arial" w:cs="Arial"/>
          <w:i/>
          <w:iCs/>
          <w:sz w:val="26"/>
          <w:szCs w:val="26"/>
          <w:lang w:eastAsia="en-US"/>
        </w:rPr>
        <w:t>los alimentos y las bebidas no alcohólicas envasados en punto de venta; y</w:t>
      </w:r>
    </w:p>
    <w:p w14:paraId="5D57BD78" w14:textId="0328F956" w:rsidR="00DE5799" w:rsidRPr="00C67536" w:rsidRDefault="00DE5799" w:rsidP="002F3FAD">
      <w:pPr>
        <w:pStyle w:val="corte4fondo"/>
        <w:spacing w:line="240" w:lineRule="auto"/>
        <w:ind w:left="567" w:right="335" w:firstLine="0"/>
        <w:rPr>
          <w:rFonts w:eastAsiaTheme="minorHAnsi" w:cs="Arial"/>
          <w:color w:val="000000"/>
          <w:sz w:val="28"/>
          <w:szCs w:val="28"/>
          <w:lang w:eastAsia="en-US"/>
        </w:rPr>
      </w:pPr>
      <w:r w:rsidRPr="00C67536">
        <w:rPr>
          <w:rFonts w:eastAsiaTheme="minorHAnsi" w:cs="Arial"/>
          <w:b/>
          <w:bCs/>
          <w:i/>
          <w:iCs/>
          <w:sz w:val="26"/>
          <w:szCs w:val="26"/>
          <w:lang w:eastAsia="en-US"/>
        </w:rPr>
        <w:t xml:space="preserve">d) </w:t>
      </w:r>
      <w:r w:rsidRPr="00C67536">
        <w:rPr>
          <w:rFonts w:eastAsiaTheme="minorHAnsi" w:cs="Arial"/>
          <w:i/>
          <w:iCs/>
          <w:sz w:val="26"/>
          <w:szCs w:val="26"/>
          <w:lang w:eastAsia="en-US"/>
        </w:rPr>
        <w:t>los demás productos que determine la autoridad competente, conforme a sus atribuciones.</w:t>
      </w:r>
      <w:r w:rsidR="00F85C2A" w:rsidRPr="00C67536">
        <w:rPr>
          <w:rFonts w:eastAsiaTheme="minorHAnsi" w:cs="Arial"/>
          <w:i/>
          <w:iCs/>
          <w:sz w:val="26"/>
          <w:szCs w:val="26"/>
          <w:lang w:eastAsia="en-US"/>
        </w:rPr>
        <w:t>”</w:t>
      </w:r>
    </w:p>
    <w:p w14:paraId="45F6A4D3" w14:textId="77777777" w:rsidR="00DE5799" w:rsidRPr="00C67536" w:rsidRDefault="00DE5799" w:rsidP="00DE5799">
      <w:pPr>
        <w:pStyle w:val="ListParagraph"/>
        <w:rPr>
          <w:rFonts w:ascii="Arial" w:eastAsiaTheme="minorHAnsi" w:hAnsi="Arial" w:cs="Arial"/>
          <w:color w:val="000000"/>
          <w:sz w:val="28"/>
          <w:szCs w:val="28"/>
          <w:lang w:eastAsia="en-US"/>
        </w:rPr>
      </w:pPr>
    </w:p>
    <w:p w14:paraId="01BB14A0" w14:textId="0B92C429" w:rsidR="00523C9B" w:rsidRPr="00C67536" w:rsidRDefault="00B40805" w:rsidP="00B144AE">
      <w:pPr>
        <w:pStyle w:val="corte4fondo"/>
        <w:numPr>
          <w:ilvl w:val="0"/>
          <w:numId w:val="15"/>
        </w:numPr>
        <w:ind w:left="0" w:hanging="567"/>
        <w:rPr>
          <w:rFonts w:eastAsiaTheme="minorHAnsi" w:cs="Arial"/>
          <w:color w:val="000000"/>
          <w:sz w:val="28"/>
          <w:szCs w:val="28"/>
          <w:lang w:eastAsia="en-US"/>
        </w:rPr>
      </w:pPr>
      <w:r w:rsidRPr="00C67536">
        <w:rPr>
          <w:rFonts w:eastAsiaTheme="minorHAnsi" w:cs="Arial"/>
          <w:color w:val="000000"/>
          <w:sz w:val="28"/>
          <w:szCs w:val="28"/>
          <w:lang w:eastAsia="en-US"/>
        </w:rPr>
        <w:t xml:space="preserve">Como se aprecia, la normativa trascrita </w:t>
      </w:r>
      <w:r w:rsidR="003A396C" w:rsidRPr="00C67536">
        <w:rPr>
          <w:rFonts w:eastAsiaTheme="minorHAnsi" w:cs="Arial"/>
          <w:color w:val="000000"/>
          <w:sz w:val="28"/>
          <w:szCs w:val="28"/>
          <w:lang w:eastAsia="en-US"/>
        </w:rPr>
        <w:t>establece que el objeto es</w:t>
      </w:r>
      <w:r w:rsidR="00B05D02" w:rsidRPr="00C67536">
        <w:rPr>
          <w:rFonts w:eastAsiaTheme="minorHAnsi" w:cs="Arial"/>
          <w:color w:val="000000"/>
          <w:sz w:val="28"/>
          <w:szCs w:val="28"/>
          <w:lang w:eastAsia="en-US"/>
        </w:rPr>
        <w:t xml:space="preserve"> establecer la información comercial y sanitaria que debe contener el etiquetado del producto preenvasado</w:t>
      </w:r>
      <w:r w:rsidR="00FE6DA8" w:rsidRPr="00C67536">
        <w:rPr>
          <w:rFonts w:eastAsiaTheme="minorHAnsi" w:cs="Arial"/>
          <w:color w:val="000000"/>
          <w:sz w:val="28"/>
          <w:szCs w:val="28"/>
          <w:lang w:eastAsia="en-US"/>
        </w:rPr>
        <w:t xml:space="preserve"> destinado al consumidor final y que dicha norma</w:t>
      </w:r>
      <w:r w:rsidR="008919E9" w:rsidRPr="00C67536">
        <w:rPr>
          <w:rFonts w:eastAsiaTheme="minorHAnsi" w:cs="Arial"/>
          <w:color w:val="000000"/>
          <w:sz w:val="28"/>
          <w:szCs w:val="28"/>
          <w:lang w:eastAsia="en-US"/>
        </w:rPr>
        <w:t xml:space="preserve"> no se aplica a diversos alimentos</w:t>
      </w:r>
      <w:r w:rsidR="00523C9B" w:rsidRPr="00C67536">
        <w:rPr>
          <w:rFonts w:eastAsiaTheme="minorHAnsi" w:cs="Arial"/>
          <w:color w:val="000000"/>
          <w:sz w:val="28"/>
          <w:szCs w:val="28"/>
          <w:lang w:eastAsia="en-US"/>
        </w:rPr>
        <w:t xml:space="preserve"> </w:t>
      </w:r>
      <w:r w:rsidR="00BE4900" w:rsidRPr="00C67536">
        <w:rPr>
          <w:rFonts w:eastAsiaTheme="minorHAnsi" w:cs="Arial"/>
          <w:color w:val="000000"/>
          <w:sz w:val="28"/>
          <w:szCs w:val="28"/>
          <w:lang w:eastAsia="en-US"/>
        </w:rPr>
        <w:t>y</w:t>
      </w:r>
      <w:r w:rsidR="00BE4900" w:rsidRPr="00C67536">
        <w:rPr>
          <w:rFonts w:eastAsiaTheme="minorHAnsi" w:cs="Arial"/>
          <w:sz w:val="28"/>
          <w:szCs w:val="28"/>
          <w:lang w:eastAsia="en-US"/>
        </w:rPr>
        <w:t xml:space="preserve"> bebidas no alcohólicas preenvasados</w:t>
      </w:r>
      <w:r w:rsidR="00BE4900" w:rsidRPr="00C67536">
        <w:rPr>
          <w:rFonts w:eastAsiaTheme="minorHAnsi" w:cs="Arial"/>
          <w:color w:val="000000"/>
          <w:sz w:val="28"/>
          <w:szCs w:val="28"/>
          <w:lang w:eastAsia="en-US"/>
        </w:rPr>
        <w:t xml:space="preserve"> </w:t>
      </w:r>
      <w:r w:rsidR="00523C9B" w:rsidRPr="00C67536">
        <w:rPr>
          <w:rFonts w:eastAsiaTheme="minorHAnsi" w:cs="Arial"/>
          <w:color w:val="000000"/>
          <w:sz w:val="28"/>
          <w:szCs w:val="28"/>
          <w:lang w:eastAsia="en-US"/>
        </w:rPr>
        <w:t xml:space="preserve">como son: los </w:t>
      </w:r>
      <w:r w:rsidR="00523C9B" w:rsidRPr="00C67536">
        <w:rPr>
          <w:rFonts w:eastAsiaTheme="minorHAnsi" w:cs="Arial"/>
          <w:sz w:val="28"/>
          <w:szCs w:val="28"/>
          <w:lang w:eastAsia="en-US"/>
        </w:rPr>
        <w:t>sujetos a disposiciones de información comercial y sanitaria contenidas en Normas Oficiales Mexicanas específicas; a granel;</w:t>
      </w:r>
      <w:r w:rsidR="00BE4900" w:rsidRPr="00C67536">
        <w:rPr>
          <w:rFonts w:eastAsiaTheme="minorHAnsi" w:cs="Arial"/>
          <w:sz w:val="28"/>
          <w:szCs w:val="28"/>
          <w:lang w:eastAsia="en-US"/>
        </w:rPr>
        <w:t xml:space="preserve"> </w:t>
      </w:r>
      <w:r w:rsidR="00523C9B" w:rsidRPr="00C67536">
        <w:rPr>
          <w:rFonts w:eastAsiaTheme="minorHAnsi" w:cs="Arial"/>
          <w:sz w:val="28"/>
          <w:szCs w:val="28"/>
          <w:lang w:eastAsia="en-US"/>
        </w:rPr>
        <w:t>envasados en punto de venta; y</w:t>
      </w:r>
      <w:r w:rsidR="00BE4900" w:rsidRPr="00C67536">
        <w:rPr>
          <w:rFonts w:eastAsiaTheme="minorHAnsi" w:cs="Arial"/>
          <w:sz w:val="28"/>
          <w:szCs w:val="28"/>
          <w:lang w:eastAsia="en-US"/>
        </w:rPr>
        <w:t>,</w:t>
      </w:r>
      <w:r w:rsidR="00BE4900" w:rsidRPr="00C67536">
        <w:rPr>
          <w:rFonts w:eastAsiaTheme="minorHAnsi" w:cs="Arial"/>
          <w:color w:val="000000"/>
          <w:sz w:val="28"/>
          <w:szCs w:val="28"/>
          <w:lang w:eastAsia="en-US"/>
        </w:rPr>
        <w:t xml:space="preserve"> </w:t>
      </w:r>
      <w:r w:rsidR="00523C9B" w:rsidRPr="00C67536">
        <w:rPr>
          <w:rFonts w:eastAsiaTheme="minorHAnsi" w:cs="Arial"/>
          <w:sz w:val="28"/>
          <w:szCs w:val="28"/>
          <w:lang w:eastAsia="en-US"/>
        </w:rPr>
        <w:t>los demás productos que determine la autoridad competente, conforme a sus atribuciones.</w:t>
      </w:r>
    </w:p>
    <w:p w14:paraId="3B45EF9F" w14:textId="77777777" w:rsidR="00FE67AF" w:rsidRPr="00C67536" w:rsidRDefault="00FE67AF" w:rsidP="00FE67AF">
      <w:pPr>
        <w:pStyle w:val="corte4fondo"/>
        <w:ind w:firstLine="0"/>
        <w:rPr>
          <w:rFonts w:eastAsiaTheme="minorHAnsi" w:cs="Arial"/>
          <w:color w:val="000000"/>
          <w:sz w:val="28"/>
          <w:szCs w:val="28"/>
          <w:lang w:eastAsia="en-US"/>
        </w:rPr>
      </w:pPr>
    </w:p>
    <w:p w14:paraId="286D1F6D" w14:textId="39A2C122" w:rsidR="00090D4E" w:rsidRPr="00C67536" w:rsidRDefault="00FE67AF" w:rsidP="00B144AE">
      <w:pPr>
        <w:pStyle w:val="corte4fondo"/>
        <w:numPr>
          <w:ilvl w:val="0"/>
          <w:numId w:val="15"/>
        </w:numPr>
        <w:ind w:left="0" w:hanging="567"/>
        <w:rPr>
          <w:rFonts w:eastAsiaTheme="minorHAnsi" w:cs="Arial"/>
          <w:color w:val="000000"/>
          <w:sz w:val="28"/>
          <w:szCs w:val="28"/>
          <w:lang w:eastAsia="en-US"/>
        </w:rPr>
      </w:pPr>
      <w:r w:rsidRPr="00C67536">
        <w:rPr>
          <w:rFonts w:eastAsiaTheme="minorHAnsi" w:cs="Arial"/>
          <w:color w:val="000000"/>
          <w:sz w:val="28"/>
          <w:szCs w:val="28"/>
          <w:lang w:eastAsia="en-US"/>
        </w:rPr>
        <w:t xml:space="preserve">En tal contexto, </w:t>
      </w:r>
      <w:r w:rsidR="00090D4E" w:rsidRPr="00C67536">
        <w:rPr>
          <w:rFonts w:eastAsiaTheme="minorHAnsi" w:cs="Arial"/>
          <w:color w:val="000000"/>
          <w:sz w:val="28"/>
          <w:szCs w:val="28"/>
          <w:lang w:eastAsia="en-US"/>
        </w:rPr>
        <w:t>no es posible, realizar una interpretación conforme de la norma misma, en virtud que e</w:t>
      </w:r>
      <w:r w:rsidR="000A1FBF" w:rsidRPr="00C67536">
        <w:rPr>
          <w:rFonts w:eastAsiaTheme="minorHAnsi" w:cs="Arial"/>
          <w:color w:val="000000"/>
          <w:sz w:val="28"/>
          <w:szCs w:val="28"/>
          <w:lang w:eastAsia="en-US"/>
        </w:rPr>
        <w:t xml:space="preserve">l punto 8, a que hace referencia el Juez Federal, </w:t>
      </w:r>
      <w:r w:rsidR="00130BAD" w:rsidRPr="00C67536">
        <w:rPr>
          <w:rFonts w:eastAsiaTheme="minorHAnsi" w:cs="Arial"/>
          <w:color w:val="000000"/>
          <w:sz w:val="28"/>
          <w:szCs w:val="28"/>
          <w:lang w:eastAsia="en-US"/>
        </w:rPr>
        <w:t>establece</w:t>
      </w:r>
      <w:r w:rsidR="000A1FBF" w:rsidRPr="00C67536">
        <w:rPr>
          <w:rFonts w:eastAsiaTheme="minorHAnsi" w:cs="Arial"/>
          <w:color w:val="000000"/>
          <w:sz w:val="28"/>
          <w:szCs w:val="28"/>
          <w:lang w:eastAsia="en-US"/>
        </w:rPr>
        <w:t xml:space="preserve"> que la </w:t>
      </w:r>
      <w:r w:rsidR="00090D4E" w:rsidRPr="00C67536">
        <w:rPr>
          <w:rFonts w:eastAsiaTheme="minorHAnsi" w:cs="Arial"/>
          <w:b/>
          <w:bCs/>
          <w:sz w:val="28"/>
          <w:szCs w:val="28"/>
          <w:lang w:eastAsia="en-US"/>
        </w:rPr>
        <w:t>verificación y vigilancia</w:t>
      </w:r>
      <w:r w:rsidR="00090D4E" w:rsidRPr="00C67536">
        <w:rPr>
          <w:rFonts w:eastAsiaTheme="minorHAnsi" w:cs="Arial"/>
          <w:sz w:val="28"/>
          <w:szCs w:val="28"/>
          <w:lang w:eastAsia="en-US"/>
        </w:rPr>
        <w:t xml:space="preserve"> de la presente Norma Oficial Mexicana se llevará a cabo por la Procuraduría</w:t>
      </w:r>
      <w:r w:rsidR="00E57F1F" w:rsidRPr="00C67536">
        <w:rPr>
          <w:rFonts w:eastAsiaTheme="minorHAnsi" w:cs="Arial"/>
          <w:sz w:val="28"/>
          <w:szCs w:val="28"/>
          <w:lang w:eastAsia="en-US"/>
        </w:rPr>
        <w:t xml:space="preserve"> </w:t>
      </w:r>
      <w:r w:rsidR="00090D4E" w:rsidRPr="00C67536">
        <w:rPr>
          <w:rFonts w:eastAsiaTheme="minorHAnsi" w:cs="Arial"/>
          <w:sz w:val="28"/>
          <w:szCs w:val="28"/>
          <w:lang w:eastAsia="en-US"/>
        </w:rPr>
        <w:t>Federal del Consumidor, la Comisión Federal para la Protección contra Riesgos Sanitarios y las dependencias</w:t>
      </w:r>
      <w:r w:rsidR="00E57F1F" w:rsidRPr="00C67536">
        <w:rPr>
          <w:rFonts w:eastAsiaTheme="minorHAnsi" w:cs="Arial"/>
          <w:sz w:val="28"/>
          <w:szCs w:val="28"/>
          <w:lang w:eastAsia="en-US"/>
        </w:rPr>
        <w:t xml:space="preserve"> </w:t>
      </w:r>
      <w:r w:rsidR="00090D4E" w:rsidRPr="00C67536">
        <w:rPr>
          <w:rFonts w:eastAsiaTheme="minorHAnsi" w:cs="Arial"/>
          <w:sz w:val="28"/>
          <w:szCs w:val="28"/>
          <w:lang w:eastAsia="en-US"/>
        </w:rPr>
        <w:t>competentes, en el ámbito de sus respectivas competencias, de acuerdo con la Ley Federal de Protección al</w:t>
      </w:r>
      <w:r w:rsidR="00E57F1F" w:rsidRPr="00C67536">
        <w:rPr>
          <w:rFonts w:eastAsiaTheme="minorHAnsi" w:cs="Arial"/>
          <w:sz w:val="28"/>
          <w:szCs w:val="28"/>
          <w:lang w:eastAsia="en-US"/>
        </w:rPr>
        <w:t xml:space="preserve"> </w:t>
      </w:r>
      <w:r w:rsidR="00090D4E" w:rsidRPr="00C67536">
        <w:rPr>
          <w:rFonts w:eastAsiaTheme="minorHAnsi" w:cs="Arial"/>
          <w:sz w:val="28"/>
          <w:szCs w:val="28"/>
          <w:lang w:eastAsia="en-US"/>
        </w:rPr>
        <w:t>Consumidor, la Ley General de Salud, la Ley Federal sobre Metrología y Normalización y demás</w:t>
      </w:r>
      <w:r w:rsidR="00E57F1F" w:rsidRPr="00C67536">
        <w:rPr>
          <w:rFonts w:eastAsiaTheme="minorHAnsi" w:cs="Arial"/>
          <w:color w:val="000000"/>
          <w:sz w:val="28"/>
          <w:szCs w:val="28"/>
          <w:lang w:eastAsia="en-US"/>
        </w:rPr>
        <w:t xml:space="preserve"> </w:t>
      </w:r>
      <w:r w:rsidR="00090D4E" w:rsidRPr="00C67536">
        <w:rPr>
          <w:rFonts w:eastAsiaTheme="minorHAnsi" w:cs="Arial"/>
          <w:sz w:val="28"/>
          <w:szCs w:val="28"/>
          <w:lang w:eastAsia="en-US"/>
        </w:rPr>
        <w:t>ordenamientos jurídicos aplicables.</w:t>
      </w:r>
    </w:p>
    <w:p w14:paraId="766885E3" w14:textId="77777777" w:rsidR="00130BAD" w:rsidRPr="00C67536" w:rsidRDefault="00130BAD" w:rsidP="00130BAD">
      <w:pPr>
        <w:pStyle w:val="ListParagraph"/>
        <w:rPr>
          <w:rFonts w:ascii="Arial" w:eastAsiaTheme="minorHAnsi" w:hAnsi="Arial" w:cs="Arial"/>
          <w:color w:val="000000"/>
          <w:sz w:val="28"/>
          <w:szCs w:val="28"/>
          <w:lang w:eastAsia="en-US"/>
        </w:rPr>
      </w:pPr>
    </w:p>
    <w:p w14:paraId="2AF948B9" w14:textId="7C9502BA" w:rsidR="00C11A43" w:rsidRPr="00C67536" w:rsidRDefault="00EA2CCF" w:rsidP="00B144AE">
      <w:pPr>
        <w:pStyle w:val="corte4fondo"/>
        <w:numPr>
          <w:ilvl w:val="0"/>
          <w:numId w:val="15"/>
        </w:numPr>
        <w:ind w:left="0" w:hanging="567"/>
        <w:rPr>
          <w:rFonts w:eastAsiaTheme="minorHAnsi" w:cs="Arial"/>
          <w:color w:val="000000"/>
          <w:sz w:val="28"/>
          <w:szCs w:val="28"/>
          <w:lang w:eastAsia="en-US"/>
        </w:rPr>
      </w:pPr>
      <w:r w:rsidRPr="00C67536">
        <w:rPr>
          <w:rFonts w:eastAsiaTheme="minorHAnsi" w:cs="Arial"/>
          <w:color w:val="000000"/>
          <w:sz w:val="28"/>
          <w:szCs w:val="28"/>
          <w:lang w:eastAsia="en-US"/>
        </w:rPr>
        <w:t xml:space="preserve">Luego, las facultades de verificación y vigilancia son relativas a la revisión y control de </w:t>
      </w:r>
      <w:r w:rsidR="00CB391D" w:rsidRPr="00C67536">
        <w:rPr>
          <w:rFonts w:eastAsiaTheme="minorHAnsi" w:cs="Arial"/>
          <w:color w:val="000000"/>
          <w:sz w:val="28"/>
          <w:szCs w:val="28"/>
          <w:lang w:eastAsia="en-US"/>
        </w:rPr>
        <w:t>estas</w:t>
      </w:r>
      <w:r w:rsidRPr="00C67536">
        <w:rPr>
          <w:rFonts w:eastAsiaTheme="minorHAnsi" w:cs="Arial"/>
          <w:color w:val="000000"/>
          <w:sz w:val="28"/>
          <w:szCs w:val="28"/>
          <w:lang w:eastAsia="en-US"/>
        </w:rPr>
        <w:t>, no así</w:t>
      </w:r>
      <w:r w:rsidR="008D646E" w:rsidRPr="00C67536">
        <w:rPr>
          <w:rFonts w:eastAsiaTheme="minorHAnsi" w:cs="Arial"/>
          <w:color w:val="000000"/>
          <w:sz w:val="28"/>
          <w:szCs w:val="28"/>
          <w:lang w:eastAsia="en-US"/>
        </w:rPr>
        <w:t xml:space="preserve"> a las facultades para determinar qué producto es sujeto a la norma reclamada, pues ello depende a la autoridad que el legislador ordinario autorizó para ello.</w:t>
      </w:r>
      <w:r w:rsidR="002D6272" w:rsidRPr="00C67536">
        <w:rPr>
          <w:rFonts w:eastAsiaTheme="minorHAnsi" w:cs="Arial"/>
          <w:color w:val="000000"/>
          <w:sz w:val="28"/>
          <w:szCs w:val="28"/>
          <w:lang w:eastAsia="en-US"/>
        </w:rPr>
        <w:t xml:space="preserve"> De ahí</w:t>
      </w:r>
      <w:r w:rsidR="002B3EF3" w:rsidRPr="00C67536">
        <w:rPr>
          <w:rFonts w:eastAsiaTheme="minorHAnsi" w:cs="Arial"/>
          <w:color w:val="000000"/>
          <w:sz w:val="28"/>
          <w:szCs w:val="28"/>
          <w:lang w:eastAsia="en-US"/>
        </w:rPr>
        <w:t xml:space="preserve"> lo fundado del agravio.</w:t>
      </w:r>
    </w:p>
    <w:p w14:paraId="3867B62D" w14:textId="77777777" w:rsidR="00C11A43" w:rsidRPr="00C67536" w:rsidRDefault="00C11A43" w:rsidP="00C11A43">
      <w:pPr>
        <w:pStyle w:val="ListParagraph"/>
        <w:rPr>
          <w:rFonts w:ascii="Arial" w:hAnsi="Arial" w:cs="Arial"/>
          <w:sz w:val="28"/>
          <w:szCs w:val="28"/>
        </w:rPr>
      </w:pPr>
    </w:p>
    <w:p w14:paraId="18805AF3" w14:textId="115A1188" w:rsidR="003B12CD" w:rsidRPr="00C67536" w:rsidRDefault="002B3EF3" w:rsidP="00B144AE">
      <w:pPr>
        <w:pStyle w:val="corte4fondo"/>
        <w:numPr>
          <w:ilvl w:val="0"/>
          <w:numId w:val="15"/>
        </w:numPr>
        <w:ind w:left="0" w:hanging="567"/>
        <w:rPr>
          <w:rFonts w:eastAsiaTheme="minorHAnsi" w:cs="Arial"/>
          <w:color w:val="000000"/>
          <w:sz w:val="28"/>
          <w:szCs w:val="28"/>
          <w:lang w:eastAsia="en-US"/>
        </w:rPr>
      </w:pPr>
      <w:r w:rsidRPr="00C67536">
        <w:rPr>
          <w:rFonts w:cs="Arial"/>
          <w:sz w:val="28"/>
          <w:szCs w:val="28"/>
        </w:rPr>
        <w:t>Sin embargo, es incorrecto que el sistema normativo reclamado no prevé qu</w:t>
      </w:r>
      <w:r w:rsidR="00703A05" w:rsidRPr="00C67536">
        <w:rPr>
          <w:rFonts w:cs="Arial"/>
          <w:sz w:val="28"/>
          <w:szCs w:val="28"/>
        </w:rPr>
        <w:t>é</w:t>
      </w:r>
      <w:r w:rsidRPr="00C67536">
        <w:rPr>
          <w:rFonts w:cs="Arial"/>
          <w:sz w:val="28"/>
          <w:szCs w:val="28"/>
        </w:rPr>
        <w:t xml:space="preserve"> autoridad</w:t>
      </w:r>
      <w:r w:rsidR="003B12CD" w:rsidRPr="00C67536">
        <w:rPr>
          <w:rFonts w:cs="Arial"/>
          <w:sz w:val="28"/>
          <w:szCs w:val="28"/>
        </w:rPr>
        <w:t xml:space="preserve"> </w:t>
      </w:r>
      <w:r w:rsidR="003B12CD" w:rsidRPr="00C67536">
        <w:rPr>
          <w:rFonts w:eastAsiaTheme="minorHAnsi" w:cs="Arial"/>
          <w:color w:val="000000"/>
          <w:sz w:val="28"/>
          <w:szCs w:val="28"/>
          <w:lang w:eastAsia="en-US"/>
        </w:rPr>
        <w:t xml:space="preserve">es la competente para </w:t>
      </w:r>
      <w:r w:rsidR="003B12CD" w:rsidRPr="00C67536">
        <w:rPr>
          <w:rFonts w:eastAsiaTheme="minorHAnsi" w:cs="Arial"/>
          <w:sz w:val="28"/>
          <w:szCs w:val="28"/>
          <w:lang w:val="es-MX" w:eastAsia="en-US"/>
        </w:rPr>
        <w:t>exentar a diversos productos de su aplicación.</w:t>
      </w:r>
    </w:p>
    <w:p w14:paraId="6EBA8D3D" w14:textId="77777777" w:rsidR="002B3EF3" w:rsidRPr="00C67536" w:rsidRDefault="002B3EF3" w:rsidP="002B3EF3">
      <w:pPr>
        <w:pStyle w:val="ListParagraph"/>
        <w:rPr>
          <w:rFonts w:ascii="Arial" w:hAnsi="Arial" w:cs="Arial"/>
          <w:sz w:val="28"/>
          <w:szCs w:val="28"/>
        </w:rPr>
      </w:pPr>
    </w:p>
    <w:p w14:paraId="2BFA1FBF" w14:textId="4971ED70" w:rsidR="00D32E84" w:rsidRPr="00C67536" w:rsidRDefault="00E51F9B" w:rsidP="00B144AE">
      <w:pPr>
        <w:pStyle w:val="corte4fondo"/>
        <w:numPr>
          <w:ilvl w:val="0"/>
          <w:numId w:val="15"/>
        </w:numPr>
        <w:ind w:left="0" w:hanging="567"/>
        <w:rPr>
          <w:rFonts w:eastAsiaTheme="minorHAnsi" w:cs="Arial"/>
          <w:color w:val="000000"/>
          <w:sz w:val="28"/>
          <w:szCs w:val="28"/>
          <w:lang w:eastAsia="en-US"/>
        </w:rPr>
      </w:pPr>
      <w:r w:rsidRPr="00C67536">
        <w:rPr>
          <w:rFonts w:cs="Arial"/>
          <w:sz w:val="28"/>
          <w:szCs w:val="28"/>
        </w:rPr>
        <w:t>Lo anterior</w:t>
      </w:r>
      <w:r w:rsidR="00C11A43" w:rsidRPr="00C67536">
        <w:rPr>
          <w:rFonts w:cs="Arial"/>
          <w:sz w:val="28"/>
          <w:szCs w:val="28"/>
        </w:rPr>
        <w:t>,</w:t>
      </w:r>
      <w:r w:rsidR="00A4710B" w:rsidRPr="00C67536">
        <w:rPr>
          <w:rFonts w:cs="Arial"/>
          <w:sz w:val="28"/>
          <w:szCs w:val="28"/>
        </w:rPr>
        <w:t xml:space="preserve"> porque</w:t>
      </w:r>
      <w:r w:rsidR="00C11A43" w:rsidRPr="00C67536">
        <w:rPr>
          <w:rFonts w:cs="Arial"/>
          <w:sz w:val="28"/>
          <w:szCs w:val="28"/>
        </w:rPr>
        <w:t xml:space="preserve"> </w:t>
      </w:r>
      <w:r w:rsidR="004457D6" w:rsidRPr="00C67536">
        <w:rPr>
          <w:rFonts w:cs="Arial"/>
          <w:sz w:val="28"/>
          <w:szCs w:val="28"/>
        </w:rPr>
        <w:t>la</w:t>
      </w:r>
      <w:r w:rsidR="009C52A2" w:rsidRPr="00C67536">
        <w:rPr>
          <w:rFonts w:cs="Arial"/>
          <w:sz w:val="28"/>
          <w:szCs w:val="28"/>
        </w:rPr>
        <w:t xml:space="preserve"> Segunda Sala al resolver por unanimidad de votos la </w:t>
      </w:r>
      <w:r w:rsidR="00B3197B" w:rsidRPr="00C67536">
        <w:rPr>
          <w:rFonts w:cs="Arial"/>
          <w:sz w:val="28"/>
          <w:szCs w:val="28"/>
        </w:rPr>
        <w:t>C</w:t>
      </w:r>
      <w:r w:rsidR="009C52A2" w:rsidRPr="00C67536">
        <w:rPr>
          <w:rFonts w:cs="Arial"/>
          <w:sz w:val="28"/>
          <w:szCs w:val="28"/>
        </w:rPr>
        <w:t xml:space="preserve">ontradicción de </w:t>
      </w:r>
      <w:r w:rsidR="00B3197B" w:rsidRPr="00C67536">
        <w:rPr>
          <w:rFonts w:cs="Arial"/>
          <w:sz w:val="28"/>
          <w:szCs w:val="28"/>
        </w:rPr>
        <w:t>T</w:t>
      </w:r>
      <w:r w:rsidR="009C52A2" w:rsidRPr="00C67536">
        <w:rPr>
          <w:rFonts w:cs="Arial"/>
          <w:sz w:val="28"/>
          <w:szCs w:val="28"/>
        </w:rPr>
        <w:t>esis 84/2001-SS</w:t>
      </w:r>
      <w:r w:rsidR="00882C9C" w:rsidRPr="00C67536">
        <w:rPr>
          <w:rStyle w:val="FootnoteReference"/>
          <w:rFonts w:cs="Arial"/>
          <w:sz w:val="28"/>
          <w:szCs w:val="28"/>
        </w:rPr>
        <w:footnoteReference w:id="58"/>
      </w:r>
      <w:r w:rsidR="009C52A2" w:rsidRPr="00C67536">
        <w:rPr>
          <w:rFonts w:cs="Arial"/>
          <w:sz w:val="28"/>
          <w:szCs w:val="28"/>
        </w:rPr>
        <w:t xml:space="preserve"> en sesión de seis de agosto de dos mil cuatro, determinó que las </w:t>
      </w:r>
      <w:r w:rsidR="00F20149" w:rsidRPr="00C67536">
        <w:rPr>
          <w:rFonts w:cs="Arial"/>
          <w:sz w:val="28"/>
          <w:szCs w:val="28"/>
        </w:rPr>
        <w:t xml:space="preserve">disposiciones </w:t>
      </w:r>
      <w:r w:rsidR="009C52A2" w:rsidRPr="00C67536">
        <w:rPr>
          <w:rFonts w:cs="Arial"/>
          <w:sz w:val="28"/>
          <w:szCs w:val="28"/>
        </w:rPr>
        <w:t>de carácter general son actos materialmente legislativos cuyo dictado encuentra fundamento en una cláusula habilitante prevista en una ley o en un reglamento</w:t>
      </w:r>
      <w:r w:rsidR="009C52A2" w:rsidRPr="00C67536">
        <w:rPr>
          <w:rFonts w:cs="Arial"/>
          <w:b/>
          <w:sz w:val="28"/>
          <w:szCs w:val="28"/>
        </w:rPr>
        <w:t xml:space="preserve"> </w:t>
      </w:r>
      <w:r w:rsidR="009C52A2" w:rsidRPr="00C67536">
        <w:rPr>
          <w:rFonts w:cs="Arial"/>
          <w:sz w:val="28"/>
          <w:szCs w:val="28"/>
        </w:rPr>
        <w:t>al tenor de la cual una autoridad diversa al Presidente de la República es dotada de la atribución para emitir disposiciones generales cuya finalidad es pormenorizar lo previsto en una ley o en un reglamento.</w:t>
      </w:r>
    </w:p>
    <w:p w14:paraId="35A0B94E" w14:textId="77777777" w:rsidR="00D32E84" w:rsidRPr="00C67536" w:rsidRDefault="00D32E84" w:rsidP="00D32E84">
      <w:pPr>
        <w:pStyle w:val="ListParagraph"/>
        <w:rPr>
          <w:rFonts w:ascii="Arial" w:hAnsi="Arial" w:cs="Arial"/>
          <w:sz w:val="28"/>
          <w:szCs w:val="28"/>
        </w:rPr>
      </w:pPr>
    </w:p>
    <w:p w14:paraId="31D3ECD1" w14:textId="572BB742" w:rsidR="00D32E84" w:rsidRPr="00C67536" w:rsidRDefault="009C52A2" w:rsidP="00B144AE">
      <w:pPr>
        <w:pStyle w:val="corte4fondo"/>
        <w:numPr>
          <w:ilvl w:val="0"/>
          <w:numId w:val="15"/>
        </w:numPr>
        <w:ind w:left="0" w:hanging="567"/>
        <w:rPr>
          <w:rFonts w:eastAsiaTheme="minorHAnsi" w:cs="Arial"/>
          <w:color w:val="000000"/>
          <w:sz w:val="28"/>
          <w:szCs w:val="28"/>
          <w:lang w:eastAsia="en-US"/>
        </w:rPr>
      </w:pPr>
      <w:r w:rsidRPr="00C67536">
        <w:rPr>
          <w:rFonts w:cs="Arial"/>
          <w:sz w:val="28"/>
          <w:szCs w:val="28"/>
        </w:rPr>
        <w:t xml:space="preserve">En cuanto al fundamento constitucional de las </w:t>
      </w:r>
      <w:r w:rsidR="00665BFC" w:rsidRPr="00C67536">
        <w:rPr>
          <w:rFonts w:cs="Arial"/>
          <w:sz w:val="28"/>
          <w:szCs w:val="28"/>
        </w:rPr>
        <w:t>disposiciones</w:t>
      </w:r>
      <w:r w:rsidRPr="00C67536">
        <w:rPr>
          <w:rFonts w:cs="Arial"/>
          <w:sz w:val="28"/>
          <w:szCs w:val="28"/>
        </w:rPr>
        <w:t xml:space="preserve"> de carácter general, </w:t>
      </w:r>
      <w:r w:rsidR="007671B4" w:rsidRPr="00C67536">
        <w:rPr>
          <w:rFonts w:cs="Arial"/>
          <w:sz w:val="28"/>
          <w:szCs w:val="28"/>
        </w:rPr>
        <w:t>la</w:t>
      </w:r>
      <w:r w:rsidRPr="00C67536">
        <w:rPr>
          <w:rFonts w:cs="Arial"/>
          <w:sz w:val="28"/>
          <w:szCs w:val="28"/>
        </w:rPr>
        <w:t xml:space="preserve"> Segunda Sala</w:t>
      </w:r>
      <w:r w:rsidR="007671B4" w:rsidRPr="00C67536">
        <w:rPr>
          <w:rFonts w:cs="Arial"/>
          <w:sz w:val="28"/>
          <w:szCs w:val="28"/>
        </w:rPr>
        <w:t xml:space="preserve"> de este Alto Tribunal</w:t>
      </w:r>
      <w:r w:rsidRPr="00C67536">
        <w:rPr>
          <w:rFonts w:cs="Arial"/>
          <w:sz w:val="28"/>
          <w:szCs w:val="28"/>
        </w:rPr>
        <w:t xml:space="preserve"> emitió el criterio</w:t>
      </w:r>
      <w:r w:rsidRPr="00C67536">
        <w:rPr>
          <w:rStyle w:val="FootnoteReference"/>
          <w:rFonts w:cs="Arial"/>
          <w:sz w:val="28"/>
          <w:szCs w:val="28"/>
        </w:rPr>
        <w:footnoteReference w:id="59"/>
      </w:r>
      <w:r w:rsidRPr="00C67536">
        <w:rPr>
          <w:rFonts w:cs="Arial"/>
          <w:sz w:val="28"/>
          <w:szCs w:val="28"/>
        </w:rPr>
        <w:t xml:space="preserve"> del título, subtítulo y texto siguientes: </w:t>
      </w:r>
    </w:p>
    <w:p w14:paraId="2A30CD18" w14:textId="77777777" w:rsidR="00D32E84" w:rsidRPr="00C67536" w:rsidRDefault="00D32E84" w:rsidP="00D32E84">
      <w:pPr>
        <w:pStyle w:val="ListParagraph"/>
        <w:rPr>
          <w:rFonts w:ascii="Arial" w:hAnsi="Arial" w:cs="Arial"/>
          <w:sz w:val="28"/>
          <w:szCs w:val="28"/>
        </w:rPr>
      </w:pPr>
    </w:p>
    <w:p w14:paraId="76E49344" w14:textId="4702E810" w:rsidR="00D32E84" w:rsidRPr="00C67536" w:rsidRDefault="00F85C2A" w:rsidP="00F85C2A">
      <w:pPr>
        <w:tabs>
          <w:tab w:val="left" w:pos="0"/>
        </w:tabs>
        <w:ind w:left="567" w:right="335"/>
        <w:jc w:val="both"/>
        <w:rPr>
          <w:rFonts w:ascii="Arial" w:hAnsi="Arial" w:cs="Arial"/>
          <w:bCs/>
          <w:i/>
          <w:iCs/>
          <w:sz w:val="26"/>
          <w:szCs w:val="26"/>
          <w:lang w:eastAsia="es-ES"/>
        </w:rPr>
      </w:pPr>
      <w:r w:rsidRPr="00C67536">
        <w:rPr>
          <w:rFonts w:ascii="Arial" w:hAnsi="Arial" w:cs="Arial"/>
          <w:b/>
          <w:i/>
          <w:iCs/>
          <w:sz w:val="26"/>
          <w:szCs w:val="26"/>
          <w:lang w:eastAsia="es-ES"/>
        </w:rPr>
        <w:t>“</w:t>
      </w:r>
      <w:r w:rsidR="00D32E84" w:rsidRPr="00C67536">
        <w:rPr>
          <w:rFonts w:ascii="Arial" w:hAnsi="Arial" w:cs="Arial"/>
          <w:b/>
          <w:i/>
          <w:iCs/>
          <w:sz w:val="26"/>
          <w:szCs w:val="26"/>
          <w:lang w:eastAsia="es-ES"/>
        </w:rPr>
        <w:t>DIVISIÓN DE PODERES. LA FACULTAD CONFERIDA EN UNA LEY A UNA AUTORIDAD ADMINISTRATIVA PARA EMITIR DISPOSICIONES DE OBSERVANCIA GENERAL, NO CONLLEVA UNA VIOLACIÓN A ESE PRINCIPIO CONSTITUCIONAL.</w:t>
      </w:r>
      <w:r w:rsidR="00D32E84" w:rsidRPr="00C67536">
        <w:rPr>
          <w:rFonts w:ascii="Arial" w:hAnsi="Arial" w:cs="Arial"/>
          <w:bCs/>
          <w:i/>
          <w:iCs/>
          <w:sz w:val="26"/>
          <w:szCs w:val="26"/>
          <w:lang w:eastAsia="es-ES"/>
        </w:rPr>
        <w:t xml:space="preserve"> De la interpretación histórica, causal y teleológica de lo dispuesto en el artículo 49 de la Constitución Política de los Estados Unidos Mexicanos, se advierte que con el establecimiento del principio de división de poderes se buscó, por un lado, dividir el ejercicio del poder y el desarrollo de las facultades estatales entre diversos órganos o entes que constitucionalmente se encuentran en un mismo nivel, con el fin de lograr los contrapesos necesarios que permitan un equilibrio de fuerzas y un control recíproco; y, por otro, atribuir a los respectivos órganos, especialmente a los que encarnan el Poder Legislativo y el Poder Judicial, la potestad necesaria para emitir, respectivamente, los actos materialmente legislativos y jurisdiccionales de mayor jerarquía en el orden jurídico nacional, de donde se sigue que la prohibición contenida en el referido numeral, relativa a que el Poder Legislativo no puede depositarse en un individuo, conlleva que en ningún caso, salvo lo previsto en los artículos 29 y 131 de la propia Norma Fundamental, un órgano del Estado diverso al Congreso de la Unión o a las Legislaturas Locales, podrá ejercer las atribuciones que constitucionalmente les son reservadas a éstos, es decir, la emisión de los actos formalmente legislativos, por ser constitucionalmente la fuente primordial de regulación respecto de las materias que tienen una especial trascendencia a la esfera jurídica de los gobernados, deben aprobarse generalmente por el órgano de representación popular. En tal virtud, si al realizarse la distribución de facultades entre los tres poderes, el Constituyente y el Poder Revisor de la Constitución no reservaron al Poder Legislativo la emisión de la totalidad de los actos de autoridad materialmente legislativos, y al Presidente de la República le otorgaron en la propia Constitución la facultad para emitir disposiciones de observancia general sujetas al principio de preferencia de la ley, con el fin de que tal potestad pudiera ejercerse sin necesidad de que el propio Legislativo le confiriera tal atribución, debe concluirse que no existe disposición constitucional alguna que impida al Congreso de la Unión otorgar a las autoridades que orgánicamente se ubican en los Poderes Ejecutivo o Judicial, la facultad necesaria para emitir disposiciones de observancia general sujetas al principio de preferencia o primacía de la ley, derivado de lo previsto en el artículo 72, inciso H), constitucional, lo que conlleva que la regulación contenida en estas normas de rango inferior, no puede derogar, limitar o excluir lo dispuesto en los actos formalmente legislativos, los que tienen una fuerza derogatoria y activa sobre aquéllas, pues pueden derogarlas o, por el contrario, elevarlas de rango convirtiéndolas en ley, prestándoles con ello su propia fuerza superior.</w:t>
      </w:r>
      <w:r w:rsidRPr="00C67536">
        <w:rPr>
          <w:rFonts w:ascii="Arial" w:hAnsi="Arial" w:cs="Arial"/>
          <w:bCs/>
          <w:i/>
          <w:iCs/>
          <w:sz w:val="26"/>
          <w:szCs w:val="26"/>
          <w:lang w:eastAsia="es-ES"/>
        </w:rPr>
        <w:t>”</w:t>
      </w:r>
    </w:p>
    <w:p w14:paraId="7E9F5A3D" w14:textId="77777777" w:rsidR="00D32E84" w:rsidRPr="00C67536" w:rsidRDefault="00D32E84" w:rsidP="00D32E84">
      <w:pPr>
        <w:pStyle w:val="ListParagraph"/>
        <w:rPr>
          <w:rFonts w:ascii="Arial" w:hAnsi="Arial" w:cs="Arial"/>
          <w:sz w:val="28"/>
          <w:szCs w:val="28"/>
        </w:rPr>
      </w:pPr>
    </w:p>
    <w:p w14:paraId="2371BF9D" w14:textId="77777777" w:rsidR="00B076B9" w:rsidRPr="00C67536" w:rsidRDefault="009C52A2" w:rsidP="00B144AE">
      <w:pPr>
        <w:pStyle w:val="corte4fondo"/>
        <w:numPr>
          <w:ilvl w:val="0"/>
          <w:numId w:val="15"/>
        </w:numPr>
        <w:ind w:left="0" w:hanging="567"/>
        <w:rPr>
          <w:rFonts w:eastAsiaTheme="minorHAnsi" w:cs="Arial"/>
          <w:color w:val="000000"/>
          <w:sz w:val="28"/>
          <w:szCs w:val="28"/>
          <w:lang w:eastAsia="en-US"/>
        </w:rPr>
      </w:pPr>
      <w:r w:rsidRPr="00C67536">
        <w:rPr>
          <w:rFonts w:cs="Arial"/>
          <w:sz w:val="28"/>
          <w:szCs w:val="28"/>
        </w:rPr>
        <w:t>Así, es necesario precisar que las normas de observación general emitidas por las autoridades administrativas se ubican por debajo de las leyes del Congreso de la Unión y de los reglamentos del Presidente de la República, son emitidas por autoridades administrativas diversas al titular del Ejecutivo Federal con base en una disposición de observancia general formalmente legislativa o formalmente reglamentaria que contiene una cláusula habilitante que, a su vez, se sustenta constitucionalmente en lo dispuesto, entre otros, en los artículos 73, fracción XXXI, 89, fracción I y 90 de la Constitución General de la República.</w:t>
      </w:r>
    </w:p>
    <w:p w14:paraId="2AF4B133" w14:textId="77777777" w:rsidR="00B076B9" w:rsidRPr="00C67536" w:rsidRDefault="00B076B9" w:rsidP="00B076B9">
      <w:pPr>
        <w:pStyle w:val="corte4fondo"/>
        <w:ind w:firstLine="0"/>
        <w:rPr>
          <w:rFonts w:eastAsiaTheme="minorHAnsi" w:cs="Arial"/>
          <w:color w:val="000000"/>
          <w:sz w:val="28"/>
          <w:szCs w:val="28"/>
          <w:lang w:eastAsia="en-US"/>
        </w:rPr>
      </w:pPr>
    </w:p>
    <w:p w14:paraId="7B7806B2" w14:textId="5DD0B676" w:rsidR="009C52A2" w:rsidRPr="00C67536" w:rsidRDefault="009C52A2" w:rsidP="00B144AE">
      <w:pPr>
        <w:pStyle w:val="corte4fondo"/>
        <w:numPr>
          <w:ilvl w:val="0"/>
          <w:numId w:val="15"/>
        </w:numPr>
        <w:ind w:left="0" w:hanging="567"/>
        <w:rPr>
          <w:rFonts w:eastAsiaTheme="minorHAnsi" w:cs="Arial"/>
          <w:color w:val="000000"/>
          <w:sz w:val="28"/>
          <w:szCs w:val="28"/>
          <w:lang w:eastAsia="en-US"/>
        </w:rPr>
      </w:pPr>
      <w:r w:rsidRPr="00C67536">
        <w:rPr>
          <w:rFonts w:cs="Arial"/>
          <w:sz w:val="28"/>
          <w:szCs w:val="28"/>
        </w:rPr>
        <w:t>Por tanto, la constitucionalidad o validez de una regla general administrativa, dada su especial naturaleza, se puede analizar al tenor de lo dispuesto en la Constitución General de la República, o bien, confrontando su texto con lo dispuesto en un ordenamiento inferior a esa Norma Fundamental pero que, por la naturaleza de la potestad normativa cuyo ejercicio la generó, se ubica por encima de una regla general administrativa, como puede ser el caso del acto formalmente legislativo o formalmente reglamentario que habilita la emisión de ésta.</w:t>
      </w:r>
    </w:p>
    <w:p w14:paraId="7E862C8A" w14:textId="77777777" w:rsidR="00394C8B" w:rsidRPr="00C67536" w:rsidRDefault="00394C8B" w:rsidP="00394C8B">
      <w:pPr>
        <w:pStyle w:val="ListParagraph"/>
        <w:rPr>
          <w:rFonts w:ascii="Arial" w:eastAsiaTheme="minorHAnsi" w:hAnsi="Arial" w:cs="Arial"/>
          <w:color w:val="000000"/>
          <w:sz w:val="28"/>
          <w:szCs w:val="28"/>
          <w:lang w:eastAsia="en-US"/>
        </w:rPr>
      </w:pPr>
    </w:p>
    <w:p w14:paraId="461A6AF6" w14:textId="5E2F0332" w:rsidR="00394C8B" w:rsidRPr="00C67536" w:rsidRDefault="00394C8B" w:rsidP="00B144AE">
      <w:pPr>
        <w:pStyle w:val="corte4fondo"/>
        <w:numPr>
          <w:ilvl w:val="0"/>
          <w:numId w:val="15"/>
        </w:numPr>
        <w:ind w:left="0" w:hanging="567"/>
        <w:rPr>
          <w:rFonts w:eastAsiaTheme="minorHAnsi" w:cs="Arial"/>
          <w:color w:val="000000"/>
          <w:sz w:val="28"/>
          <w:szCs w:val="28"/>
          <w:lang w:eastAsia="en-US"/>
        </w:rPr>
      </w:pPr>
      <w:r w:rsidRPr="00C67536">
        <w:rPr>
          <w:rFonts w:eastAsiaTheme="minorHAnsi" w:cs="Arial"/>
          <w:color w:val="000000"/>
          <w:sz w:val="28"/>
          <w:szCs w:val="28"/>
          <w:lang w:eastAsia="en-US"/>
        </w:rPr>
        <w:t>Ahora bien, el artículo 212 de la Ley General de Salud</w:t>
      </w:r>
      <w:r w:rsidR="00516694" w:rsidRPr="00C67536">
        <w:rPr>
          <w:rFonts w:eastAsiaTheme="minorHAnsi" w:cs="Arial"/>
          <w:color w:val="000000"/>
          <w:sz w:val="28"/>
          <w:szCs w:val="28"/>
          <w:lang w:eastAsia="en-US"/>
        </w:rPr>
        <w:t xml:space="preserve">, </w:t>
      </w:r>
      <w:r w:rsidR="00326A7B" w:rsidRPr="00C67536">
        <w:rPr>
          <w:rFonts w:eastAsiaTheme="minorHAnsi" w:cs="Arial"/>
          <w:color w:val="000000"/>
          <w:sz w:val="28"/>
          <w:szCs w:val="28"/>
          <w:lang w:eastAsia="en-US"/>
        </w:rPr>
        <w:t xml:space="preserve">en lo que interesa, </w:t>
      </w:r>
      <w:r w:rsidR="00516694" w:rsidRPr="00C67536">
        <w:rPr>
          <w:rFonts w:eastAsiaTheme="minorHAnsi" w:cs="Arial"/>
          <w:color w:val="000000"/>
          <w:sz w:val="28"/>
          <w:szCs w:val="28"/>
          <w:lang w:eastAsia="en-US"/>
        </w:rPr>
        <w:t>establece</w:t>
      </w:r>
      <w:r w:rsidR="00E31948" w:rsidRPr="00C67536">
        <w:rPr>
          <w:rFonts w:eastAsiaTheme="minorHAnsi" w:cs="Arial"/>
          <w:color w:val="000000"/>
          <w:sz w:val="28"/>
          <w:szCs w:val="28"/>
          <w:lang w:eastAsia="en-US"/>
        </w:rPr>
        <w:t>:</w:t>
      </w:r>
    </w:p>
    <w:p w14:paraId="6FDACC00" w14:textId="270007EC" w:rsidR="009C52A2" w:rsidRPr="00C67536" w:rsidRDefault="009C52A2" w:rsidP="000C6AD7">
      <w:pPr>
        <w:pStyle w:val="corte4fondo"/>
        <w:spacing w:line="240" w:lineRule="auto"/>
        <w:rPr>
          <w:rFonts w:eastAsiaTheme="minorHAnsi" w:cs="Arial"/>
          <w:color w:val="000000"/>
          <w:sz w:val="28"/>
          <w:szCs w:val="28"/>
          <w:lang w:eastAsia="en-US"/>
        </w:rPr>
      </w:pPr>
    </w:p>
    <w:p w14:paraId="36C7FCEF" w14:textId="223257F6" w:rsidR="00394C8B" w:rsidRPr="00C67536" w:rsidRDefault="00F85C2A" w:rsidP="00F85C2A">
      <w:pPr>
        <w:pStyle w:val="Estilo"/>
        <w:ind w:left="567" w:right="335"/>
        <w:rPr>
          <w:rFonts w:cs="Arial"/>
          <w:i/>
          <w:iCs/>
          <w:sz w:val="26"/>
          <w:szCs w:val="26"/>
        </w:rPr>
      </w:pPr>
      <w:r w:rsidRPr="00C67536">
        <w:rPr>
          <w:rFonts w:cs="Arial"/>
          <w:b/>
          <w:bCs/>
          <w:i/>
          <w:iCs/>
          <w:sz w:val="26"/>
          <w:szCs w:val="26"/>
        </w:rPr>
        <w:t>“</w:t>
      </w:r>
      <w:r w:rsidR="00394C8B" w:rsidRPr="00C67536">
        <w:rPr>
          <w:rFonts w:cs="Arial"/>
          <w:b/>
          <w:bCs/>
          <w:i/>
          <w:iCs/>
          <w:sz w:val="26"/>
          <w:szCs w:val="26"/>
        </w:rPr>
        <w:t>ART</w:t>
      </w:r>
      <w:r w:rsidR="00DD6453" w:rsidRPr="00C67536">
        <w:rPr>
          <w:rFonts w:cs="Arial"/>
          <w:b/>
          <w:bCs/>
          <w:i/>
          <w:iCs/>
          <w:sz w:val="26"/>
          <w:szCs w:val="26"/>
        </w:rPr>
        <w:t>Í</w:t>
      </w:r>
      <w:r w:rsidR="00394C8B" w:rsidRPr="00C67536">
        <w:rPr>
          <w:rFonts w:cs="Arial"/>
          <w:b/>
          <w:bCs/>
          <w:i/>
          <w:iCs/>
          <w:sz w:val="26"/>
          <w:szCs w:val="26"/>
        </w:rPr>
        <w:t>CULO 212</w:t>
      </w:r>
      <w:r w:rsidR="00394C8B" w:rsidRPr="00C67536">
        <w:rPr>
          <w:rFonts w:cs="Arial"/>
          <w:i/>
          <w:iCs/>
          <w:sz w:val="26"/>
          <w:szCs w:val="26"/>
        </w:rPr>
        <w:t xml:space="preserve">.- La naturaleza del producto, la fórmula, la composición, calidad, denominación distintiva o marca, denominación genérica y específica, </w:t>
      </w:r>
      <w:r w:rsidR="00394C8B" w:rsidRPr="00C67536">
        <w:rPr>
          <w:rFonts w:cs="Arial"/>
          <w:b/>
          <w:bCs/>
          <w:i/>
          <w:iCs/>
          <w:sz w:val="26"/>
          <w:szCs w:val="26"/>
        </w:rPr>
        <w:t>información de las etiquetas y contra etiquetas, deberán corresponder a las especificaciones establecidas por la Secretaría de Salud</w:t>
      </w:r>
      <w:r w:rsidR="00394C8B" w:rsidRPr="00C67536">
        <w:rPr>
          <w:rFonts w:cs="Arial"/>
          <w:i/>
          <w:iCs/>
          <w:sz w:val="26"/>
          <w:szCs w:val="26"/>
        </w:rPr>
        <w:t>, de conformidad con las disposiciones aplicables, y responderán exactamente a la naturaleza del producto que se consume, sin modificarse; para tal efecto se observará lo señalado en la fracción VI del artículo 115.</w:t>
      </w:r>
    </w:p>
    <w:p w14:paraId="2CB21E50" w14:textId="7C73A977" w:rsidR="00326A7B" w:rsidRPr="00C67536" w:rsidRDefault="00326A7B" w:rsidP="00F85C2A">
      <w:pPr>
        <w:pStyle w:val="Estilo"/>
        <w:ind w:left="567" w:right="335"/>
        <w:rPr>
          <w:rFonts w:cs="Arial"/>
          <w:i/>
          <w:iCs/>
          <w:sz w:val="26"/>
          <w:szCs w:val="26"/>
        </w:rPr>
      </w:pPr>
      <w:r w:rsidRPr="00C67536">
        <w:rPr>
          <w:rFonts w:cs="Arial"/>
          <w:i/>
          <w:iCs/>
          <w:sz w:val="26"/>
          <w:szCs w:val="26"/>
        </w:rPr>
        <w:t>…</w:t>
      </w:r>
    </w:p>
    <w:p w14:paraId="07BA897E" w14:textId="572E77AD" w:rsidR="00394C8B" w:rsidRPr="00C67536" w:rsidRDefault="00394C8B" w:rsidP="00F85C2A">
      <w:pPr>
        <w:pStyle w:val="Estilo"/>
        <w:ind w:left="567" w:right="335"/>
        <w:rPr>
          <w:rFonts w:cs="Arial"/>
          <w:i/>
          <w:iCs/>
          <w:sz w:val="26"/>
          <w:szCs w:val="26"/>
        </w:rPr>
      </w:pPr>
      <w:r w:rsidRPr="00C67536">
        <w:rPr>
          <w:rFonts w:cs="Arial"/>
          <w:i/>
          <w:iCs/>
          <w:sz w:val="26"/>
          <w:szCs w:val="26"/>
        </w:rPr>
        <w:t>La Secretaría de Salud podrá ordenar la inclusión de leyendas o pictogramas cuando lo considere necesario.</w:t>
      </w:r>
    </w:p>
    <w:p w14:paraId="1A396365" w14:textId="15717871" w:rsidR="00394C8B" w:rsidRPr="00C67536" w:rsidRDefault="00394C8B" w:rsidP="00F85C2A">
      <w:pPr>
        <w:pStyle w:val="corte4fondo"/>
        <w:spacing w:line="240" w:lineRule="auto"/>
        <w:ind w:left="567" w:right="335" w:firstLine="0"/>
        <w:rPr>
          <w:rFonts w:cs="Arial"/>
          <w:sz w:val="28"/>
          <w:szCs w:val="28"/>
        </w:rPr>
      </w:pPr>
      <w:r w:rsidRPr="00C67536">
        <w:rPr>
          <w:rFonts w:cs="Arial"/>
          <w:i/>
          <w:iCs/>
          <w:sz w:val="26"/>
          <w:szCs w:val="26"/>
        </w:rPr>
        <w:t>En la marca o denominación de los productos, no podrán incluirse clara o veladamente indicaciones con relación a enfermedades, síndromes, signos o síntomas, ni aquellos que refieran datos anatómicos o fisiológicos.</w:t>
      </w:r>
      <w:r w:rsidR="00F85C2A" w:rsidRPr="00C67536">
        <w:rPr>
          <w:rFonts w:cs="Arial"/>
          <w:i/>
          <w:iCs/>
          <w:sz w:val="26"/>
          <w:szCs w:val="26"/>
        </w:rPr>
        <w:t>”</w:t>
      </w:r>
    </w:p>
    <w:p w14:paraId="33A69F3B" w14:textId="77777777" w:rsidR="00F12999" w:rsidRPr="00C67536" w:rsidRDefault="00F12999" w:rsidP="00326A7B">
      <w:pPr>
        <w:pStyle w:val="ListParagraph"/>
        <w:autoSpaceDE w:val="0"/>
        <w:autoSpaceDN w:val="0"/>
        <w:adjustRightInd w:val="0"/>
        <w:ind w:left="720"/>
        <w:rPr>
          <w:rFonts w:ascii="Arial" w:eastAsiaTheme="minorHAnsi" w:hAnsi="Arial" w:cs="Arial"/>
          <w:color w:val="000000"/>
          <w:sz w:val="28"/>
          <w:szCs w:val="28"/>
          <w:lang w:eastAsia="en-US"/>
        </w:rPr>
      </w:pPr>
    </w:p>
    <w:p w14:paraId="2360C3B0" w14:textId="2482BF4A" w:rsidR="00C14696" w:rsidRPr="00C67536" w:rsidRDefault="00DD5DDD"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Esto es, el legislador</w:t>
      </w:r>
      <w:r w:rsidR="008A3C57" w:rsidRPr="00C67536">
        <w:rPr>
          <w:rFonts w:ascii="Arial" w:hAnsi="Arial" w:cs="Arial"/>
          <w:sz w:val="28"/>
          <w:szCs w:val="28"/>
        </w:rPr>
        <w:t xml:space="preserve"> ordinario</w:t>
      </w:r>
      <w:r w:rsidRPr="00C67536">
        <w:rPr>
          <w:rFonts w:ascii="Arial" w:hAnsi="Arial" w:cs="Arial"/>
          <w:sz w:val="28"/>
          <w:szCs w:val="28"/>
        </w:rPr>
        <w:t xml:space="preserve"> estableció en el artículo </w:t>
      </w:r>
      <w:r w:rsidR="00E33A1A" w:rsidRPr="00C67536">
        <w:rPr>
          <w:rFonts w:ascii="Arial" w:hAnsi="Arial" w:cs="Arial"/>
          <w:sz w:val="28"/>
          <w:szCs w:val="28"/>
        </w:rPr>
        <w:t>212 de la Ley General de Salud</w:t>
      </w:r>
      <w:r w:rsidRPr="00C67536">
        <w:rPr>
          <w:rFonts w:ascii="Arial" w:hAnsi="Arial" w:cs="Arial"/>
          <w:sz w:val="28"/>
          <w:szCs w:val="28"/>
        </w:rPr>
        <w:t xml:space="preserve">, una cláusula habilitante específica a favor de la </w:t>
      </w:r>
      <w:r w:rsidR="005B368C" w:rsidRPr="00C67536">
        <w:rPr>
          <w:rFonts w:ascii="Arial" w:hAnsi="Arial" w:cs="Arial"/>
          <w:sz w:val="28"/>
          <w:szCs w:val="28"/>
        </w:rPr>
        <w:t>Secretaría de Salud</w:t>
      </w:r>
      <w:r w:rsidRPr="00C67536">
        <w:rPr>
          <w:rFonts w:ascii="Arial" w:hAnsi="Arial" w:cs="Arial"/>
          <w:sz w:val="28"/>
          <w:szCs w:val="28"/>
        </w:rPr>
        <w:t xml:space="preserve"> para que emitiera</w:t>
      </w:r>
      <w:r w:rsidR="00992A73" w:rsidRPr="00C67536">
        <w:rPr>
          <w:rFonts w:ascii="Arial" w:hAnsi="Arial" w:cs="Arial"/>
          <w:sz w:val="28"/>
          <w:szCs w:val="28"/>
        </w:rPr>
        <w:t xml:space="preserve"> todas las especificaciones </w:t>
      </w:r>
      <w:r w:rsidR="00EB106A" w:rsidRPr="00C67536">
        <w:rPr>
          <w:rFonts w:ascii="Arial" w:hAnsi="Arial" w:cs="Arial"/>
          <w:sz w:val="28"/>
          <w:szCs w:val="28"/>
        </w:rPr>
        <w:t xml:space="preserve">sobre la </w:t>
      </w:r>
      <w:r w:rsidR="00992A73" w:rsidRPr="00C67536">
        <w:rPr>
          <w:rFonts w:ascii="Arial" w:hAnsi="Arial" w:cs="Arial"/>
          <w:sz w:val="28"/>
          <w:szCs w:val="28"/>
        </w:rPr>
        <w:t>información de las etiquetas y contra etiquetas</w:t>
      </w:r>
      <w:r w:rsidRPr="00C67536">
        <w:rPr>
          <w:rFonts w:ascii="Arial" w:hAnsi="Arial" w:cs="Arial"/>
          <w:sz w:val="28"/>
          <w:szCs w:val="28"/>
        </w:rPr>
        <w:t>; por tanto, el hecho de que</w:t>
      </w:r>
      <w:r w:rsidR="00052FE4" w:rsidRPr="00C67536">
        <w:rPr>
          <w:rFonts w:ascii="Arial" w:hAnsi="Arial" w:cs="Arial"/>
          <w:sz w:val="28"/>
          <w:szCs w:val="28"/>
        </w:rPr>
        <w:t xml:space="preserve"> la norma </w:t>
      </w:r>
      <w:r w:rsidR="00324918" w:rsidRPr="00C67536">
        <w:rPr>
          <w:rFonts w:ascii="Arial" w:hAnsi="Arial" w:cs="Arial"/>
          <w:sz w:val="28"/>
          <w:szCs w:val="28"/>
        </w:rPr>
        <w:t xml:space="preserve">mexicana </w:t>
      </w:r>
      <w:r w:rsidR="00324918" w:rsidRPr="00C67536">
        <w:rPr>
          <w:rFonts w:ascii="Arial" w:eastAsiaTheme="minorHAnsi" w:hAnsi="Arial" w:cs="Arial"/>
          <w:color w:val="000000"/>
          <w:sz w:val="28"/>
          <w:szCs w:val="28"/>
          <w:lang w:eastAsia="en-US"/>
        </w:rPr>
        <w:t>Norma Oficial Mexicana NOM-051-SCFI/SSA1-2010, no establezca la autoridad competente</w:t>
      </w:r>
      <w:r w:rsidR="00A4710B" w:rsidRPr="00C67536">
        <w:rPr>
          <w:rFonts w:ascii="Arial" w:eastAsiaTheme="minorHAnsi" w:hAnsi="Arial" w:cs="Arial"/>
          <w:color w:val="000000"/>
          <w:sz w:val="28"/>
          <w:szCs w:val="28"/>
          <w:lang w:eastAsia="en-US"/>
        </w:rPr>
        <w:t xml:space="preserve"> para determinar que productos</w:t>
      </w:r>
      <w:r w:rsidR="00B2659F" w:rsidRPr="00C67536">
        <w:rPr>
          <w:rFonts w:ascii="Arial" w:eastAsiaTheme="minorHAnsi" w:hAnsi="Arial" w:cs="Arial"/>
          <w:color w:val="000000"/>
          <w:sz w:val="28"/>
          <w:szCs w:val="28"/>
          <w:lang w:eastAsia="en-US"/>
        </w:rPr>
        <w:t xml:space="preserve"> están </w:t>
      </w:r>
      <w:r w:rsidR="00DC6844" w:rsidRPr="00C67536">
        <w:rPr>
          <w:rFonts w:ascii="Arial" w:eastAsiaTheme="minorHAnsi" w:hAnsi="Arial" w:cs="Arial"/>
          <w:color w:val="000000"/>
          <w:sz w:val="28"/>
          <w:szCs w:val="28"/>
          <w:lang w:eastAsia="en-US"/>
        </w:rPr>
        <w:t>exentos</w:t>
      </w:r>
      <w:r w:rsidR="00B2659F" w:rsidRPr="00C67536">
        <w:rPr>
          <w:rFonts w:ascii="Arial" w:eastAsiaTheme="minorHAnsi" w:hAnsi="Arial" w:cs="Arial"/>
          <w:color w:val="000000"/>
          <w:sz w:val="28"/>
          <w:szCs w:val="28"/>
          <w:lang w:eastAsia="en-US"/>
        </w:rPr>
        <w:t xml:space="preserve"> del sistema de etiquetado, no la vuelve contraria al artículo 16 constitucional</w:t>
      </w:r>
      <w:r w:rsidR="007F45B5" w:rsidRPr="00C67536">
        <w:rPr>
          <w:rFonts w:ascii="Arial" w:eastAsiaTheme="minorHAnsi" w:hAnsi="Arial" w:cs="Arial"/>
          <w:color w:val="000000"/>
          <w:sz w:val="28"/>
          <w:szCs w:val="28"/>
          <w:lang w:eastAsia="en-US"/>
        </w:rPr>
        <w:t xml:space="preserve">, pues tal cuestión lo prevé la </w:t>
      </w:r>
      <w:r w:rsidR="002250AA" w:rsidRPr="00C67536">
        <w:rPr>
          <w:rFonts w:ascii="Arial" w:eastAsiaTheme="minorHAnsi" w:hAnsi="Arial" w:cs="Arial"/>
          <w:color w:val="000000"/>
          <w:sz w:val="28"/>
          <w:szCs w:val="28"/>
          <w:lang w:eastAsia="en-US"/>
        </w:rPr>
        <w:t xml:space="preserve">ley </w:t>
      </w:r>
      <w:r w:rsidR="007F45B5" w:rsidRPr="00C67536">
        <w:rPr>
          <w:rFonts w:ascii="Arial" w:eastAsiaTheme="minorHAnsi" w:hAnsi="Arial" w:cs="Arial"/>
          <w:color w:val="000000"/>
          <w:sz w:val="28"/>
          <w:szCs w:val="28"/>
          <w:lang w:eastAsia="en-US"/>
        </w:rPr>
        <w:t>general de la que</w:t>
      </w:r>
      <w:r w:rsidR="00242769" w:rsidRPr="00C67536">
        <w:rPr>
          <w:rFonts w:ascii="Arial" w:eastAsiaTheme="minorHAnsi" w:hAnsi="Arial" w:cs="Arial"/>
          <w:color w:val="000000"/>
          <w:sz w:val="28"/>
          <w:szCs w:val="28"/>
          <w:lang w:eastAsia="en-US"/>
        </w:rPr>
        <w:t xml:space="preserve"> deriva.</w:t>
      </w:r>
    </w:p>
    <w:p w14:paraId="7D802318" w14:textId="77777777" w:rsidR="00C14696" w:rsidRPr="00C67536" w:rsidRDefault="00C14696" w:rsidP="00E06D37">
      <w:pPr>
        <w:tabs>
          <w:tab w:val="left" w:pos="142"/>
        </w:tabs>
        <w:jc w:val="both"/>
        <w:rPr>
          <w:rFonts w:ascii="Arial" w:hAnsi="Arial" w:cs="Arial"/>
          <w:sz w:val="28"/>
          <w:szCs w:val="28"/>
        </w:rPr>
      </w:pPr>
    </w:p>
    <w:p w14:paraId="225C75F7" w14:textId="2B441DE2" w:rsidR="00EC311A" w:rsidRPr="00C67536" w:rsidRDefault="00583145"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Ello, porque la</w:t>
      </w:r>
      <w:r w:rsidR="00242769" w:rsidRPr="00C67536">
        <w:rPr>
          <w:rFonts w:ascii="Arial" w:hAnsi="Arial" w:cs="Arial"/>
          <w:sz w:val="28"/>
          <w:szCs w:val="28"/>
        </w:rPr>
        <w:t xml:space="preserve"> ley general</w:t>
      </w:r>
      <w:r w:rsidRPr="00C67536">
        <w:rPr>
          <w:rFonts w:ascii="Arial" w:hAnsi="Arial" w:cs="Arial"/>
          <w:sz w:val="28"/>
          <w:szCs w:val="28"/>
        </w:rPr>
        <w:t xml:space="preserve"> emitida por el legislador ordinario estableció que</w:t>
      </w:r>
      <w:r w:rsidR="00662F7C" w:rsidRPr="00C67536">
        <w:rPr>
          <w:rFonts w:ascii="Arial" w:hAnsi="Arial" w:cs="Arial"/>
          <w:sz w:val="28"/>
          <w:szCs w:val="28"/>
        </w:rPr>
        <w:t xml:space="preserve"> es la</w:t>
      </w:r>
      <w:r w:rsidRPr="00C67536">
        <w:rPr>
          <w:rFonts w:ascii="Arial" w:hAnsi="Arial" w:cs="Arial"/>
          <w:sz w:val="28"/>
          <w:szCs w:val="28"/>
        </w:rPr>
        <w:t xml:space="preserve"> </w:t>
      </w:r>
      <w:r w:rsidR="00662F7C" w:rsidRPr="00C67536">
        <w:rPr>
          <w:rFonts w:ascii="Arial" w:hAnsi="Arial" w:cs="Arial"/>
          <w:sz w:val="28"/>
          <w:szCs w:val="28"/>
        </w:rPr>
        <w:t>Secretaría de Salud</w:t>
      </w:r>
      <w:r w:rsidR="00D41AFE" w:rsidRPr="00C67536">
        <w:rPr>
          <w:rFonts w:ascii="Arial" w:hAnsi="Arial" w:cs="Arial"/>
          <w:sz w:val="28"/>
          <w:szCs w:val="28"/>
        </w:rPr>
        <w:t xml:space="preserve"> la facultada</w:t>
      </w:r>
      <w:r w:rsidR="00662F7C" w:rsidRPr="00C67536">
        <w:rPr>
          <w:rFonts w:ascii="Arial" w:hAnsi="Arial" w:cs="Arial"/>
          <w:sz w:val="28"/>
          <w:szCs w:val="28"/>
        </w:rPr>
        <w:t xml:space="preserve"> para emitir todas las especificaciones sobre</w:t>
      </w:r>
      <w:r w:rsidR="00D41AFE" w:rsidRPr="00C67536">
        <w:rPr>
          <w:rFonts w:ascii="Arial" w:hAnsi="Arial" w:cs="Arial"/>
          <w:sz w:val="28"/>
          <w:szCs w:val="28"/>
        </w:rPr>
        <w:t xml:space="preserve"> la naturaleza del producto, la fórmula, la composición, calidad, denominación distintiva o marca, denominación genérica y específica, </w:t>
      </w:r>
      <w:r w:rsidR="00D41AFE" w:rsidRPr="00C67536">
        <w:rPr>
          <w:rFonts w:ascii="Arial" w:hAnsi="Arial" w:cs="Arial"/>
          <w:b/>
          <w:bCs/>
          <w:sz w:val="28"/>
          <w:szCs w:val="28"/>
        </w:rPr>
        <w:t>información de las etiquetas y contra etiquetas</w:t>
      </w:r>
      <w:r w:rsidR="00C14696" w:rsidRPr="00C67536">
        <w:rPr>
          <w:rFonts w:ascii="Arial" w:hAnsi="Arial" w:cs="Arial"/>
          <w:b/>
          <w:bCs/>
          <w:sz w:val="28"/>
          <w:szCs w:val="28"/>
        </w:rPr>
        <w:t>.</w:t>
      </w:r>
    </w:p>
    <w:p w14:paraId="502645C4" w14:textId="77777777" w:rsidR="00EC311A" w:rsidRPr="00C67536" w:rsidRDefault="00EC311A" w:rsidP="00EC311A">
      <w:pPr>
        <w:pStyle w:val="ListParagraph"/>
        <w:rPr>
          <w:rFonts w:ascii="Arial" w:hAnsi="Arial" w:cs="Arial"/>
          <w:iCs/>
          <w:sz w:val="28"/>
          <w:szCs w:val="28"/>
        </w:rPr>
      </w:pPr>
    </w:p>
    <w:p w14:paraId="421845A4" w14:textId="2E5FB2EF" w:rsidR="00A83223" w:rsidRPr="00C67536" w:rsidRDefault="00DD5DDD"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iCs/>
          <w:sz w:val="28"/>
          <w:szCs w:val="28"/>
        </w:rPr>
        <w:t>Por ende, dicho artículo prevé una cláusula habilitante, en el sentido de que</w:t>
      </w:r>
      <w:r w:rsidR="00EC311A" w:rsidRPr="00C67536">
        <w:rPr>
          <w:rFonts w:ascii="Arial" w:hAnsi="Arial" w:cs="Arial"/>
          <w:iCs/>
          <w:sz w:val="28"/>
          <w:szCs w:val="28"/>
        </w:rPr>
        <w:t xml:space="preserve"> corresponde a la Secretaría de Salud emitir</w:t>
      </w:r>
      <w:r w:rsidR="00A92A51" w:rsidRPr="00C67536">
        <w:rPr>
          <w:rFonts w:ascii="Arial" w:hAnsi="Arial" w:cs="Arial"/>
          <w:iCs/>
          <w:sz w:val="28"/>
          <w:szCs w:val="28"/>
        </w:rPr>
        <w:t xml:space="preserve"> todas las especificaciones sobre la naturaleza del producto y la información de las etiquetas y contraetiquetas</w:t>
      </w:r>
      <w:r w:rsidRPr="00C67536">
        <w:rPr>
          <w:rFonts w:ascii="Arial" w:hAnsi="Arial" w:cs="Arial"/>
          <w:sz w:val="28"/>
          <w:szCs w:val="28"/>
        </w:rPr>
        <w:t>,</w:t>
      </w:r>
      <w:r w:rsidR="00A92A51" w:rsidRPr="00C67536">
        <w:rPr>
          <w:rFonts w:ascii="Arial" w:hAnsi="Arial" w:cs="Arial"/>
          <w:sz w:val="28"/>
          <w:szCs w:val="28"/>
        </w:rPr>
        <w:t xml:space="preserve"> por ende, la norma oficial reclamada</w:t>
      </w:r>
      <w:r w:rsidRPr="00C67536">
        <w:rPr>
          <w:rFonts w:ascii="Arial" w:hAnsi="Arial" w:cs="Arial"/>
          <w:sz w:val="28"/>
          <w:szCs w:val="28"/>
        </w:rPr>
        <w:t xml:space="preserve"> no hace</w:t>
      </w:r>
      <w:r w:rsidR="00A92A51" w:rsidRPr="00C67536">
        <w:rPr>
          <w:rFonts w:ascii="Arial" w:hAnsi="Arial" w:cs="Arial"/>
          <w:sz w:val="28"/>
          <w:szCs w:val="28"/>
        </w:rPr>
        <w:t xml:space="preserve"> otra cosa</w:t>
      </w:r>
      <w:r w:rsidRPr="00C67536">
        <w:rPr>
          <w:rFonts w:ascii="Arial" w:hAnsi="Arial" w:cs="Arial"/>
          <w:sz w:val="28"/>
          <w:szCs w:val="28"/>
        </w:rPr>
        <w:t xml:space="preserve"> sino atender a la habilitación operativa que le fue conferida en el texto legal y,</w:t>
      </w:r>
      <w:r w:rsidR="00A83223" w:rsidRPr="00C67536">
        <w:rPr>
          <w:rFonts w:ascii="Arial" w:hAnsi="Arial" w:cs="Arial"/>
          <w:sz w:val="28"/>
          <w:szCs w:val="28"/>
        </w:rPr>
        <w:t xml:space="preserve"> establecer</w:t>
      </w:r>
      <w:r w:rsidR="00C94ABE" w:rsidRPr="00C67536">
        <w:rPr>
          <w:rFonts w:ascii="Arial" w:hAnsi="Arial" w:cs="Arial"/>
          <w:sz w:val="28"/>
          <w:szCs w:val="28"/>
        </w:rPr>
        <w:t xml:space="preserve"> todo lo relativo al sistema de etiquetado de los productos alimenticio y bebidas no alcohólicas preenvasados.</w:t>
      </w:r>
    </w:p>
    <w:p w14:paraId="1F163CCA" w14:textId="77777777" w:rsidR="00C54AC7" w:rsidRPr="00C67536" w:rsidRDefault="00C54AC7" w:rsidP="00C54AC7">
      <w:pPr>
        <w:pStyle w:val="ListParagraph"/>
        <w:rPr>
          <w:rFonts w:ascii="Arial" w:hAnsi="Arial" w:cs="Arial"/>
          <w:sz w:val="28"/>
          <w:szCs w:val="28"/>
        </w:rPr>
      </w:pPr>
    </w:p>
    <w:p w14:paraId="0D22025B" w14:textId="3C13490E" w:rsidR="004A3F20" w:rsidRPr="00C67536" w:rsidRDefault="00700BB6"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 xml:space="preserve">Luego, </w:t>
      </w:r>
      <w:r w:rsidR="0066403C" w:rsidRPr="00C67536">
        <w:rPr>
          <w:rFonts w:ascii="Arial" w:eastAsiaTheme="minorHAnsi" w:hAnsi="Arial" w:cs="Arial"/>
          <w:color w:val="000000"/>
          <w:sz w:val="28"/>
          <w:szCs w:val="28"/>
          <w:lang w:eastAsia="en-US"/>
        </w:rPr>
        <w:t>la</w:t>
      </w:r>
      <w:r w:rsidR="00C54AC7" w:rsidRPr="00C67536">
        <w:rPr>
          <w:rFonts w:ascii="Arial" w:eastAsiaTheme="minorHAnsi" w:hAnsi="Arial" w:cs="Arial"/>
          <w:color w:val="000000"/>
          <w:sz w:val="28"/>
          <w:szCs w:val="28"/>
          <w:lang w:eastAsia="en-US"/>
        </w:rPr>
        <w:t xml:space="preserve"> porción normativa que se analiza</w:t>
      </w:r>
      <w:r w:rsidR="0066403C" w:rsidRPr="00C67536">
        <w:rPr>
          <w:rFonts w:ascii="Arial" w:eastAsiaTheme="minorHAnsi" w:hAnsi="Arial" w:cs="Arial"/>
          <w:color w:val="000000"/>
          <w:sz w:val="28"/>
          <w:szCs w:val="28"/>
          <w:lang w:eastAsia="en-US"/>
        </w:rPr>
        <w:t xml:space="preserve"> establece que dicha </w:t>
      </w:r>
      <w:r w:rsidR="00A721DE" w:rsidRPr="00C67536">
        <w:rPr>
          <w:rFonts w:ascii="Arial" w:eastAsiaTheme="minorHAnsi" w:hAnsi="Arial" w:cs="Arial"/>
          <w:color w:val="000000"/>
          <w:sz w:val="28"/>
          <w:szCs w:val="28"/>
          <w:lang w:eastAsia="en-US"/>
        </w:rPr>
        <w:t>regla</w:t>
      </w:r>
      <w:r w:rsidR="0066403C" w:rsidRPr="00C67536">
        <w:rPr>
          <w:rFonts w:ascii="Arial" w:eastAsiaTheme="minorHAnsi" w:hAnsi="Arial" w:cs="Arial"/>
          <w:color w:val="000000"/>
          <w:sz w:val="28"/>
          <w:szCs w:val="28"/>
          <w:lang w:eastAsia="en-US"/>
        </w:rPr>
        <w:t xml:space="preserve"> no se aplica a diversos alimentos y</w:t>
      </w:r>
      <w:r w:rsidR="0066403C" w:rsidRPr="00C67536">
        <w:rPr>
          <w:rFonts w:ascii="Arial" w:eastAsiaTheme="minorHAnsi" w:hAnsi="Arial" w:cs="Arial"/>
          <w:sz w:val="28"/>
          <w:szCs w:val="28"/>
          <w:lang w:eastAsia="en-US"/>
        </w:rPr>
        <w:t xml:space="preserve"> bebidas no alcohólicas preenvasados</w:t>
      </w:r>
      <w:r w:rsidR="0066403C" w:rsidRPr="00C67536">
        <w:rPr>
          <w:rFonts w:ascii="Arial" w:eastAsiaTheme="minorHAnsi" w:hAnsi="Arial" w:cs="Arial"/>
          <w:color w:val="000000"/>
          <w:sz w:val="28"/>
          <w:szCs w:val="28"/>
          <w:lang w:eastAsia="en-US"/>
        </w:rPr>
        <w:t xml:space="preserve"> como son: los </w:t>
      </w:r>
      <w:r w:rsidR="0066403C" w:rsidRPr="00C67536">
        <w:rPr>
          <w:rFonts w:ascii="Arial" w:eastAsiaTheme="minorHAnsi" w:hAnsi="Arial" w:cs="Arial"/>
          <w:sz w:val="28"/>
          <w:szCs w:val="28"/>
          <w:lang w:eastAsia="en-US"/>
        </w:rPr>
        <w:t>sujetos a disposiciones de información comercial y sanitaria contenidas en Normas Oficiales Mexicanas específicas; a granel; envasados en punto de venta; y,</w:t>
      </w:r>
      <w:r w:rsidR="0066403C" w:rsidRPr="00C67536">
        <w:rPr>
          <w:rFonts w:ascii="Arial" w:eastAsiaTheme="minorHAnsi" w:hAnsi="Arial" w:cs="Arial"/>
          <w:color w:val="000000"/>
          <w:sz w:val="28"/>
          <w:szCs w:val="28"/>
          <w:lang w:eastAsia="en-US"/>
        </w:rPr>
        <w:t xml:space="preserve"> </w:t>
      </w:r>
      <w:r w:rsidR="0066403C" w:rsidRPr="00C67536">
        <w:rPr>
          <w:rFonts w:ascii="Arial" w:eastAsiaTheme="minorHAnsi" w:hAnsi="Arial" w:cs="Arial"/>
          <w:sz w:val="28"/>
          <w:szCs w:val="28"/>
          <w:lang w:eastAsia="en-US"/>
        </w:rPr>
        <w:t>los demás productos que determine la autoridad competente, conforme a sus atribuciones</w:t>
      </w:r>
      <w:r w:rsidR="005408C5" w:rsidRPr="00C67536">
        <w:rPr>
          <w:rFonts w:ascii="Arial" w:eastAsiaTheme="minorHAnsi" w:hAnsi="Arial" w:cs="Arial"/>
          <w:sz w:val="28"/>
          <w:szCs w:val="28"/>
          <w:lang w:eastAsia="en-US"/>
        </w:rPr>
        <w:t>, de ahí que sí prevea que alimentos no son sujetos a la normatividad reclamada.</w:t>
      </w:r>
    </w:p>
    <w:p w14:paraId="6CC104D8" w14:textId="77777777" w:rsidR="004A3F20" w:rsidRPr="00C67536" w:rsidRDefault="004A3F20" w:rsidP="004A3F20">
      <w:pPr>
        <w:pStyle w:val="ListParagraph"/>
        <w:rPr>
          <w:rFonts w:ascii="Arial" w:hAnsi="Arial" w:cs="Arial"/>
          <w:sz w:val="28"/>
          <w:szCs w:val="28"/>
        </w:rPr>
      </w:pPr>
    </w:p>
    <w:p w14:paraId="417A1ED7" w14:textId="2FD583C4" w:rsidR="001E7B8C" w:rsidRPr="00C67536" w:rsidRDefault="00700BB6"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Ahora</w:t>
      </w:r>
      <w:r w:rsidR="004A3F20" w:rsidRPr="00C67536">
        <w:rPr>
          <w:rFonts w:ascii="Arial" w:hAnsi="Arial" w:cs="Arial"/>
          <w:sz w:val="28"/>
          <w:szCs w:val="28"/>
        </w:rPr>
        <w:t>, si bien la última fracción establece “</w:t>
      </w:r>
      <w:r w:rsidR="004A3F20" w:rsidRPr="00C67536">
        <w:rPr>
          <w:rFonts w:ascii="Arial" w:eastAsiaTheme="minorHAnsi" w:hAnsi="Arial" w:cs="Arial"/>
          <w:sz w:val="28"/>
          <w:szCs w:val="28"/>
          <w:lang w:eastAsia="en-US"/>
        </w:rPr>
        <w:t>los demás productos que determine la autoridad competente, conforme a sus atribuciones”</w:t>
      </w:r>
      <w:r w:rsidR="00B456FF" w:rsidRPr="00C67536">
        <w:rPr>
          <w:rFonts w:ascii="Arial" w:eastAsiaTheme="minorHAnsi" w:hAnsi="Arial" w:cs="Arial"/>
          <w:sz w:val="28"/>
          <w:szCs w:val="28"/>
          <w:lang w:eastAsia="en-US"/>
        </w:rPr>
        <w:t xml:space="preserve">, tal facultad </w:t>
      </w:r>
      <w:r w:rsidR="00B456FF" w:rsidRPr="00C67536">
        <w:rPr>
          <w:rFonts w:ascii="Arial" w:hAnsi="Arial" w:cs="Arial"/>
          <w:sz w:val="28"/>
          <w:szCs w:val="28"/>
        </w:rPr>
        <w:t xml:space="preserve">es </w:t>
      </w:r>
      <w:r w:rsidR="00ED63B1" w:rsidRPr="00C67536">
        <w:rPr>
          <w:rFonts w:ascii="Arial" w:hAnsi="Arial" w:cs="Arial"/>
          <w:sz w:val="28"/>
          <w:szCs w:val="28"/>
        </w:rPr>
        <w:t xml:space="preserve">discrecional </w:t>
      </w:r>
      <w:r w:rsidR="00B456FF" w:rsidRPr="00C67536">
        <w:rPr>
          <w:rFonts w:ascii="Arial" w:hAnsi="Arial" w:cs="Arial"/>
          <w:sz w:val="28"/>
          <w:szCs w:val="28"/>
        </w:rPr>
        <w:t xml:space="preserve">porque </w:t>
      </w:r>
      <w:r w:rsidR="00ED63B1" w:rsidRPr="00C67536">
        <w:rPr>
          <w:rFonts w:ascii="Arial" w:hAnsi="Arial" w:cs="Arial"/>
          <w:sz w:val="28"/>
          <w:szCs w:val="28"/>
        </w:rPr>
        <w:t>otorga a la autoridad un amplio campo de apreciación para decidir si debe obrar o debe abstenerse, para resolver cuándo y cómo debe obrar, o aun para determinar libremente el contenido de su posible actuación</w:t>
      </w:r>
      <w:r w:rsidR="001E7B8C" w:rsidRPr="00C67536">
        <w:rPr>
          <w:rFonts w:ascii="Arial" w:hAnsi="Arial" w:cs="Arial"/>
          <w:sz w:val="28"/>
          <w:szCs w:val="28"/>
        </w:rPr>
        <w:t>.</w:t>
      </w:r>
    </w:p>
    <w:p w14:paraId="04FDF1BB" w14:textId="77777777" w:rsidR="001E7B8C" w:rsidRPr="00C67536" w:rsidRDefault="001E7B8C" w:rsidP="001E7B8C">
      <w:pPr>
        <w:pStyle w:val="ListParagraph"/>
        <w:rPr>
          <w:rFonts w:ascii="Arial" w:hAnsi="Arial" w:cs="Arial"/>
          <w:sz w:val="28"/>
          <w:szCs w:val="28"/>
        </w:rPr>
      </w:pPr>
    </w:p>
    <w:p w14:paraId="6E6900AE" w14:textId="41BFF381" w:rsidR="007B2EED" w:rsidRPr="00C67536" w:rsidRDefault="001E7B8C"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 xml:space="preserve">Así, </w:t>
      </w:r>
      <w:r w:rsidR="00ED63B1" w:rsidRPr="00C67536">
        <w:rPr>
          <w:rFonts w:ascii="Arial" w:hAnsi="Arial" w:cs="Arial"/>
          <w:sz w:val="28"/>
          <w:szCs w:val="28"/>
        </w:rPr>
        <w:t xml:space="preserve">la base toral de este tipo de atribuciones es la libertad de apreciación que la ley otorga a las autoridades para actuar o abstenerse, con el propósito de lograr la finalidad que la propia ley les señala. </w:t>
      </w:r>
    </w:p>
    <w:p w14:paraId="4D4C021B" w14:textId="77777777" w:rsidR="007B2EED" w:rsidRPr="00C67536" w:rsidRDefault="007B2EED" w:rsidP="007B2EED">
      <w:pPr>
        <w:pStyle w:val="ListParagraph"/>
        <w:rPr>
          <w:rFonts w:ascii="Arial" w:hAnsi="Arial" w:cs="Arial"/>
          <w:sz w:val="28"/>
          <w:szCs w:val="28"/>
        </w:rPr>
      </w:pPr>
    </w:p>
    <w:p w14:paraId="0EB0C6EA" w14:textId="77777777" w:rsidR="004D22BC" w:rsidRPr="00C67536" w:rsidRDefault="007B2EED"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Por ende, s</w:t>
      </w:r>
      <w:r w:rsidR="00ED63B1" w:rsidRPr="00C67536">
        <w:rPr>
          <w:rFonts w:ascii="Arial" w:hAnsi="Arial" w:cs="Arial"/>
          <w:sz w:val="28"/>
          <w:szCs w:val="28"/>
        </w:rPr>
        <w:t>u ejercicio implica, necesariamente, la posibilidad de optar, de elegir, entre dos o más decisiones, sin que ello signifique arbitrariedad, ya que la autoridad sigue sujeta a los requisitos de fundamentación y motivación exigidos por el artículo 16 constitucional, lo cual permite que los actos discrecionales sean controlados por la autoridad jurisdiccional.</w:t>
      </w:r>
    </w:p>
    <w:p w14:paraId="2ECBC9DD" w14:textId="77777777" w:rsidR="004D22BC" w:rsidRPr="00C67536" w:rsidRDefault="004D22BC" w:rsidP="004D22BC">
      <w:pPr>
        <w:pStyle w:val="ListParagraph"/>
        <w:rPr>
          <w:rFonts w:ascii="Arial" w:hAnsi="Arial" w:cs="Arial"/>
          <w:sz w:val="28"/>
          <w:szCs w:val="28"/>
        </w:rPr>
      </w:pPr>
    </w:p>
    <w:p w14:paraId="35288B89" w14:textId="77777777" w:rsidR="004D22BC" w:rsidRPr="00C67536" w:rsidRDefault="00ED63B1"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Sirve de apoyo, la tesis</w:t>
      </w:r>
      <w:r w:rsidRPr="00C67536">
        <w:rPr>
          <w:rStyle w:val="FootnoteReference"/>
          <w:rFonts w:ascii="Arial" w:hAnsi="Arial" w:cs="Arial"/>
          <w:sz w:val="28"/>
          <w:szCs w:val="28"/>
        </w:rPr>
        <w:footnoteReference w:id="60"/>
      </w:r>
      <w:r w:rsidRPr="00C67536">
        <w:rPr>
          <w:rFonts w:ascii="Arial" w:hAnsi="Arial" w:cs="Arial"/>
          <w:sz w:val="28"/>
          <w:szCs w:val="28"/>
        </w:rPr>
        <w:t xml:space="preserve"> emitida por el Pleno de esta Suprema Corte de Justicia de la Nación, del título, subtítulo y textos siguientes:</w:t>
      </w:r>
    </w:p>
    <w:p w14:paraId="6F7DC568" w14:textId="77777777" w:rsidR="004D22BC" w:rsidRPr="00C67536" w:rsidRDefault="004D22BC" w:rsidP="004D22BC">
      <w:pPr>
        <w:pStyle w:val="ListParagraph"/>
        <w:rPr>
          <w:rFonts w:ascii="Arial" w:hAnsi="Arial" w:cs="Arial"/>
          <w:sz w:val="28"/>
          <w:szCs w:val="28"/>
        </w:rPr>
      </w:pPr>
    </w:p>
    <w:p w14:paraId="552C7900" w14:textId="1FDCDC38" w:rsidR="004D22BC" w:rsidRPr="00C67536" w:rsidRDefault="00F85C2A" w:rsidP="00F85C2A">
      <w:pPr>
        <w:pStyle w:val="corte4fondo"/>
        <w:autoSpaceDE w:val="0"/>
        <w:autoSpaceDN w:val="0"/>
        <w:adjustRightInd w:val="0"/>
        <w:spacing w:line="240" w:lineRule="auto"/>
        <w:ind w:left="567" w:right="335" w:firstLine="0"/>
        <w:rPr>
          <w:rFonts w:cs="Arial"/>
          <w:i/>
          <w:iCs/>
          <w:sz w:val="26"/>
          <w:szCs w:val="26"/>
          <w:lang w:val="es-MX"/>
        </w:rPr>
      </w:pPr>
      <w:r w:rsidRPr="00C67536">
        <w:rPr>
          <w:rFonts w:cs="Arial"/>
          <w:b/>
          <w:bCs/>
          <w:i/>
          <w:iCs/>
          <w:sz w:val="26"/>
          <w:szCs w:val="26"/>
          <w:lang w:val="es-MX"/>
        </w:rPr>
        <w:t>“</w:t>
      </w:r>
      <w:r w:rsidR="004D22BC" w:rsidRPr="00C67536">
        <w:rPr>
          <w:rFonts w:cs="Arial"/>
          <w:b/>
          <w:bCs/>
          <w:i/>
          <w:iCs/>
          <w:sz w:val="26"/>
          <w:szCs w:val="26"/>
          <w:lang w:val="es-MX"/>
        </w:rPr>
        <w:t>FACULTADES DISCRECIONALES. APRECIACIÓN DEL USO INDEBIDO DE LAS CONCEDIDAS A LA AUTORIDAD.</w:t>
      </w:r>
      <w:r w:rsidR="004D22BC" w:rsidRPr="00C67536">
        <w:rPr>
          <w:rFonts w:cs="Arial"/>
          <w:i/>
          <w:iCs/>
          <w:sz w:val="26"/>
          <w:szCs w:val="26"/>
          <w:lang w:val="es-MX"/>
        </w:rPr>
        <w:t xml:space="preserve"> La base toral de las facultades discrecionales es la libertad de apreciación que la ley otorga a las autoridades para actuar o abstenerse, con el propósito de lograr la finalidad que la propia ley les señala, por lo que su ejercicio implica, necesariamente, la posibilidad de optar, de elegir, entre dos o más decisiones, sin que ello signifique o permita la arbitrariedad, ya que esa actuación de la autoridad sigue sujeta a los requisitos de fundamentación y motivación exigidos por el artículo 16 de la Constitución Política de los Estados Unidos Mexicanos, lo cual permite que los actos discrecionales sean controlados por la autoridad jurisdiccional.</w:t>
      </w:r>
      <w:r w:rsidRPr="00C67536">
        <w:rPr>
          <w:rFonts w:cs="Arial"/>
          <w:i/>
          <w:iCs/>
          <w:sz w:val="26"/>
          <w:szCs w:val="26"/>
          <w:lang w:val="es-MX"/>
        </w:rPr>
        <w:t>”</w:t>
      </w:r>
    </w:p>
    <w:p w14:paraId="1E7DA4EA" w14:textId="77777777" w:rsidR="004D22BC" w:rsidRPr="00C67536" w:rsidRDefault="004D22BC" w:rsidP="004D22BC">
      <w:pPr>
        <w:pStyle w:val="ListParagraph"/>
        <w:rPr>
          <w:rFonts w:ascii="Arial" w:hAnsi="Arial" w:cs="Arial"/>
          <w:sz w:val="28"/>
          <w:szCs w:val="28"/>
        </w:rPr>
      </w:pPr>
    </w:p>
    <w:p w14:paraId="001FBD81" w14:textId="54E8EA9A" w:rsidR="001C4C3D" w:rsidRPr="00C67536" w:rsidRDefault="00ED63B1"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En tal contexto, contrario a lo sostenido por la quejosa, la facultad discrecional que otorga el precepto combatido a la Secretaría</w:t>
      </w:r>
      <w:r w:rsidR="004D22BC" w:rsidRPr="00C67536">
        <w:rPr>
          <w:rFonts w:ascii="Arial" w:hAnsi="Arial" w:cs="Arial"/>
          <w:sz w:val="28"/>
          <w:szCs w:val="28"/>
        </w:rPr>
        <w:t xml:space="preserve"> de Salud, con base a la cláusula habilitante contenida en el artículo </w:t>
      </w:r>
      <w:r w:rsidR="004D22BC" w:rsidRPr="00C67536">
        <w:rPr>
          <w:rFonts w:ascii="Arial" w:eastAsiaTheme="minorHAnsi" w:hAnsi="Arial" w:cs="Arial"/>
          <w:color w:val="000000"/>
          <w:sz w:val="28"/>
          <w:szCs w:val="28"/>
          <w:lang w:eastAsia="en-US"/>
        </w:rPr>
        <w:t>212 de la Ley General de Salud</w:t>
      </w:r>
      <w:r w:rsidRPr="00C67536">
        <w:rPr>
          <w:rFonts w:ascii="Arial" w:hAnsi="Arial" w:cs="Arial"/>
          <w:sz w:val="28"/>
          <w:szCs w:val="28"/>
        </w:rPr>
        <w:t xml:space="preserve"> no contraviene el </w:t>
      </w:r>
      <w:r w:rsidR="00B40232">
        <w:rPr>
          <w:rFonts w:ascii="Arial" w:hAnsi="Arial" w:cs="Arial"/>
          <w:sz w:val="28"/>
          <w:szCs w:val="28"/>
        </w:rPr>
        <w:t>diverso</w:t>
      </w:r>
      <w:r w:rsidRPr="00C67536">
        <w:rPr>
          <w:rFonts w:ascii="Arial" w:hAnsi="Arial" w:cs="Arial"/>
          <w:sz w:val="28"/>
          <w:szCs w:val="28"/>
        </w:rPr>
        <w:t xml:space="preserve"> 16 constitucional.</w:t>
      </w:r>
    </w:p>
    <w:p w14:paraId="4277FBBC" w14:textId="77777777" w:rsidR="001C4C3D" w:rsidRPr="00C67536" w:rsidRDefault="001C4C3D" w:rsidP="001C4C3D">
      <w:pPr>
        <w:tabs>
          <w:tab w:val="left" w:pos="142"/>
        </w:tabs>
        <w:spacing w:line="360" w:lineRule="auto"/>
        <w:jc w:val="both"/>
        <w:rPr>
          <w:rFonts w:ascii="Arial" w:hAnsi="Arial" w:cs="Arial"/>
          <w:sz w:val="28"/>
          <w:szCs w:val="28"/>
        </w:rPr>
      </w:pPr>
    </w:p>
    <w:p w14:paraId="0B834B6E" w14:textId="6CF7EE5D" w:rsidR="004F5D65" w:rsidRPr="00C67536" w:rsidRDefault="00AA15F3"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 xml:space="preserve">Luego, es cierto que </w:t>
      </w:r>
      <w:r w:rsidR="00ED63B1" w:rsidRPr="00C67536">
        <w:rPr>
          <w:rFonts w:ascii="Arial" w:hAnsi="Arial" w:cs="Arial"/>
          <w:sz w:val="28"/>
          <w:szCs w:val="28"/>
        </w:rPr>
        <w:t>l</w:t>
      </w:r>
      <w:r w:rsidR="001C4C3D" w:rsidRPr="00C67536">
        <w:rPr>
          <w:rFonts w:ascii="Arial" w:hAnsi="Arial" w:cs="Arial"/>
          <w:sz w:val="28"/>
          <w:szCs w:val="28"/>
        </w:rPr>
        <w:t>a porción normativa</w:t>
      </w:r>
      <w:r w:rsidR="00ED63B1" w:rsidRPr="00C67536">
        <w:rPr>
          <w:rFonts w:ascii="Arial" w:hAnsi="Arial" w:cs="Arial"/>
          <w:sz w:val="28"/>
          <w:szCs w:val="28"/>
        </w:rPr>
        <w:t xml:space="preserve"> no prev</w:t>
      </w:r>
      <w:r w:rsidRPr="00C67536">
        <w:rPr>
          <w:rFonts w:ascii="Arial" w:hAnsi="Arial" w:cs="Arial"/>
          <w:sz w:val="28"/>
          <w:szCs w:val="28"/>
        </w:rPr>
        <w:t>é</w:t>
      </w:r>
      <w:r w:rsidR="00ED63B1" w:rsidRPr="00C67536">
        <w:rPr>
          <w:rFonts w:ascii="Arial" w:hAnsi="Arial" w:cs="Arial"/>
          <w:sz w:val="28"/>
          <w:szCs w:val="28"/>
        </w:rPr>
        <w:t xml:space="preserve"> de manera precisa los casos en que se justifique </w:t>
      </w:r>
      <w:r w:rsidR="007D0F86" w:rsidRPr="00C67536">
        <w:rPr>
          <w:rFonts w:ascii="Arial" w:hAnsi="Arial" w:cs="Arial"/>
          <w:sz w:val="28"/>
          <w:szCs w:val="28"/>
        </w:rPr>
        <w:t xml:space="preserve">que </w:t>
      </w:r>
      <w:r w:rsidR="00AE477F" w:rsidRPr="00C67536">
        <w:rPr>
          <w:rFonts w:ascii="Arial" w:hAnsi="Arial" w:cs="Arial"/>
          <w:sz w:val="28"/>
          <w:szCs w:val="28"/>
        </w:rPr>
        <w:t xml:space="preserve">a </w:t>
      </w:r>
      <w:r w:rsidR="007D0F86" w:rsidRPr="00C67536">
        <w:rPr>
          <w:rFonts w:ascii="Arial" w:hAnsi="Arial" w:cs="Arial"/>
          <w:sz w:val="28"/>
          <w:szCs w:val="28"/>
        </w:rPr>
        <w:t xml:space="preserve">un </w:t>
      </w:r>
      <w:r w:rsidR="007D0F86" w:rsidRPr="00C67536">
        <w:rPr>
          <w:rFonts w:ascii="Arial" w:eastAsiaTheme="minorHAnsi" w:hAnsi="Arial" w:cs="Arial"/>
          <w:sz w:val="28"/>
          <w:szCs w:val="28"/>
          <w:lang w:eastAsia="en-US"/>
        </w:rPr>
        <w:t>producto</w:t>
      </w:r>
      <w:r w:rsidR="00AE477F" w:rsidRPr="00C67536">
        <w:rPr>
          <w:rFonts w:ascii="Arial" w:eastAsiaTheme="minorHAnsi" w:hAnsi="Arial" w:cs="Arial"/>
          <w:sz w:val="28"/>
          <w:szCs w:val="28"/>
          <w:lang w:eastAsia="en-US"/>
        </w:rPr>
        <w:t xml:space="preserve"> no le</w:t>
      </w:r>
      <w:r w:rsidR="007E5802" w:rsidRPr="00C67536">
        <w:rPr>
          <w:rFonts w:ascii="Arial" w:eastAsiaTheme="minorHAnsi" w:hAnsi="Arial" w:cs="Arial"/>
          <w:sz w:val="28"/>
          <w:szCs w:val="28"/>
          <w:lang w:eastAsia="en-US"/>
        </w:rPr>
        <w:t xml:space="preserve"> sea</w:t>
      </w:r>
      <w:r w:rsidR="00AE477F" w:rsidRPr="00C67536">
        <w:rPr>
          <w:rFonts w:ascii="Arial" w:eastAsiaTheme="minorHAnsi" w:hAnsi="Arial" w:cs="Arial"/>
          <w:sz w:val="28"/>
          <w:szCs w:val="28"/>
          <w:lang w:eastAsia="en-US"/>
        </w:rPr>
        <w:t xml:space="preserve"> aplicable el sistema de etiquetas cuando</w:t>
      </w:r>
      <w:r w:rsidR="007D0F86" w:rsidRPr="00C67536">
        <w:rPr>
          <w:rFonts w:ascii="Arial" w:eastAsiaTheme="minorHAnsi" w:hAnsi="Arial" w:cs="Arial"/>
          <w:sz w:val="28"/>
          <w:szCs w:val="28"/>
          <w:lang w:eastAsia="en-US"/>
        </w:rPr>
        <w:t xml:space="preserve"> determine la </w:t>
      </w:r>
      <w:r w:rsidR="007D73A3" w:rsidRPr="00C67536">
        <w:rPr>
          <w:rFonts w:ascii="Arial" w:eastAsiaTheme="minorHAnsi" w:hAnsi="Arial" w:cs="Arial"/>
          <w:sz w:val="28"/>
          <w:szCs w:val="28"/>
          <w:lang w:eastAsia="en-US"/>
        </w:rPr>
        <w:t>Secretaría de Salu</w:t>
      </w:r>
      <w:r w:rsidR="00AE477F" w:rsidRPr="00C67536">
        <w:rPr>
          <w:rFonts w:ascii="Arial" w:eastAsiaTheme="minorHAnsi" w:hAnsi="Arial" w:cs="Arial"/>
          <w:sz w:val="28"/>
          <w:szCs w:val="28"/>
          <w:lang w:eastAsia="en-US"/>
        </w:rPr>
        <w:t>d</w:t>
      </w:r>
      <w:r w:rsidR="00ED63B1" w:rsidRPr="00C67536">
        <w:rPr>
          <w:rFonts w:ascii="Arial" w:hAnsi="Arial" w:cs="Arial"/>
          <w:sz w:val="28"/>
          <w:szCs w:val="28"/>
        </w:rPr>
        <w:t>,</w:t>
      </w:r>
      <w:r w:rsidR="004F5D65" w:rsidRPr="00C67536">
        <w:rPr>
          <w:rFonts w:ascii="Arial" w:hAnsi="Arial" w:cs="Arial"/>
          <w:sz w:val="28"/>
          <w:szCs w:val="28"/>
        </w:rPr>
        <w:t xml:space="preserve"> pero de acuerdo el sistema en estudi</w:t>
      </w:r>
      <w:r w:rsidR="006A4DBB" w:rsidRPr="00C67536">
        <w:rPr>
          <w:rFonts w:ascii="Arial" w:hAnsi="Arial" w:cs="Arial"/>
          <w:sz w:val="28"/>
          <w:szCs w:val="28"/>
        </w:rPr>
        <w:t xml:space="preserve">o, deben ser </w:t>
      </w:r>
      <w:r w:rsidR="000472B4" w:rsidRPr="00C67536">
        <w:rPr>
          <w:rFonts w:ascii="Arial" w:hAnsi="Arial" w:cs="Arial"/>
          <w:sz w:val="28"/>
          <w:szCs w:val="28"/>
        </w:rPr>
        <w:t>forzosamente</w:t>
      </w:r>
      <w:r w:rsidR="006A4DBB" w:rsidRPr="00C67536">
        <w:rPr>
          <w:rFonts w:ascii="Arial" w:hAnsi="Arial" w:cs="Arial"/>
          <w:sz w:val="28"/>
          <w:szCs w:val="28"/>
        </w:rPr>
        <w:t xml:space="preserve"> alimentos y bebidas no alcohólicas preenvasadas</w:t>
      </w:r>
      <w:r w:rsidR="000472B4" w:rsidRPr="00C67536">
        <w:rPr>
          <w:rFonts w:ascii="Arial" w:hAnsi="Arial" w:cs="Arial"/>
          <w:sz w:val="28"/>
          <w:szCs w:val="28"/>
        </w:rPr>
        <w:t>,</w:t>
      </w:r>
      <w:r w:rsidR="0045716D" w:rsidRPr="00C67536">
        <w:rPr>
          <w:rFonts w:ascii="Arial" w:hAnsi="Arial" w:cs="Arial"/>
          <w:sz w:val="28"/>
          <w:szCs w:val="28"/>
        </w:rPr>
        <w:t xml:space="preserve"> pues así lo dispone el artículo 212 de la Ley General de Salud,</w:t>
      </w:r>
      <w:r w:rsidR="005B0A42" w:rsidRPr="00C67536">
        <w:rPr>
          <w:rFonts w:ascii="Arial" w:hAnsi="Arial" w:cs="Arial"/>
          <w:sz w:val="28"/>
          <w:szCs w:val="28"/>
        </w:rPr>
        <w:t xml:space="preserve"> deben ser diferentes a los alimentos y bebidas no alcohólicas </w:t>
      </w:r>
      <w:r w:rsidR="00B75465" w:rsidRPr="00C67536">
        <w:rPr>
          <w:rFonts w:ascii="Arial" w:eastAsiaTheme="minorHAnsi" w:hAnsi="Arial" w:cs="Arial"/>
          <w:sz w:val="28"/>
          <w:szCs w:val="28"/>
          <w:lang w:eastAsia="en-US"/>
        </w:rPr>
        <w:t>sujetos a disposiciones de información comercial y sanitaria contenidas en Normas Oficiales Mexicanas específicas</w:t>
      </w:r>
      <w:r w:rsidR="005B0A42" w:rsidRPr="00C67536">
        <w:rPr>
          <w:rFonts w:ascii="Arial" w:eastAsiaTheme="minorHAnsi" w:hAnsi="Arial" w:cs="Arial"/>
          <w:sz w:val="28"/>
          <w:szCs w:val="28"/>
          <w:lang w:eastAsia="en-US"/>
        </w:rPr>
        <w:t>,</w:t>
      </w:r>
      <w:r w:rsidR="00B75465" w:rsidRPr="00C67536">
        <w:rPr>
          <w:rFonts w:ascii="Arial" w:eastAsiaTheme="minorHAnsi" w:hAnsi="Arial" w:cs="Arial"/>
          <w:sz w:val="28"/>
          <w:szCs w:val="28"/>
          <w:lang w:eastAsia="en-US"/>
        </w:rPr>
        <w:t xml:space="preserve"> a granel</w:t>
      </w:r>
      <w:r w:rsidR="005B0A42" w:rsidRPr="00C67536">
        <w:rPr>
          <w:rFonts w:ascii="Arial" w:eastAsiaTheme="minorHAnsi" w:hAnsi="Arial" w:cs="Arial"/>
          <w:sz w:val="28"/>
          <w:szCs w:val="28"/>
          <w:lang w:eastAsia="en-US"/>
        </w:rPr>
        <w:t xml:space="preserve"> y</w:t>
      </w:r>
      <w:r w:rsidR="00B75465" w:rsidRPr="00C67536">
        <w:rPr>
          <w:rFonts w:ascii="Arial" w:eastAsiaTheme="minorHAnsi" w:hAnsi="Arial" w:cs="Arial"/>
          <w:sz w:val="28"/>
          <w:szCs w:val="28"/>
          <w:lang w:eastAsia="en-US"/>
        </w:rPr>
        <w:t xml:space="preserve"> envasados en punto de venta</w:t>
      </w:r>
      <w:r w:rsidR="005B0A42" w:rsidRPr="00C67536">
        <w:rPr>
          <w:rFonts w:ascii="Arial" w:eastAsiaTheme="minorHAnsi" w:hAnsi="Arial" w:cs="Arial"/>
          <w:sz w:val="28"/>
          <w:szCs w:val="28"/>
          <w:lang w:eastAsia="en-US"/>
        </w:rPr>
        <w:t xml:space="preserve">, debido a que estos ya fueron excluidos de la aplicación </w:t>
      </w:r>
      <w:r w:rsidRPr="00C67536">
        <w:rPr>
          <w:rFonts w:ascii="Arial" w:eastAsiaTheme="minorHAnsi" w:hAnsi="Arial" w:cs="Arial"/>
          <w:sz w:val="28"/>
          <w:szCs w:val="28"/>
          <w:lang w:eastAsia="en-US"/>
        </w:rPr>
        <w:t>de la norma.</w:t>
      </w:r>
    </w:p>
    <w:p w14:paraId="46F16D03" w14:textId="77777777" w:rsidR="004F5D65" w:rsidRPr="00C67536" w:rsidRDefault="004F5D65" w:rsidP="004F5D65">
      <w:pPr>
        <w:pStyle w:val="ListParagraph"/>
        <w:rPr>
          <w:rFonts w:ascii="Arial" w:hAnsi="Arial" w:cs="Arial"/>
          <w:sz w:val="28"/>
          <w:szCs w:val="28"/>
        </w:rPr>
      </w:pPr>
    </w:p>
    <w:p w14:paraId="4AF1116F" w14:textId="5A9DFD4C" w:rsidR="00ED63B1" w:rsidRPr="00C67536" w:rsidRDefault="00BE29DB"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Además,</w:t>
      </w:r>
      <w:r w:rsidR="00ED63B1" w:rsidRPr="00C67536">
        <w:rPr>
          <w:rFonts w:ascii="Arial" w:hAnsi="Arial" w:cs="Arial"/>
          <w:sz w:val="28"/>
          <w:szCs w:val="28"/>
        </w:rPr>
        <w:t xml:space="preserve"> se trata del ejercicio de una facultad discrecional que requiere de un juicio valorativo por parte de la autoridad</w:t>
      </w:r>
      <w:r w:rsidR="00851990" w:rsidRPr="00C67536">
        <w:rPr>
          <w:rFonts w:ascii="Arial" w:hAnsi="Arial" w:cs="Arial"/>
          <w:sz w:val="28"/>
          <w:szCs w:val="28"/>
        </w:rPr>
        <w:t>,</w:t>
      </w:r>
      <w:r w:rsidR="00ED63B1" w:rsidRPr="00C67536">
        <w:rPr>
          <w:rFonts w:ascii="Arial" w:hAnsi="Arial" w:cs="Arial"/>
          <w:sz w:val="28"/>
          <w:szCs w:val="28"/>
        </w:rPr>
        <w:t xml:space="preserve"> cuyos parámetros están circunscritos a las circunstancias y situaciones que en ese momento se presenten</w:t>
      </w:r>
      <w:r w:rsidR="000C3E89" w:rsidRPr="00C67536">
        <w:rPr>
          <w:rFonts w:ascii="Arial" w:hAnsi="Arial" w:cs="Arial"/>
          <w:sz w:val="28"/>
          <w:szCs w:val="28"/>
        </w:rPr>
        <w:t>, para cumplir co</w:t>
      </w:r>
      <w:r w:rsidR="008B7940" w:rsidRPr="00C67536">
        <w:rPr>
          <w:rFonts w:ascii="Arial" w:hAnsi="Arial" w:cs="Arial"/>
          <w:sz w:val="28"/>
          <w:szCs w:val="28"/>
        </w:rPr>
        <w:t>n</w:t>
      </w:r>
      <w:r w:rsidR="000C3E89" w:rsidRPr="00C67536">
        <w:rPr>
          <w:rFonts w:ascii="Arial" w:hAnsi="Arial" w:cs="Arial"/>
          <w:sz w:val="28"/>
          <w:szCs w:val="28"/>
        </w:rPr>
        <w:t xml:space="preserve"> la </w:t>
      </w:r>
      <w:r w:rsidR="00165498" w:rsidRPr="00C67536">
        <w:rPr>
          <w:rFonts w:ascii="Arial" w:hAnsi="Arial" w:cs="Arial"/>
          <w:sz w:val="28"/>
          <w:szCs w:val="28"/>
        </w:rPr>
        <w:t xml:space="preserve">finalidad de la norma. </w:t>
      </w:r>
      <w:r w:rsidR="00ED63B1" w:rsidRPr="00C67536">
        <w:rPr>
          <w:rFonts w:ascii="Arial" w:hAnsi="Arial" w:cs="Arial"/>
          <w:sz w:val="28"/>
          <w:szCs w:val="28"/>
        </w:rPr>
        <w:t>Máxime que, al emitir la determinación correspondiente, deben cumplir con el principio de fundamentación y motivación, acorde con el artículo 16 constitucional.</w:t>
      </w:r>
    </w:p>
    <w:p w14:paraId="6AD84F81" w14:textId="77777777" w:rsidR="002234E4" w:rsidRPr="00C67536" w:rsidRDefault="002234E4" w:rsidP="002234E4">
      <w:pPr>
        <w:pStyle w:val="ListParagraph"/>
        <w:rPr>
          <w:rFonts w:ascii="Arial" w:hAnsi="Arial" w:cs="Arial"/>
          <w:sz w:val="28"/>
          <w:szCs w:val="28"/>
        </w:rPr>
      </w:pPr>
    </w:p>
    <w:p w14:paraId="076EEE72" w14:textId="77777777" w:rsidR="002234E4" w:rsidRPr="00C67536" w:rsidRDefault="002234E4"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En tal contexto, no es transgresora del principio de seguridad jurídica contemplado en el artículo 16 constitucional.</w:t>
      </w:r>
    </w:p>
    <w:p w14:paraId="5C492D20" w14:textId="77777777" w:rsidR="00A50F52" w:rsidRPr="00C67536" w:rsidRDefault="00A50F52" w:rsidP="00A50F52">
      <w:pPr>
        <w:pStyle w:val="ListParagraph"/>
        <w:rPr>
          <w:rFonts w:ascii="Arial" w:hAnsi="Arial" w:cs="Arial"/>
          <w:sz w:val="28"/>
          <w:szCs w:val="28"/>
        </w:rPr>
      </w:pPr>
    </w:p>
    <w:p w14:paraId="338520EB" w14:textId="531617D7" w:rsidR="004F4AB7" w:rsidRPr="00C67536" w:rsidRDefault="0073769B" w:rsidP="004F4AB7">
      <w:pPr>
        <w:tabs>
          <w:tab w:val="left" w:pos="142"/>
        </w:tabs>
        <w:spacing w:line="360" w:lineRule="auto"/>
        <w:jc w:val="both"/>
        <w:rPr>
          <w:rFonts w:ascii="Arial" w:hAnsi="Arial" w:cs="Arial"/>
          <w:b/>
          <w:bCs/>
          <w:sz w:val="28"/>
          <w:szCs w:val="28"/>
        </w:rPr>
      </w:pPr>
      <w:r w:rsidRPr="00C67536">
        <w:rPr>
          <w:rFonts w:ascii="Arial" w:hAnsi="Arial" w:cs="Arial"/>
          <w:b/>
          <w:bCs/>
          <w:sz w:val="28"/>
          <w:szCs w:val="28"/>
        </w:rPr>
        <w:t>VI.</w:t>
      </w:r>
      <w:r w:rsidR="00DB3349" w:rsidRPr="00C67536">
        <w:rPr>
          <w:rFonts w:ascii="Arial" w:hAnsi="Arial" w:cs="Arial"/>
          <w:b/>
          <w:bCs/>
          <w:sz w:val="28"/>
          <w:szCs w:val="28"/>
        </w:rPr>
        <w:t>4</w:t>
      </w:r>
      <w:r w:rsidRPr="00C67536">
        <w:rPr>
          <w:rFonts w:ascii="Arial" w:hAnsi="Arial" w:cs="Arial"/>
          <w:b/>
          <w:bCs/>
          <w:sz w:val="28"/>
          <w:szCs w:val="28"/>
        </w:rPr>
        <w:t>. Sustitución de facultades por el Juez de Distrito.</w:t>
      </w:r>
    </w:p>
    <w:p w14:paraId="154C97F6" w14:textId="77777777" w:rsidR="004F4AB7" w:rsidRPr="00C67536" w:rsidRDefault="004F4AB7" w:rsidP="004F4AB7">
      <w:pPr>
        <w:pStyle w:val="ListParagraph"/>
        <w:rPr>
          <w:rFonts w:ascii="Arial" w:eastAsiaTheme="minorHAnsi" w:hAnsi="Arial" w:cs="Arial"/>
          <w:sz w:val="28"/>
          <w:szCs w:val="28"/>
          <w:lang w:eastAsia="en-US"/>
        </w:rPr>
      </w:pPr>
    </w:p>
    <w:p w14:paraId="738C063F" w14:textId="4235388C" w:rsidR="004F373A" w:rsidRPr="00C67536" w:rsidRDefault="004F373A"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eastAsiaTheme="minorHAnsi" w:hAnsi="Arial" w:cs="Arial"/>
          <w:sz w:val="28"/>
          <w:szCs w:val="28"/>
          <w:lang w:eastAsia="en-US"/>
        </w:rPr>
        <w:t xml:space="preserve">Por otra parte, </w:t>
      </w:r>
      <w:r w:rsidR="0073769B" w:rsidRPr="00C67536">
        <w:rPr>
          <w:rFonts w:ascii="Arial" w:eastAsiaTheme="minorHAnsi" w:hAnsi="Arial" w:cs="Arial"/>
          <w:sz w:val="28"/>
          <w:szCs w:val="28"/>
          <w:lang w:eastAsia="en-US"/>
        </w:rPr>
        <w:t xml:space="preserve">la quejosa </w:t>
      </w:r>
      <w:r w:rsidRPr="00C67536">
        <w:rPr>
          <w:rFonts w:ascii="Arial" w:eastAsiaTheme="minorHAnsi" w:hAnsi="Arial" w:cs="Arial"/>
          <w:sz w:val="28"/>
          <w:szCs w:val="28"/>
          <w:lang w:eastAsia="en-US"/>
        </w:rPr>
        <w:t>aduce que el Juez Federal sustituyó a las responsables al incluir en el caudal probatorio “El etiquetado frontal como instrumento de política para prevenir enfermedades no transmisibles en la Región de las Américas, Organización Panamericana de la Salud”, el cual no se tomó en cuenta en el momento de creación de las normas impugnadas.</w:t>
      </w:r>
    </w:p>
    <w:p w14:paraId="69ACFDE1" w14:textId="77777777" w:rsidR="009B3B14" w:rsidRPr="00C67536" w:rsidRDefault="009B3B14" w:rsidP="009B3B14">
      <w:pPr>
        <w:tabs>
          <w:tab w:val="left" w:pos="142"/>
        </w:tabs>
        <w:spacing w:line="360" w:lineRule="auto"/>
        <w:jc w:val="both"/>
        <w:rPr>
          <w:rFonts w:ascii="Arial" w:hAnsi="Arial" w:cs="Arial"/>
          <w:sz w:val="28"/>
          <w:szCs w:val="28"/>
        </w:rPr>
      </w:pPr>
    </w:p>
    <w:p w14:paraId="14853DCD" w14:textId="6EC98A39" w:rsidR="009B3B14" w:rsidRPr="00C67536" w:rsidRDefault="009B3B14"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 xml:space="preserve"> Es </w:t>
      </w:r>
      <w:r w:rsidRPr="00C67536">
        <w:rPr>
          <w:rFonts w:ascii="Arial" w:hAnsi="Arial" w:cs="Arial"/>
          <w:b/>
          <w:bCs/>
          <w:sz w:val="28"/>
          <w:szCs w:val="28"/>
        </w:rPr>
        <w:t>infundado</w:t>
      </w:r>
      <w:r w:rsidRPr="00C67536">
        <w:rPr>
          <w:rFonts w:ascii="Arial" w:hAnsi="Arial" w:cs="Arial"/>
          <w:sz w:val="28"/>
          <w:szCs w:val="28"/>
        </w:rPr>
        <w:t xml:space="preserve"> el concepto de violación.</w:t>
      </w:r>
    </w:p>
    <w:p w14:paraId="799071AF" w14:textId="77777777" w:rsidR="009B3B14" w:rsidRPr="00C67536" w:rsidRDefault="009B3B14" w:rsidP="009B3B14">
      <w:pPr>
        <w:pStyle w:val="ListParagraph"/>
        <w:rPr>
          <w:rFonts w:ascii="Arial" w:hAnsi="Arial" w:cs="Arial"/>
          <w:sz w:val="28"/>
          <w:szCs w:val="28"/>
        </w:rPr>
      </w:pPr>
    </w:p>
    <w:p w14:paraId="00BD4F1B" w14:textId="61610480" w:rsidR="009B3B14" w:rsidRPr="00C67536" w:rsidRDefault="009B3B14"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De la sentencia impugnada, se aprecia que</w:t>
      </w:r>
      <w:r w:rsidR="001B6798" w:rsidRPr="00C67536">
        <w:rPr>
          <w:rFonts w:ascii="Arial" w:hAnsi="Arial" w:cs="Arial"/>
          <w:sz w:val="28"/>
          <w:szCs w:val="28"/>
        </w:rPr>
        <w:t xml:space="preserve"> </w:t>
      </w:r>
      <w:r w:rsidR="002E79C6" w:rsidRPr="00C67536">
        <w:rPr>
          <w:rFonts w:ascii="Arial" w:hAnsi="Arial" w:cs="Arial"/>
          <w:sz w:val="28"/>
          <w:szCs w:val="28"/>
        </w:rPr>
        <w:t>el Juez de Distrito</w:t>
      </w:r>
      <w:r w:rsidR="00AD4853" w:rsidRPr="00C67536">
        <w:rPr>
          <w:rFonts w:ascii="Arial" w:hAnsi="Arial" w:cs="Arial"/>
          <w:sz w:val="28"/>
          <w:szCs w:val="28"/>
        </w:rPr>
        <w:t xml:space="preserve"> realizó el test de proporcionalidad con base en diversos preceptos</w:t>
      </w:r>
      <w:r w:rsidR="007F4570" w:rsidRPr="00C67536">
        <w:rPr>
          <w:rFonts w:ascii="Arial" w:hAnsi="Arial" w:cs="Arial"/>
          <w:sz w:val="28"/>
          <w:szCs w:val="28"/>
        </w:rPr>
        <w:t xml:space="preserve"> de la Constitución Federal, preceptos legales y criterios</w:t>
      </w:r>
      <w:r w:rsidR="00AD4853" w:rsidRPr="00C67536">
        <w:rPr>
          <w:rFonts w:ascii="Arial" w:hAnsi="Arial" w:cs="Arial"/>
          <w:sz w:val="28"/>
          <w:szCs w:val="28"/>
        </w:rPr>
        <w:t xml:space="preserve"> sobre el derecho a la alimentación, salud y derechos del consumidor</w:t>
      </w:r>
      <w:r w:rsidR="00624843" w:rsidRPr="00C67536">
        <w:rPr>
          <w:rFonts w:ascii="Arial" w:hAnsi="Arial" w:cs="Arial"/>
          <w:sz w:val="28"/>
          <w:szCs w:val="28"/>
        </w:rPr>
        <w:t>,</w:t>
      </w:r>
      <w:r w:rsidR="00AD4853" w:rsidRPr="00C67536">
        <w:rPr>
          <w:rFonts w:ascii="Arial" w:hAnsi="Arial" w:cs="Arial"/>
          <w:sz w:val="28"/>
          <w:szCs w:val="28"/>
        </w:rPr>
        <w:t xml:space="preserve"> </w:t>
      </w:r>
      <w:r w:rsidR="00C0093E" w:rsidRPr="00C67536">
        <w:rPr>
          <w:rFonts w:ascii="Arial" w:hAnsi="Arial" w:cs="Arial"/>
          <w:sz w:val="28"/>
          <w:szCs w:val="28"/>
        </w:rPr>
        <w:t>emitidos por este Máximo Tribunal, así como de la exposición de motivos realizada por los legisladores al momento de implementar el sistema de etiquetado frontal que ahora se reclama.</w:t>
      </w:r>
    </w:p>
    <w:p w14:paraId="4F7269F0" w14:textId="77777777" w:rsidR="00C0093E" w:rsidRPr="00C67536" w:rsidRDefault="00C0093E" w:rsidP="00C0093E">
      <w:pPr>
        <w:pStyle w:val="ListParagraph"/>
        <w:rPr>
          <w:rFonts w:ascii="Arial" w:hAnsi="Arial" w:cs="Arial"/>
          <w:sz w:val="28"/>
          <w:szCs w:val="28"/>
        </w:rPr>
      </w:pPr>
    </w:p>
    <w:p w14:paraId="391476C9" w14:textId="782EA355" w:rsidR="00C61D9E" w:rsidRPr="00C67536" w:rsidRDefault="00624843"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Ahora, es cierto que</w:t>
      </w:r>
      <w:r w:rsidR="001A339E" w:rsidRPr="00C67536">
        <w:rPr>
          <w:rFonts w:ascii="Arial" w:hAnsi="Arial" w:cs="Arial"/>
          <w:sz w:val="28"/>
          <w:szCs w:val="28"/>
        </w:rPr>
        <w:t>,</w:t>
      </w:r>
      <w:r w:rsidRPr="00C67536">
        <w:rPr>
          <w:rFonts w:ascii="Arial" w:hAnsi="Arial" w:cs="Arial"/>
          <w:sz w:val="28"/>
          <w:szCs w:val="28"/>
        </w:rPr>
        <w:t xml:space="preserve"> en dic</w:t>
      </w:r>
      <w:r w:rsidR="00637CDF" w:rsidRPr="00C67536">
        <w:rPr>
          <w:rFonts w:ascii="Arial" w:hAnsi="Arial" w:cs="Arial"/>
          <w:sz w:val="28"/>
          <w:szCs w:val="28"/>
        </w:rPr>
        <w:t>ha resolución, se hizo alusión al</w:t>
      </w:r>
      <w:r w:rsidR="00172B50" w:rsidRPr="00C67536">
        <w:rPr>
          <w:rFonts w:ascii="Arial" w:hAnsi="Arial" w:cs="Arial"/>
          <w:sz w:val="28"/>
          <w:szCs w:val="28"/>
        </w:rPr>
        <w:t xml:space="preserve"> artículo denominado: “El etiquetado frontal como instrumento de </w:t>
      </w:r>
      <w:r w:rsidR="005764BB" w:rsidRPr="00C67536">
        <w:rPr>
          <w:rFonts w:ascii="Arial" w:hAnsi="Arial" w:cs="Arial"/>
          <w:sz w:val="28"/>
          <w:szCs w:val="28"/>
        </w:rPr>
        <w:t>política para prevenir enfermedades no transmisibles en la región de las Américas, Organización Panamericana de la Salud”</w:t>
      </w:r>
      <w:r w:rsidR="001A040E" w:rsidRPr="00C67536">
        <w:rPr>
          <w:rFonts w:ascii="Arial" w:hAnsi="Arial" w:cs="Arial"/>
          <w:sz w:val="28"/>
          <w:szCs w:val="28"/>
        </w:rPr>
        <w:t xml:space="preserve">, </w:t>
      </w:r>
      <w:r w:rsidR="002F338D" w:rsidRPr="00C67536">
        <w:rPr>
          <w:rFonts w:ascii="Arial" w:hAnsi="Arial" w:cs="Arial"/>
          <w:sz w:val="28"/>
          <w:szCs w:val="28"/>
        </w:rPr>
        <w:t>el cual se emitió el once de noviembre de dos mil veinte (posterior a la emisión de las normas reclamadas)</w:t>
      </w:r>
      <w:r w:rsidR="00C61D9E" w:rsidRPr="00C67536">
        <w:rPr>
          <w:rFonts w:ascii="Arial" w:hAnsi="Arial" w:cs="Arial"/>
          <w:sz w:val="28"/>
          <w:szCs w:val="28"/>
        </w:rPr>
        <w:t>.</w:t>
      </w:r>
    </w:p>
    <w:p w14:paraId="611DCFE3" w14:textId="77777777" w:rsidR="00C61D9E" w:rsidRPr="00C67536" w:rsidRDefault="00C61D9E" w:rsidP="00C61D9E">
      <w:pPr>
        <w:pStyle w:val="ListParagraph"/>
        <w:rPr>
          <w:rFonts w:ascii="Arial" w:hAnsi="Arial" w:cs="Arial"/>
          <w:sz w:val="28"/>
          <w:szCs w:val="28"/>
        </w:rPr>
      </w:pPr>
    </w:p>
    <w:p w14:paraId="16B3425E" w14:textId="13F5AB26" w:rsidR="00217643" w:rsidRPr="00C67536" w:rsidRDefault="00217643" w:rsidP="00B144AE">
      <w:pPr>
        <w:numPr>
          <w:ilvl w:val="0"/>
          <w:numId w:val="15"/>
        </w:numPr>
        <w:tabs>
          <w:tab w:val="left" w:pos="142"/>
        </w:tabs>
        <w:spacing w:line="360" w:lineRule="auto"/>
        <w:ind w:left="0" w:hanging="567"/>
        <w:jc w:val="both"/>
        <w:rPr>
          <w:rFonts w:ascii="Arial" w:hAnsi="Arial" w:cs="Arial"/>
          <w:sz w:val="28"/>
          <w:szCs w:val="28"/>
        </w:rPr>
      </w:pPr>
      <w:r w:rsidRPr="00C67536">
        <w:rPr>
          <w:rFonts w:ascii="Arial" w:hAnsi="Arial" w:cs="Arial"/>
          <w:sz w:val="28"/>
          <w:szCs w:val="28"/>
        </w:rPr>
        <w:t xml:space="preserve">Luego, </w:t>
      </w:r>
      <w:r w:rsidR="00CC35A2" w:rsidRPr="00C67536">
        <w:rPr>
          <w:rFonts w:ascii="Arial" w:hAnsi="Arial" w:cs="Arial"/>
          <w:sz w:val="28"/>
          <w:szCs w:val="28"/>
        </w:rPr>
        <w:t>de conformidad con los artículos 74 y 75 de la Ley de Amparo,</w:t>
      </w:r>
      <w:r w:rsidR="009D063A" w:rsidRPr="00C67536">
        <w:rPr>
          <w:rFonts w:ascii="Arial" w:hAnsi="Arial" w:cs="Arial"/>
          <w:sz w:val="28"/>
          <w:szCs w:val="28"/>
        </w:rPr>
        <w:t xml:space="preserve"> el acto reclamado se apreciará tal y como aparezca probado ante la autoridad responsable</w:t>
      </w:r>
      <w:r w:rsidR="000724B8" w:rsidRPr="00C67536">
        <w:rPr>
          <w:rFonts w:ascii="Arial" w:hAnsi="Arial" w:cs="Arial"/>
          <w:sz w:val="28"/>
          <w:szCs w:val="28"/>
        </w:rPr>
        <w:t xml:space="preserve"> y </w:t>
      </w:r>
      <w:r w:rsidR="00CC35A2" w:rsidRPr="00C67536">
        <w:rPr>
          <w:rFonts w:ascii="Arial" w:hAnsi="Arial" w:cs="Arial"/>
          <w:sz w:val="28"/>
          <w:szCs w:val="28"/>
        </w:rPr>
        <w:t>la sentencia debe contener el análisis sistemático de todos los concepto</w:t>
      </w:r>
      <w:r w:rsidR="005759BE" w:rsidRPr="00C67536">
        <w:rPr>
          <w:rFonts w:ascii="Arial" w:hAnsi="Arial" w:cs="Arial"/>
          <w:sz w:val="28"/>
          <w:szCs w:val="28"/>
        </w:rPr>
        <w:t>s</w:t>
      </w:r>
      <w:r w:rsidR="00CC35A2" w:rsidRPr="00C67536">
        <w:rPr>
          <w:rFonts w:ascii="Arial" w:hAnsi="Arial" w:cs="Arial"/>
          <w:sz w:val="28"/>
          <w:szCs w:val="28"/>
        </w:rPr>
        <w:t xml:space="preserve"> de violación</w:t>
      </w:r>
      <w:r w:rsidR="000724B8" w:rsidRPr="00C67536">
        <w:rPr>
          <w:rFonts w:ascii="Arial" w:hAnsi="Arial" w:cs="Arial"/>
          <w:sz w:val="28"/>
          <w:szCs w:val="28"/>
        </w:rPr>
        <w:t>.</w:t>
      </w:r>
    </w:p>
    <w:p w14:paraId="11948D0B" w14:textId="77777777" w:rsidR="005E3795" w:rsidRPr="00C67536" w:rsidRDefault="005E3795" w:rsidP="005E3795">
      <w:pPr>
        <w:pStyle w:val="ListParagraph"/>
        <w:rPr>
          <w:rFonts w:ascii="Arial" w:hAnsi="Arial" w:cs="Arial"/>
          <w:sz w:val="28"/>
          <w:szCs w:val="28"/>
        </w:rPr>
      </w:pPr>
    </w:p>
    <w:p w14:paraId="6C23FD30" w14:textId="57B2B8EE" w:rsidR="0017548E" w:rsidRPr="00C67536" w:rsidRDefault="005E3795"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rPr>
        <w:t>Por ello, no obstante que, el Juez de Distrito citó un documento que el legislador federal</w:t>
      </w:r>
      <w:r w:rsidR="007456EF" w:rsidRPr="00C67536">
        <w:rPr>
          <w:rFonts w:ascii="Arial" w:hAnsi="Arial" w:cs="Arial"/>
          <w:sz w:val="28"/>
          <w:szCs w:val="28"/>
        </w:rPr>
        <w:t>, ni la Secretaría de Salud</w:t>
      </w:r>
      <w:r w:rsidR="00943DD6" w:rsidRPr="00C67536">
        <w:rPr>
          <w:rFonts w:ascii="Arial" w:hAnsi="Arial" w:cs="Arial"/>
          <w:sz w:val="28"/>
          <w:szCs w:val="28"/>
        </w:rPr>
        <w:t>,</w:t>
      </w:r>
      <w:r w:rsidRPr="00C67536">
        <w:rPr>
          <w:rFonts w:ascii="Arial" w:hAnsi="Arial" w:cs="Arial"/>
          <w:sz w:val="28"/>
          <w:szCs w:val="28"/>
        </w:rPr>
        <w:t xml:space="preserve"> </w:t>
      </w:r>
      <w:r w:rsidR="005759BE" w:rsidRPr="00C67536">
        <w:rPr>
          <w:rFonts w:ascii="Arial" w:hAnsi="Arial" w:cs="Arial"/>
          <w:sz w:val="28"/>
          <w:szCs w:val="28"/>
        </w:rPr>
        <w:t>tom</w:t>
      </w:r>
      <w:r w:rsidR="00943DD6" w:rsidRPr="00C67536">
        <w:rPr>
          <w:rFonts w:ascii="Arial" w:hAnsi="Arial" w:cs="Arial"/>
          <w:sz w:val="28"/>
          <w:szCs w:val="28"/>
        </w:rPr>
        <w:t>aron</w:t>
      </w:r>
      <w:r w:rsidR="005759BE" w:rsidRPr="00C67536">
        <w:rPr>
          <w:rFonts w:ascii="Arial" w:hAnsi="Arial" w:cs="Arial"/>
          <w:sz w:val="28"/>
          <w:szCs w:val="28"/>
        </w:rPr>
        <w:t xml:space="preserve"> en consideración para emitir las reformas a la Ley General de Salud, ni</w:t>
      </w:r>
      <w:r w:rsidR="00BC40CB" w:rsidRPr="00C67536">
        <w:rPr>
          <w:rFonts w:ascii="Arial" w:hAnsi="Arial" w:cs="Arial"/>
          <w:sz w:val="28"/>
          <w:szCs w:val="28"/>
        </w:rPr>
        <w:t xml:space="preserve"> la norma </w:t>
      </w:r>
      <w:r w:rsidR="000A0F46" w:rsidRPr="00C67536">
        <w:rPr>
          <w:rFonts w:ascii="Arial" w:hAnsi="Arial" w:cs="Arial"/>
          <w:sz w:val="28"/>
          <w:szCs w:val="28"/>
        </w:rPr>
        <w:t>oficial mexicana reclamada</w:t>
      </w:r>
      <w:r w:rsidR="00581F7F" w:rsidRPr="00C67536">
        <w:rPr>
          <w:rFonts w:ascii="Arial" w:hAnsi="Arial" w:cs="Arial"/>
          <w:sz w:val="28"/>
          <w:szCs w:val="28"/>
        </w:rPr>
        <w:t>;</w:t>
      </w:r>
      <w:r w:rsidR="007A10A3" w:rsidRPr="00C67536">
        <w:rPr>
          <w:rFonts w:ascii="Arial" w:hAnsi="Arial" w:cs="Arial"/>
          <w:sz w:val="28"/>
          <w:szCs w:val="28"/>
        </w:rPr>
        <w:t xml:space="preserve"> lo cierto es</w:t>
      </w:r>
      <w:r w:rsidR="000645C1" w:rsidRPr="00C67536">
        <w:rPr>
          <w:rFonts w:ascii="Arial" w:hAnsi="Arial" w:cs="Arial"/>
          <w:sz w:val="28"/>
          <w:szCs w:val="28"/>
        </w:rPr>
        <w:t xml:space="preserve"> </w:t>
      </w:r>
      <w:r w:rsidR="00943DD6" w:rsidRPr="00C67536">
        <w:rPr>
          <w:rFonts w:ascii="Arial" w:hAnsi="Arial" w:cs="Arial"/>
          <w:sz w:val="28"/>
          <w:szCs w:val="28"/>
        </w:rPr>
        <w:t xml:space="preserve">que </w:t>
      </w:r>
      <w:r w:rsidR="001D0B9B" w:rsidRPr="00C67536">
        <w:rPr>
          <w:rFonts w:ascii="Arial" w:hAnsi="Arial" w:cs="Arial"/>
          <w:sz w:val="28"/>
          <w:szCs w:val="28"/>
        </w:rPr>
        <w:t>sí consideraron</w:t>
      </w:r>
      <w:r w:rsidR="000645C1" w:rsidRPr="00C67536">
        <w:rPr>
          <w:rFonts w:ascii="Arial" w:hAnsi="Arial" w:cs="Arial"/>
          <w:sz w:val="28"/>
          <w:szCs w:val="28"/>
        </w:rPr>
        <w:t>, entre otros documentos</w:t>
      </w:r>
      <w:r w:rsidR="00F579D4" w:rsidRPr="00C67536">
        <w:rPr>
          <w:rFonts w:ascii="Arial" w:hAnsi="Arial" w:cs="Arial"/>
          <w:sz w:val="28"/>
          <w:szCs w:val="28"/>
        </w:rPr>
        <w:t>:</w:t>
      </w:r>
      <w:r w:rsidR="000645C1" w:rsidRPr="00C67536">
        <w:rPr>
          <w:rFonts w:ascii="Arial" w:hAnsi="Arial" w:cs="Arial"/>
          <w:sz w:val="28"/>
          <w:szCs w:val="28"/>
        </w:rPr>
        <w:t xml:space="preserve"> el </w:t>
      </w:r>
      <w:r w:rsidR="000645C1" w:rsidRPr="00C67536">
        <w:rPr>
          <w:rFonts w:ascii="Arial" w:eastAsiaTheme="minorHAnsi" w:hAnsi="Arial" w:cs="Arial"/>
          <w:sz w:val="28"/>
          <w:szCs w:val="28"/>
          <w:lang w:eastAsia="en-US"/>
        </w:rPr>
        <w:t>Modelo de Perfil de Nutrientes. Washington, DC. 2016.</w:t>
      </w:r>
      <w:r w:rsidR="000645C1" w:rsidRPr="00C67536">
        <w:rPr>
          <w:rFonts w:ascii="Arial" w:hAnsi="Arial" w:cs="Arial"/>
          <w:sz w:val="28"/>
          <w:szCs w:val="28"/>
        </w:rPr>
        <w:t xml:space="preserve"> </w:t>
      </w:r>
      <w:r w:rsidR="008A24D9" w:rsidRPr="00C67536">
        <w:rPr>
          <w:rFonts w:ascii="Arial" w:eastAsiaTheme="minorHAnsi" w:hAnsi="Arial" w:cs="Arial"/>
          <w:sz w:val="28"/>
          <w:szCs w:val="28"/>
          <w:lang w:eastAsia="en-US"/>
        </w:rPr>
        <w:t>Organización Panamericana de la Salud;</w:t>
      </w:r>
      <w:r w:rsidR="00F579D4" w:rsidRPr="00C67536">
        <w:rPr>
          <w:rFonts w:ascii="Arial" w:eastAsiaTheme="minorHAnsi" w:hAnsi="Arial" w:cs="Arial"/>
          <w:sz w:val="28"/>
          <w:szCs w:val="28"/>
          <w:lang w:eastAsia="en-US"/>
        </w:rPr>
        <w:t xml:space="preserve"> Alimentos y bebidas </w:t>
      </w:r>
      <w:r w:rsidR="00625B72" w:rsidRPr="00C67536">
        <w:rPr>
          <w:rFonts w:ascii="Arial" w:eastAsiaTheme="minorHAnsi" w:hAnsi="Arial" w:cs="Arial"/>
          <w:sz w:val="28"/>
          <w:szCs w:val="28"/>
          <w:lang w:eastAsia="en-US"/>
        </w:rPr>
        <w:t>ultra procesados</w:t>
      </w:r>
      <w:r w:rsidR="00F579D4" w:rsidRPr="00C67536">
        <w:rPr>
          <w:rFonts w:ascii="Arial" w:eastAsiaTheme="minorHAnsi" w:hAnsi="Arial" w:cs="Arial"/>
          <w:sz w:val="28"/>
          <w:szCs w:val="28"/>
          <w:lang w:eastAsia="en-US"/>
        </w:rPr>
        <w:t xml:space="preserve"> en América Latina: </w:t>
      </w:r>
      <w:r w:rsidR="001A4E84" w:rsidRPr="00C67536">
        <w:rPr>
          <w:rFonts w:ascii="Arial" w:eastAsiaTheme="minorHAnsi" w:hAnsi="Arial" w:cs="Arial"/>
          <w:sz w:val="28"/>
          <w:szCs w:val="28"/>
          <w:lang w:eastAsia="en-US"/>
        </w:rPr>
        <w:t>Tendencias</w:t>
      </w:r>
      <w:r w:rsidR="00F579D4" w:rsidRPr="00C67536">
        <w:rPr>
          <w:rFonts w:ascii="Arial" w:eastAsiaTheme="minorHAnsi" w:hAnsi="Arial" w:cs="Arial"/>
          <w:sz w:val="28"/>
          <w:szCs w:val="28"/>
          <w:lang w:eastAsia="en-US"/>
        </w:rPr>
        <w:t>, efecto sobre la obesidad e</w:t>
      </w:r>
      <w:r w:rsidR="005D746F" w:rsidRPr="00C67536">
        <w:rPr>
          <w:rFonts w:ascii="Arial" w:hAnsi="Arial" w:cs="Arial"/>
          <w:sz w:val="28"/>
          <w:szCs w:val="28"/>
        </w:rPr>
        <w:t xml:space="preserve"> </w:t>
      </w:r>
      <w:r w:rsidR="00F579D4" w:rsidRPr="00C67536">
        <w:rPr>
          <w:rFonts w:ascii="Arial" w:eastAsiaTheme="minorHAnsi" w:hAnsi="Arial" w:cs="Arial"/>
          <w:sz w:val="28"/>
          <w:szCs w:val="28"/>
          <w:lang w:eastAsia="en-US"/>
        </w:rPr>
        <w:t>implicaciones para las políticas públicas. Departamento de Enfermedades no Transmisibles y Salud</w:t>
      </w:r>
      <w:r w:rsidR="005D746F" w:rsidRPr="00C67536">
        <w:rPr>
          <w:rFonts w:ascii="Arial" w:hAnsi="Arial" w:cs="Arial"/>
          <w:sz w:val="28"/>
          <w:szCs w:val="28"/>
        </w:rPr>
        <w:t xml:space="preserve"> </w:t>
      </w:r>
      <w:r w:rsidR="00F579D4" w:rsidRPr="00C67536">
        <w:rPr>
          <w:rFonts w:ascii="Arial" w:eastAsiaTheme="minorHAnsi" w:hAnsi="Arial" w:cs="Arial"/>
          <w:sz w:val="28"/>
          <w:szCs w:val="28"/>
          <w:lang w:eastAsia="en-US"/>
        </w:rPr>
        <w:t>Mental. 2015.</w:t>
      </w:r>
      <w:r w:rsidR="005D746F" w:rsidRPr="00C67536">
        <w:rPr>
          <w:rFonts w:ascii="Arial" w:hAnsi="Arial" w:cs="Arial"/>
          <w:sz w:val="28"/>
          <w:szCs w:val="28"/>
        </w:rPr>
        <w:t xml:space="preserve"> </w:t>
      </w:r>
      <w:r w:rsidR="003B52A5" w:rsidRPr="00C67536">
        <w:rPr>
          <w:rFonts w:ascii="Arial" w:eastAsiaTheme="minorHAnsi" w:hAnsi="Arial" w:cs="Arial"/>
          <w:sz w:val="28"/>
          <w:szCs w:val="28"/>
          <w:lang w:eastAsia="en-US"/>
        </w:rPr>
        <w:t xml:space="preserve">Organización Mundial de la Salud </w:t>
      </w:r>
      <w:r w:rsidR="005D746F" w:rsidRPr="00C67536">
        <w:rPr>
          <w:rFonts w:ascii="Arial" w:eastAsiaTheme="minorHAnsi" w:hAnsi="Arial" w:cs="Arial"/>
          <w:sz w:val="28"/>
          <w:szCs w:val="28"/>
          <w:lang w:eastAsia="en-US"/>
        </w:rPr>
        <w:t>y</w:t>
      </w:r>
      <w:r w:rsidR="003B52A5" w:rsidRPr="00C67536">
        <w:rPr>
          <w:rFonts w:ascii="Arial" w:eastAsiaTheme="minorHAnsi" w:hAnsi="Arial" w:cs="Arial"/>
          <w:sz w:val="28"/>
          <w:szCs w:val="28"/>
          <w:lang w:eastAsia="en-US"/>
        </w:rPr>
        <w:t xml:space="preserve"> Organización Panamericana de la Salud (OPS)</w:t>
      </w:r>
      <w:r w:rsidR="002C493B" w:rsidRPr="00C67536">
        <w:rPr>
          <w:rFonts w:ascii="Arial" w:eastAsiaTheme="minorHAnsi" w:hAnsi="Arial" w:cs="Arial"/>
          <w:sz w:val="28"/>
          <w:szCs w:val="28"/>
          <w:lang w:eastAsia="en-US"/>
        </w:rPr>
        <w:t>; y, l</w:t>
      </w:r>
      <w:r w:rsidR="002462FD" w:rsidRPr="00C67536">
        <w:rPr>
          <w:rFonts w:ascii="Arial" w:hAnsi="Arial" w:cs="Arial"/>
          <w:sz w:val="28"/>
          <w:szCs w:val="28"/>
        </w:rPr>
        <w:t>as Recomendaciones sobre el etiquetado para alimentos y bebidas no alcohólicas pre envasados en México y otros instrumentos normativos relacionados, con base en la misión a México del Asesor Regional para las Américas en Nutrición de la Organización Panamericana de Salud/ Organización Mundial de la Salud (OMS), del quince al diecisiete de noviembre de dos mil dieciséis, en conjunto con la Comisión Federal para la Protección contra Riesgos Sanitarios</w:t>
      </w:r>
      <w:r w:rsidR="002C493B" w:rsidRPr="00C67536">
        <w:rPr>
          <w:rFonts w:ascii="Arial" w:hAnsi="Arial" w:cs="Arial"/>
          <w:sz w:val="28"/>
          <w:szCs w:val="28"/>
        </w:rPr>
        <w:t>.</w:t>
      </w:r>
    </w:p>
    <w:p w14:paraId="1B4FD201" w14:textId="59DA975B" w:rsidR="006579A4" w:rsidRPr="00C67536" w:rsidRDefault="00AC67B4"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eastAsiaTheme="minorHAnsi" w:hAnsi="Arial" w:cs="Arial"/>
          <w:sz w:val="28"/>
          <w:szCs w:val="28"/>
          <w:lang w:eastAsia="en-US"/>
        </w:rPr>
        <w:t>Así</w:t>
      </w:r>
      <w:r w:rsidR="001B0A87" w:rsidRPr="00C67536">
        <w:rPr>
          <w:rFonts w:ascii="Arial" w:eastAsiaTheme="minorHAnsi" w:hAnsi="Arial" w:cs="Arial"/>
          <w:sz w:val="28"/>
          <w:szCs w:val="28"/>
          <w:lang w:eastAsia="en-US"/>
        </w:rPr>
        <w:t>, con base en dichos documentos se puede sostener la constitucionalidad del actual</w:t>
      </w:r>
      <w:r w:rsidR="00FA5B6A" w:rsidRPr="00C67536">
        <w:rPr>
          <w:rFonts w:ascii="Arial" w:eastAsiaTheme="minorHAnsi" w:hAnsi="Arial" w:cs="Arial"/>
          <w:sz w:val="28"/>
          <w:szCs w:val="28"/>
          <w:lang w:eastAsia="en-US"/>
        </w:rPr>
        <w:t xml:space="preserve"> sistema de etiquetado en México, pues proporcionan fuentes científicas sobre el sistema de alimentación y salud en el país, así como científica sobre el sistema de etiquetado frontal de advertencia</w:t>
      </w:r>
      <w:r w:rsidR="006579A4" w:rsidRPr="00C67536">
        <w:rPr>
          <w:rFonts w:ascii="Arial" w:eastAsiaTheme="minorHAnsi" w:hAnsi="Arial" w:cs="Arial"/>
          <w:sz w:val="28"/>
          <w:szCs w:val="28"/>
          <w:lang w:eastAsia="en-US"/>
        </w:rPr>
        <w:t xml:space="preserve"> implementado por el </w:t>
      </w:r>
      <w:r w:rsidR="0091475D" w:rsidRPr="00C67536">
        <w:rPr>
          <w:rFonts w:ascii="Arial" w:eastAsiaTheme="minorHAnsi" w:hAnsi="Arial" w:cs="Arial"/>
          <w:sz w:val="28"/>
          <w:szCs w:val="28"/>
          <w:lang w:eastAsia="en-US"/>
        </w:rPr>
        <w:t>G</w:t>
      </w:r>
      <w:r w:rsidR="006579A4" w:rsidRPr="00C67536">
        <w:rPr>
          <w:rFonts w:ascii="Arial" w:eastAsiaTheme="minorHAnsi" w:hAnsi="Arial" w:cs="Arial"/>
          <w:sz w:val="28"/>
          <w:szCs w:val="28"/>
          <w:lang w:eastAsia="en-US"/>
        </w:rPr>
        <w:t xml:space="preserve">obierno </w:t>
      </w:r>
      <w:r w:rsidR="006855C3">
        <w:rPr>
          <w:rFonts w:ascii="Arial" w:eastAsiaTheme="minorHAnsi" w:hAnsi="Arial" w:cs="Arial"/>
          <w:sz w:val="28"/>
          <w:szCs w:val="28"/>
          <w:lang w:eastAsia="en-US"/>
        </w:rPr>
        <w:t>M</w:t>
      </w:r>
      <w:r w:rsidR="006579A4" w:rsidRPr="00C67536">
        <w:rPr>
          <w:rFonts w:ascii="Arial" w:eastAsiaTheme="minorHAnsi" w:hAnsi="Arial" w:cs="Arial"/>
          <w:sz w:val="28"/>
          <w:szCs w:val="28"/>
          <w:lang w:eastAsia="en-US"/>
        </w:rPr>
        <w:t>exicano</w:t>
      </w:r>
      <w:r w:rsidR="00B55962" w:rsidRPr="00C67536">
        <w:rPr>
          <w:rFonts w:ascii="Arial" w:eastAsiaTheme="minorHAnsi" w:hAnsi="Arial" w:cs="Arial"/>
          <w:sz w:val="28"/>
          <w:szCs w:val="28"/>
          <w:lang w:eastAsia="en-US"/>
        </w:rPr>
        <w:t>, incluso el último documento en cita, es una recomendación emitida por la Organización Panamericana de Salud, dirigida al Estado</w:t>
      </w:r>
      <w:r w:rsidR="00CD7BCC" w:rsidRPr="00C67536">
        <w:rPr>
          <w:rFonts w:ascii="Arial" w:eastAsiaTheme="minorHAnsi" w:hAnsi="Arial" w:cs="Arial"/>
          <w:sz w:val="28"/>
          <w:szCs w:val="28"/>
          <w:lang w:eastAsia="en-US"/>
        </w:rPr>
        <w:t xml:space="preserve"> </w:t>
      </w:r>
      <w:r w:rsidR="00AE6D9A">
        <w:rPr>
          <w:rFonts w:ascii="Arial" w:eastAsiaTheme="minorHAnsi" w:hAnsi="Arial" w:cs="Arial"/>
          <w:sz w:val="28"/>
          <w:szCs w:val="28"/>
          <w:lang w:eastAsia="en-US"/>
        </w:rPr>
        <w:t>M</w:t>
      </w:r>
      <w:r w:rsidR="00CD7BCC" w:rsidRPr="00C67536">
        <w:rPr>
          <w:rFonts w:ascii="Arial" w:eastAsiaTheme="minorHAnsi" w:hAnsi="Arial" w:cs="Arial"/>
          <w:sz w:val="28"/>
          <w:szCs w:val="28"/>
          <w:lang w:eastAsia="en-US"/>
        </w:rPr>
        <w:t>exican</w:t>
      </w:r>
      <w:r w:rsidR="00AE6D9A">
        <w:rPr>
          <w:rFonts w:ascii="Arial" w:eastAsiaTheme="minorHAnsi" w:hAnsi="Arial" w:cs="Arial"/>
          <w:sz w:val="28"/>
          <w:szCs w:val="28"/>
          <w:lang w:eastAsia="en-US"/>
        </w:rPr>
        <w:t>o</w:t>
      </w:r>
      <w:r w:rsidR="00CD7BCC" w:rsidRPr="00C67536">
        <w:rPr>
          <w:rFonts w:ascii="Arial" w:eastAsiaTheme="minorHAnsi" w:hAnsi="Arial" w:cs="Arial"/>
          <w:sz w:val="28"/>
          <w:szCs w:val="28"/>
          <w:lang w:eastAsia="en-US"/>
        </w:rPr>
        <w:t>, en el cual</w:t>
      </w:r>
      <w:r w:rsidR="00F056F2" w:rsidRPr="00C67536">
        <w:rPr>
          <w:rFonts w:ascii="Arial" w:eastAsiaTheme="minorHAnsi" w:hAnsi="Arial" w:cs="Arial"/>
          <w:sz w:val="28"/>
          <w:szCs w:val="28"/>
          <w:lang w:eastAsia="en-US"/>
        </w:rPr>
        <w:t>, con base en una investigación realizada</w:t>
      </w:r>
      <w:r w:rsidR="00CD7BCC" w:rsidRPr="00C67536">
        <w:rPr>
          <w:rFonts w:ascii="Arial" w:eastAsiaTheme="minorHAnsi" w:hAnsi="Arial" w:cs="Arial"/>
          <w:sz w:val="28"/>
          <w:szCs w:val="28"/>
          <w:lang w:eastAsia="en-US"/>
        </w:rPr>
        <w:t xml:space="preserve"> se recomienda adaptar el sistema de etiquetado frontal de advertencia impl</w:t>
      </w:r>
      <w:r w:rsidR="000F0598" w:rsidRPr="00C67536">
        <w:rPr>
          <w:rFonts w:ascii="Arial" w:eastAsiaTheme="minorHAnsi" w:hAnsi="Arial" w:cs="Arial"/>
          <w:sz w:val="28"/>
          <w:szCs w:val="28"/>
          <w:lang w:eastAsia="en-US"/>
        </w:rPr>
        <w:t xml:space="preserve">ementado por el </w:t>
      </w:r>
      <w:r w:rsidR="0091475D" w:rsidRPr="00C67536">
        <w:rPr>
          <w:rFonts w:ascii="Arial" w:eastAsiaTheme="minorHAnsi" w:hAnsi="Arial" w:cs="Arial"/>
          <w:sz w:val="28"/>
          <w:szCs w:val="28"/>
          <w:lang w:eastAsia="en-US"/>
        </w:rPr>
        <w:t>G</w:t>
      </w:r>
      <w:r w:rsidR="000F0598" w:rsidRPr="00C67536">
        <w:rPr>
          <w:rFonts w:ascii="Arial" w:eastAsiaTheme="minorHAnsi" w:hAnsi="Arial" w:cs="Arial"/>
          <w:sz w:val="28"/>
          <w:szCs w:val="28"/>
          <w:lang w:eastAsia="en-US"/>
        </w:rPr>
        <w:t>obierno Chileno</w:t>
      </w:r>
      <w:r w:rsidR="00467C74" w:rsidRPr="00C67536">
        <w:rPr>
          <w:rFonts w:ascii="Arial" w:eastAsiaTheme="minorHAnsi" w:hAnsi="Arial" w:cs="Arial"/>
          <w:sz w:val="28"/>
          <w:szCs w:val="28"/>
          <w:lang w:eastAsia="en-US"/>
        </w:rPr>
        <w:t>.</w:t>
      </w:r>
    </w:p>
    <w:p w14:paraId="49FFA372" w14:textId="1F90A0F6" w:rsidR="006579A4" w:rsidRPr="00C67536" w:rsidRDefault="006579A4"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eastAsiaTheme="minorHAnsi" w:hAnsi="Arial" w:cs="Arial"/>
          <w:sz w:val="28"/>
          <w:szCs w:val="28"/>
          <w:lang w:eastAsia="en-US"/>
        </w:rPr>
        <w:t>Además, si</w:t>
      </w:r>
      <w:r w:rsidR="001F2BE2" w:rsidRPr="00C67536">
        <w:rPr>
          <w:rFonts w:ascii="Arial" w:eastAsiaTheme="minorHAnsi" w:hAnsi="Arial" w:cs="Arial"/>
          <w:sz w:val="28"/>
          <w:szCs w:val="28"/>
          <w:lang w:eastAsia="en-US"/>
        </w:rPr>
        <w:t xml:space="preserve"> bien el artículo 75 de la Ley d</w:t>
      </w:r>
      <w:r w:rsidR="00055B6D" w:rsidRPr="00C67536">
        <w:rPr>
          <w:rFonts w:ascii="Arial" w:eastAsiaTheme="minorHAnsi" w:hAnsi="Arial" w:cs="Arial"/>
          <w:sz w:val="28"/>
          <w:szCs w:val="28"/>
          <w:lang w:eastAsia="en-US"/>
        </w:rPr>
        <w:t>e</w:t>
      </w:r>
      <w:r w:rsidR="001F2BE2" w:rsidRPr="00C67536">
        <w:rPr>
          <w:rFonts w:ascii="Arial" w:eastAsiaTheme="minorHAnsi" w:hAnsi="Arial" w:cs="Arial"/>
          <w:sz w:val="28"/>
          <w:szCs w:val="28"/>
          <w:lang w:eastAsia="en-US"/>
        </w:rPr>
        <w:t xml:space="preserve"> Amparo, </w:t>
      </w:r>
      <w:r w:rsidR="00055B6D" w:rsidRPr="00C67536">
        <w:rPr>
          <w:rFonts w:ascii="Arial" w:eastAsiaTheme="minorHAnsi" w:hAnsi="Arial" w:cs="Arial"/>
          <w:sz w:val="28"/>
          <w:szCs w:val="28"/>
          <w:lang w:eastAsia="en-US"/>
        </w:rPr>
        <w:t>establece que el acto reclamado</w:t>
      </w:r>
      <w:r w:rsidR="003E058A" w:rsidRPr="00C67536">
        <w:rPr>
          <w:rFonts w:ascii="Arial" w:eastAsiaTheme="minorHAnsi" w:hAnsi="Arial" w:cs="Arial"/>
          <w:sz w:val="28"/>
          <w:szCs w:val="28"/>
          <w:lang w:eastAsia="en-US"/>
        </w:rPr>
        <w:t xml:space="preserve"> se apreciara tal y como lo </w:t>
      </w:r>
      <w:r w:rsidR="003E058A" w:rsidRPr="00C67536">
        <w:rPr>
          <w:rFonts w:ascii="Arial" w:hAnsi="Arial" w:cs="Arial"/>
          <w:sz w:val="28"/>
          <w:szCs w:val="28"/>
        </w:rPr>
        <w:t>como aparezca probado ante la autoridad responsable</w:t>
      </w:r>
      <w:r w:rsidR="00467C74" w:rsidRPr="00C67536">
        <w:rPr>
          <w:rFonts w:ascii="Arial" w:hAnsi="Arial" w:cs="Arial"/>
          <w:sz w:val="28"/>
          <w:szCs w:val="28"/>
        </w:rPr>
        <w:t>, lo cierto es que al analizar la constitucionalidad de una ley</w:t>
      </w:r>
      <w:r w:rsidR="00E744CA" w:rsidRPr="00C67536">
        <w:rPr>
          <w:rFonts w:ascii="Arial" w:hAnsi="Arial" w:cs="Arial"/>
          <w:sz w:val="28"/>
          <w:szCs w:val="28"/>
        </w:rPr>
        <w:t>, el juez federal puede allegarse de diversos</w:t>
      </w:r>
      <w:r w:rsidR="00BB4637" w:rsidRPr="00C67536">
        <w:rPr>
          <w:rFonts w:ascii="Arial" w:hAnsi="Arial" w:cs="Arial"/>
          <w:sz w:val="28"/>
          <w:szCs w:val="28"/>
        </w:rPr>
        <w:t xml:space="preserve"> documentos e investigaciones que no se hayan tomado en consideración al emitir la norma reclamada, en aras de</w:t>
      </w:r>
      <w:r w:rsidR="007E56EE" w:rsidRPr="00C67536">
        <w:rPr>
          <w:rFonts w:ascii="Arial" w:hAnsi="Arial" w:cs="Arial"/>
          <w:sz w:val="28"/>
          <w:szCs w:val="28"/>
        </w:rPr>
        <w:t xml:space="preserve"> determinar la constitucionalidad o inconstitucionalidad de la misma</w:t>
      </w:r>
      <w:r w:rsidR="000103F6" w:rsidRPr="00C67536">
        <w:rPr>
          <w:rFonts w:ascii="Arial" w:hAnsi="Arial" w:cs="Arial"/>
          <w:sz w:val="28"/>
          <w:szCs w:val="28"/>
        </w:rPr>
        <w:t>, incluso cuando el artículo 1° constitucional, permite realizar una interpretación pro homine, para tomar en consideración l</w:t>
      </w:r>
      <w:r w:rsidR="002264E9" w:rsidRPr="00C67536">
        <w:rPr>
          <w:rFonts w:ascii="Arial" w:hAnsi="Arial" w:cs="Arial"/>
          <w:sz w:val="28"/>
          <w:szCs w:val="28"/>
        </w:rPr>
        <w:t xml:space="preserve">os derechos humanos no solo reconocidos en la Carta Magna sino también en los diversos tratados internacionales en los que el Estado </w:t>
      </w:r>
      <w:r w:rsidR="002D4A74">
        <w:rPr>
          <w:rFonts w:ascii="Arial" w:hAnsi="Arial" w:cs="Arial"/>
          <w:sz w:val="28"/>
          <w:szCs w:val="28"/>
        </w:rPr>
        <w:t>M</w:t>
      </w:r>
      <w:r w:rsidR="002264E9" w:rsidRPr="00C67536">
        <w:rPr>
          <w:rFonts w:ascii="Arial" w:hAnsi="Arial" w:cs="Arial"/>
          <w:sz w:val="28"/>
          <w:szCs w:val="28"/>
        </w:rPr>
        <w:t>exicano es parte.</w:t>
      </w:r>
    </w:p>
    <w:p w14:paraId="28BEBCEE" w14:textId="0FEED568" w:rsidR="00783877" w:rsidRPr="00C67536" w:rsidRDefault="00783877"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rPr>
        <w:t>De ahí, que las recomendaciones y documentos emitidos por las diversas organizaciones de la</w:t>
      </w:r>
      <w:r w:rsidR="00A6230F" w:rsidRPr="00C67536">
        <w:rPr>
          <w:rFonts w:ascii="Arial" w:hAnsi="Arial" w:cs="Arial"/>
          <w:sz w:val="28"/>
          <w:szCs w:val="28"/>
        </w:rPr>
        <w:t xml:space="preserve"> Organización de las Naciones Unidas, pueden ser consideradas por los Jueces Federales</w:t>
      </w:r>
      <w:r w:rsidR="009F515B" w:rsidRPr="00C67536">
        <w:rPr>
          <w:rFonts w:ascii="Arial" w:hAnsi="Arial" w:cs="Arial"/>
          <w:sz w:val="28"/>
          <w:szCs w:val="28"/>
        </w:rPr>
        <w:t xml:space="preserve"> para analizar la constitucionalidad de una norma general,</w:t>
      </w:r>
      <w:r w:rsidR="00AB16C9" w:rsidRPr="00C67536">
        <w:rPr>
          <w:rFonts w:ascii="Arial" w:hAnsi="Arial" w:cs="Arial"/>
          <w:sz w:val="28"/>
          <w:szCs w:val="28"/>
        </w:rPr>
        <w:t xml:space="preserve"> con el fin de</w:t>
      </w:r>
      <w:r w:rsidR="009F515B" w:rsidRPr="00C67536">
        <w:rPr>
          <w:rFonts w:ascii="Arial" w:hAnsi="Arial" w:cs="Arial"/>
          <w:sz w:val="28"/>
          <w:szCs w:val="28"/>
        </w:rPr>
        <w:t xml:space="preserve"> salvaguardar los derechos humanos, como en el presente caso, por el que se busca proteger el derecho a la alimentación, salud y </w:t>
      </w:r>
      <w:r w:rsidR="00857BA6" w:rsidRPr="00C67536">
        <w:rPr>
          <w:rFonts w:ascii="Arial" w:hAnsi="Arial" w:cs="Arial"/>
          <w:sz w:val="28"/>
          <w:szCs w:val="28"/>
        </w:rPr>
        <w:t>consumidor, a través del sistema de etiquetado frontal de advertencia.</w:t>
      </w:r>
    </w:p>
    <w:p w14:paraId="40392B0A" w14:textId="3A621945" w:rsidR="00C61D9E" w:rsidRPr="00C67536" w:rsidRDefault="007F0F09"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eastAsiaTheme="minorHAnsi" w:hAnsi="Arial" w:cs="Arial"/>
          <w:sz w:val="28"/>
          <w:szCs w:val="28"/>
          <w:lang w:eastAsia="en-US"/>
        </w:rPr>
        <w:t xml:space="preserve">Además, el documento denominado como: </w:t>
      </w:r>
      <w:r w:rsidRPr="00C67536">
        <w:rPr>
          <w:rFonts w:ascii="Arial" w:hAnsi="Arial" w:cs="Arial"/>
          <w:sz w:val="28"/>
          <w:szCs w:val="28"/>
        </w:rPr>
        <w:t>“El etiquetado frontal como instrumento de política para prevenir enfermedades no transmisibles en la región de las Américas, Organización Panamericana de la Salud”, no es contrario a lo argumentado por el juez de distrito, sino que sirve para fortalecer no so</w:t>
      </w:r>
      <w:r w:rsidR="00301919" w:rsidRPr="00C67536">
        <w:rPr>
          <w:rFonts w:ascii="Arial" w:hAnsi="Arial" w:cs="Arial"/>
          <w:sz w:val="28"/>
          <w:szCs w:val="28"/>
        </w:rPr>
        <w:t>lo sus consideraciones, sino también las de la presente ejecutoria.</w:t>
      </w:r>
    </w:p>
    <w:p w14:paraId="0AE896A6" w14:textId="77777777" w:rsidR="00F335D7" w:rsidRPr="00C67536" w:rsidRDefault="00301919"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rPr>
        <w:t xml:space="preserve">En efecto, del citado documento se aprecia que la Organización Panamericana de la Salud, </w:t>
      </w:r>
      <w:r w:rsidR="005E0608" w:rsidRPr="00C67536">
        <w:rPr>
          <w:rFonts w:ascii="Arial" w:hAnsi="Arial" w:cs="Arial"/>
          <w:sz w:val="28"/>
          <w:szCs w:val="28"/>
        </w:rPr>
        <w:t>determinó, con base en estudios científicos, lo siguiente:</w:t>
      </w:r>
    </w:p>
    <w:p w14:paraId="55CE8530" w14:textId="77777777"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hAnsi="Arial" w:cs="Arial"/>
          <w:sz w:val="26"/>
          <w:szCs w:val="26"/>
        </w:rPr>
        <w:t>L</w:t>
      </w:r>
      <w:r w:rsidRPr="00C67536">
        <w:rPr>
          <w:rFonts w:ascii="Arial" w:eastAsiaTheme="minorHAnsi" w:hAnsi="Arial" w:cs="Arial"/>
          <w:sz w:val="26"/>
          <w:szCs w:val="26"/>
          <w:lang w:eastAsia="en-US"/>
        </w:rPr>
        <w:t>a hipertensión, la hiperglucemia en ayunas y el sobrepeso o la obesidad son los tres factores de riesgo más asociados con la mortalidad en la Región de las Américas. En el 2017, estos factores fueron responsables del 44% de todas las muertes en la Región, es decir, cerca de 3,1 millones.</w:t>
      </w:r>
    </w:p>
    <w:p w14:paraId="6ED8700E" w14:textId="77777777" w:rsidR="00F335D7" w:rsidRPr="00C67536" w:rsidRDefault="00F335D7" w:rsidP="00ED67A1">
      <w:pPr>
        <w:pStyle w:val="ListParagraph"/>
        <w:tabs>
          <w:tab w:val="left" w:pos="851"/>
        </w:tabs>
        <w:autoSpaceDE w:val="0"/>
        <w:autoSpaceDN w:val="0"/>
        <w:adjustRightInd w:val="0"/>
        <w:ind w:left="567"/>
        <w:jc w:val="both"/>
        <w:rPr>
          <w:rFonts w:ascii="Arial" w:eastAsiaTheme="minorHAnsi" w:hAnsi="Arial" w:cs="Arial"/>
          <w:sz w:val="26"/>
          <w:szCs w:val="26"/>
          <w:lang w:eastAsia="en-US"/>
        </w:rPr>
      </w:pPr>
    </w:p>
    <w:p w14:paraId="004FBF54" w14:textId="77777777"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La mala alimentación guarda una estrecha relación con estos tres factores principales de riesgo en la Región, debido en gran parte a la ingesta excesiva de azúcares, grasas totales, grasas saturadas, grasas trans y sodio, los denominados “nutrientes críticos” de preocupación para la salud pública.</w:t>
      </w:r>
    </w:p>
    <w:p w14:paraId="0E6B9EE8" w14:textId="77777777" w:rsidR="00F335D7" w:rsidRPr="00C67536" w:rsidRDefault="00F335D7" w:rsidP="00ED67A1">
      <w:pPr>
        <w:tabs>
          <w:tab w:val="left" w:pos="851"/>
        </w:tabs>
        <w:autoSpaceDE w:val="0"/>
        <w:autoSpaceDN w:val="0"/>
        <w:adjustRightInd w:val="0"/>
        <w:ind w:left="567"/>
        <w:jc w:val="both"/>
        <w:rPr>
          <w:rFonts w:ascii="Arial" w:eastAsiaTheme="minorHAnsi" w:hAnsi="Arial" w:cs="Arial"/>
          <w:sz w:val="26"/>
          <w:szCs w:val="26"/>
          <w:lang w:eastAsia="en-US"/>
        </w:rPr>
      </w:pPr>
    </w:p>
    <w:p w14:paraId="32E3313A" w14:textId="0E08E9FD"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 xml:space="preserve">La ingesta excesiva de estos nutrientes es resultado, en gran medida, de la amplia disponibilidad, asequibilidad y promoción de productos alimentarios procesados y </w:t>
      </w:r>
      <w:r w:rsidR="00625B72" w:rsidRPr="00C67536">
        <w:rPr>
          <w:rFonts w:ascii="Arial" w:eastAsiaTheme="minorHAnsi" w:hAnsi="Arial" w:cs="Arial"/>
          <w:sz w:val="26"/>
          <w:szCs w:val="26"/>
          <w:lang w:eastAsia="en-US"/>
        </w:rPr>
        <w:t>ultra procesados</w:t>
      </w:r>
      <w:r w:rsidRPr="00C67536">
        <w:rPr>
          <w:rFonts w:ascii="Arial" w:eastAsiaTheme="minorHAnsi" w:hAnsi="Arial" w:cs="Arial"/>
          <w:sz w:val="26"/>
          <w:szCs w:val="26"/>
          <w:lang w:eastAsia="en-US"/>
        </w:rPr>
        <w:t>, que contienen cantidades excesivas de azúcares, grasas y sodio.</w:t>
      </w:r>
    </w:p>
    <w:p w14:paraId="50E455A9" w14:textId="77777777" w:rsidR="00F335D7" w:rsidRPr="00C67536" w:rsidRDefault="00F335D7" w:rsidP="00ED67A1">
      <w:pPr>
        <w:pStyle w:val="ListParagraph"/>
        <w:tabs>
          <w:tab w:val="left" w:pos="851"/>
        </w:tabs>
        <w:autoSpaceDE w:val="0"/>
        <w:autoSpaceDN w:val="0"/>
        <w:adjustRightInd w:val="0"/>
        <w:ind w:left="567"/>
        <w:jc w:val="both"/>
        <w:rPr>
          <w:rFonts w:ascii="Arial" w:eastAsiaTheme="minorHAnsi" w:hAnsi="Arial" w:cs="Arial"/>
          <w:sz w:val="26"/>
          <w:szCs w:val="26"/>
          <w:lang w:eastAsia="en-US"/>
        </w:rPr>
      </w:pPr>
    </w:p>
    <w:p w14:paraId="62B71B32" w14:textId="77777777"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Uno de los instrumentos clave de política para regular esos productos con el objeto de prevenir el desequilibrio en la alimentación es la utilización de etiquetas en el frente del envase que indiquen a los consumidores que el producto contiene cantidades excesivas de azúcares, grasas totales, grasas saturadas, grasas trans y sodio.</w:t>
      </w:r>
    </w:p>
    <w:p w14:paraId="259B2F19" w14:textId="77777777" w:rsidR="00F335D7" w:rsidRPr="00C67536" w:rsidRDefault="00F335D7" w:rsidP="00ED67A1">
      <w:pPr>
        <w:pStyle w:val="ListParagraph"/>
        <w:tabs>
          <w:tab w:val="left" w:pos="851"/>
        </w:tabs>
        <w:autoSpaceDE w:val="0"/>
        <w:autoSpaceDN w:val="0"/>
        <w:adjustRightInd w:val="0"/>
        <w:ind w:left="567"/>
        <w:jc w:val="both"/>
        <w:rPr>
          <w:rFonts w:ascii="Arial" w:eastAsiaTheme="minorHAnsi" w:hAnsi="Arial" w:cs="Arial"/>
          <w:sz w:val="26"/>
          <w:szCs w:val="26"/>
          <w:lang w:eastAsia="en-US"/>
        </w:rPr>
      </w:pPr>
    </w:p>
    <w:p w14:paraId="4D6A9511" w14:textId="77777777"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El objetivo regulatorio del etiquetado frontal debe ser que los consumidores puedan identificar correcta, rápida y fácilmente los productos que contienen cantidades excesivas de azúcares, grasas totales, grasas saturadas, grasas trans y sodio.</w:t>
      </w:r>
    </w:p>
    <w:p w14:paraId="0CE595DB" w14:textId="77777777" w:rsidR="00F335D7" w:rsidRPr="00C67536" w:rsidRDefault="00F335D7" w:rsidP="00ED67A1">
      <w:pPr>
        <w:pStyle w:val="ListParagraph"/>
        <w:tabs>
          <w:tab w:val="left" w:pos="851"/>
        </w:tabs>
        <w:autoSpaceDE w:val="0"/>
        <w:autoSpaceDN w:val="0"/>
        <w:adjustRightInd w:val="0"/>
        <w:ind w:left="567"/>
        <w:jc w:val="both"/>
        <w:rPr>
          <w:rFonts w:ascii="Arial" w:eastAsiaTheme="minorHAnsi" w:hAnsi="Arial" w:cs="Arial"/>
          <w:sz w:val="26"/>
          <w:szCs w:val="26"/>
          <w:lang w:eastAsia="en-US"/>
        </w:rPr>
      </w:pPr>
    </w:p>
    <w:p w14:paraId="5EB29C84" w14:textId="77777777"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Entre los sistemas de etiquetado frontal que se han diseñado y propuesto se encuentran: sellos de aprobación; sistemas de resumen; cantidades diarias orientativas monocromáticas (CDO, también conocido como GDA por siglas en ingles); sistema de ingesta de referencia codificado por colores; sistemas con texto y codificación cromática para nutrientes específicos (sistemas semáforos); y, advertencias nutricionales “ALTO EN/EXCESO”.</w:t>
      </w:r>
    </w:p>
    <w:p w14:paraId="052B695F" w14:textId="77777777" w:rsidR="00F335D7" w:rsidRPr="00C67536" w:rsidRDefault="00F335D7" w:rsidP="00F335D7">
      <w:pPr>
        <w:pStyle w:val="ListParagraph"/>
        <w:autoSpaceDE w:val="0"/>
        <w:autoSpaceDN w:val="0"/>
        <w:adjustRightInd w:val="0"/>
        <w:ind w:left="1287"/>
        <w:jc w:val="both"/>
        <w:rPr>
          <w:rFonts w:ascii="Arial" w:eastAsiaTheme="minorHAnsi" w:hAnsi="Arial" w:cs="Arial"/>
          <w:color w:val="000000"/>
          <w:sz w:val="28"/>
          <w:szCs w:val="28"/>
          <w:lang w:eastAsia="en-US"/>
        </w:rPr>
      </w:pPr>
    </w:p>
    <w:p w14:paraId="6D7606D3" w14:textId="77777777" w:rsidR="00F335D7" w:rsidRPr="00C67536" w:rsidRDefault="00F335D7" w:rsidP="00B144AE">
      <w:pPr>
        <w:pStyle w:val="ListParagraph"/>
        <w:numPr>
          <w:ilvl w:val="0"/>
          <w:numId w:val="10"/>
        </w:numPr>
        <w:autoSpaceDE w:val="0"/>
        <w:autoSpaceDN w:val="0"/>
        <w:adjustRightInd w:val="0"/>
        <w:jc w:val="both"/>
        <w:rPr>
          <w:rFonts w:ascii="Arial" w:eastAsiaTheme="minorHAnsi" w:hAnsi="Arial" w:cs="Arial"/>
          <w:color w:val="000000"/>
          <w:sz w:val="28"/>
          <w:szCs w:val="28"/>
          <w:lang w:eastAsia="en-US"/>
        </w:rPr>
      </w:pPr>
      <w:r w:rsidRPr="00C67536">
        <w:rPr>
          <w:rFonts w:ascii="Arial" w:eastAsiaTheme="minorHAnsi" w:hAnsi="Arial" w:cs="Arial"/>
          <w:b/>
          <w:bCs/>
          <w:noProof/>
          <w:sz w:val="28"/>
          <w:szCs w:val="28"/>
        </w:rPr>
        <w:drawing>
          <wp:anchor distT="0" distB="0" distL="114300" distR="114300" simplePos="0" relativeHeight="251658242" behindDoc="0" locked="0" layoutInCell="1" allowOverlap="1" wp14:anchorId="457EC60D" wp14:editId="2B80C979">
            <wp:simplePos x="0" y="0"/>
            <wp:positionH relativeFrom="column">
              <wp:posOffset>1278890</wp:posOffset>
            </wp:positionH>
            <wp:positionV relativeFrom="paragraph">
              <wp:posOffset>826135</wp:posOffset>
            </wp:positionV>
            <wp:extent cx="3838575" cy="2554605"/>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8575"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536">
        <w:rPr>
          <w:rFonts w:ascii="Arial" w:eastAsiaTheme="minorHAnsi" w:hAnsi="Arial" w:cs="Arial"/>
          <w:b/>
          <w:bCs/>
          <w:sz w:val="28"/>
          <w:szCs w:val="28"/>
          <w:lang w:eastAsia="en-US"/>
        </w:rPr>
        <w:t>El sistema de sellos de aprobación:</w:t>
      </w:r>
      <w:r w:rsidRPr="00C67536">
        <w:rPr>
          <w:rFonts w:ascii="Arial" w:eastAsiaTheme="minorHAnsi" w:hAnsi="Arial" w:cs="Arial"/>
          <w:sz w:val="28"/>
          <w:szCs w:val="28"/>
          <w:lang w:eastAsia="en-US"/>
        </w:rPr>
        <w:t xml:space="preserve"> Se colocan logotipos y sello</w:t>
      </w:r>
      <w:r w:rsidRPr="00C67536">
        <w:rPr>
          <w:rFonts w:ascii="Arial" w:eastAsiaTheme="minorHAnsi" w:hAnsi="Arial" w:cs="Arial"/>
          <w:color w:val="000000"/>
          <w:sz w:val="28"/>
          <w:szCs w:val="28"/>
          <w:lang w:eastAsia="en-US"/>
        </w:rPr>
        <w:t>s en el frente del envase en los productos</w:t>
      </w:r>
      <w:r w:rsidRPr="00C67536">
        <w:rPr>
          <w:rFonts w:ascii="Arial" w:eastAsiaTheme="minorHAnsi" w:hAnsi="Arial" w:cs="Arial"/>
          <w:sz w:val="28"/>
          <w:szCs w:val="28"/>
          <w:lang w:eastAsia="en-US"/>
        </w:rPr>
        <w:t xml:space="preserve"> </w:t>
      </w:r>
      <w:r w:rsidRPr="00C67536">
        <w:rPr>
          <w:rFonts w:ascii="Arial" w:eastAsiaTheme="minorHAnsi" w:hAnsi="Arial" w:cs="Arial"/>
          <w:color w:val="000000"/>
          <w:sz w:val="28"/>
          <w:szCs w:val="28"/>
          <w:lang w:eastAsia="en-US"/>
        </w:rPr>
        <w:t xml:space="preserve">alimenticios cuya compra se quiere promover. </w:t>
      </w:r>
    </w:p>
    <w:p w14:paraId="63F0B806" w14:textId="77777777" w:rsidR="00F335D7" w:rsidRPr="00C67536" w:rsidRDefault="00F335D7" w:rsidP="00F335D7">
      <w:pPr>
        <w:pStyle w:val="ListParagraph"/>
        <w:autoSpaceDE w:val="0"/>
        <w:autoSpaceDN w:val="0"/>
        <w:adjustRightInd w:val="0"/>
        <w:ind w:left="1287"/>
        <w:jc w:val="both"/>
        <w:rPr>
          <w:rFonts w:ascii="Arial" w:eastAsiaTheme="minorHAnsi" w:hAnsi="Arial" w:cs="Arial"/>
          <w:sz w:val="28"/>
          <w:szCs w:val="28"/>
          <w:lang w:eastAsia="en-US"/>
        </w:rPr>
      </w:pPr>
    </w:p>
    <w:p w14:paraId="24D0A343" w14:textId="77777777" w:rsidR="00F335D7" w:rsidRPr="00C67536" w:rsidRDefault="00F335D7" w:rsidP="00B144AE">
      <w:pPr>
        <w:pStyle w:val="ListParagraph"/>
        <w:numPr>
          <w:ilvl w:val="0"/>
          <w:numId w:val="10"/>
        </w:numPr>
        <w:autoSpaceDE w:val="0"/>
        <w:autoSpaceDN w:val="0"/>
        <w:adjustRightInd w:val="0"/>
        <w:jc w:val="both"/>
        <w:rPr>
          <w:rFonts w:ascii="Arial" w:eastAsiaTheme="minorHAnsi" w:hAnsi="Arial" w:cs="Arial"/>
          <w:sz w:val="26"/>
          <w:szCs w:val="26"/>
          <w:lang w:eastAsia="en-US"/>
        </w:rPr>
      </w:pPr>
      <w:r w:rsidRPr="00C67536">
        <w:rPr>
          <w:rFonts w:ascii="Arial" w:eastAsiaTheme="minorHAnsi" w:hAnsi="Arial" w:cs="Arial"/>
          <w:b/>
          <w:bCs/>
          <w:sz w:val="26"/>
          <w:szCs w:val="26"/>
          <w:lang w:eastAsia="en-US"/>
        </w:rPr>
        <w:t>El sistema de resumen:</w:t>
      </w:r>
      <w:r w:rsidRPr="00C67536">
        <w:rPr>
          <w:rFonts w:ascii="Arial" w:eastAsiaTheme="minorHAnsi" w:hAnsi="Arial" w:cs="Arial"/>
          <w:sz w:val="26"/>
          <w:szCs w:val="26"/>
          <w:lang w:eastAsia="en-US"/>
        </w:rPr>
        <w:t xml:space="preserve"> Otorgan una puntuación resumida al valor nutritivo del producto.</w:t>
      </w:r>
    </w:p>
    <w:p w14:paraId="7313F616" w14:textId="77777777" w:rsidR="00F335D7" w:rsidRPr="00C67536" w:rsidRDefault="00F335D7" w:rsidP="00F335D7">
      <w:pPr>
        <w:pStyle w:val="ListParagraph"/>
        <w:autoSpaceDE w:val="0"/>
        <w:autoSpaceDN w:val="0"/>
        <w:adjustRightInd w:val="0"/>
        <w:ind w:left="1287"/>
        <w:jc w:val="both"/>
        <w:rPr>
          <w:rFonts w:ascii="Arial" w:eastAsiaTheme="minorHAnsi" w:hAnsi="Arial" w:cs="Arial"/>
          <w:sz w:val="28"/>
          <w:szCs w:val="28"/>
          <w:lang w:eastAsia="en-US"/>
        </w:rPr>
      </w:pPr>
      <w:r w:rsidRPr="00C67536">
        <w:rPr>
          <w:rFonts w:ascii="Arial" w:eastAsiaTheme="minorHAnsi" w:hAnsi="Arial" w:cs="Arial"/>
          <w:noProof/>
          <w:sz w:val="28"/>
          <w:szCs w:val="28"/>
        </w:rPr>
        <w:drawing>
          <wp:anchor distT="0" distB="0" distL="114300" distR="114300" simplePos="0" relativeHeight="251658243" behindDoc="0" locked="0" layoutInCell="1" allowOverlap="1" wp14:anchorId="06BDFE41" wp14:editId="41CFA82E">
            <wp:simplePos x="0" y="0"/>
            <wp:positionH relativeFrom="column">
              <wp:posOffset>1516380</wp:posOffset>
            </wp:positionH>
            <wp:positionV relativeFrom="paragraph">
              <wp:posOffset>2540</wp:posOffset>
            </wp:positionV>
            <wp:extent cx="3203575" cy="12636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357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4A566" w14:textId="77777777" w:rsidR="00F335D7" w:rsidRPr="00C67536" w:rsidRDefault="00F335D7" w:rsidP="00B144AE">
      <w:pPr>
        <w:pStyle w:val="ListParagraph"/>
        <w:numPr>
          <w:ilvl w:val="0"/>
          <w:numId w:val="10"/>
        </w:numPr>
        <w:autoSpaceDE w:val="0"/>
        <w:autoSpaceDN w:val="0"/>
        <w:adjustRightInd w:val="0"/>
        <w:jc w:val="both"/>
        <w:rPr>
          <w:rFonts w:ascii="Arial" w:eastAsiaTheme="minorHAnsi" w:hAnsi="Arial" w:cs="Arial"/>
          <w:sz w:val="26"/>
          <w:szCs w:val="26"/>
          <w:lang w:eastAsia="en-US"/>
        </w:rPr>
      </w:pPr>
      <w:r w:rsidRPr="00C67536">
        <w:rPr>
          <w:rFonts w:ascii="Arial" w:eastAsiaTheme="minorHAnsi" w:hAnsi="Arial" w:cs="Arial"/>
          <w:b/>
          <w:bCs/>
          <w:noProof/>
          <w:sz w:val="26"/>
          <w:szCs w:val="26"/>
        </w:rPr>
        <w:drawing>
          <wp:anchor distT="0" distB="0" distL="114300" distR="114300" simplePos="0" relativeHeight="251658241" behindDoc="0" locked="0" layoutInCell="1" allowOverlap="1" wp14:anchorId="5673B8C3" wp14:editId="3083F8B1">
            <wp:simplePos x="0" y="0"/>
            <wp:positionH relativeFrom="column">
              <wp:posOffset>1243965</wp:posOffset>
            </wp:positionH>
            <wp:positionV relativeFrom="paragraph">
              <wp:posOffset>1235710</wp:posOffset>
            </wp:positionV>
            <wp:extent cx="4034155" cy="2212340"/>
            <wp:effectExtent l="0" t="0" r="444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4155"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536">
        <w:rPr>
          <w:rFonts w:ascii="Arial" w:eastAsiaTheme="minorHAnsi" w:hAnsi="Arial" w:cs="Arial"/>
          <w:b/>
          <w:bCs/>
          <w:sz w:val="26"/>
          <w:szCs w:val="26"/>
          <w:lang w:eastAsia="en-US"/>
        </w:rPr>
        <w:t>El sistema de cantidades diarias orientativas monocromáticas:</w:t>
      </w:r>
      <w:r w:rsidRPr="00C67536">
        <w:rPr>
          <w:rFonts w:ascii="Arial" w:eastAsiaTheme="minorHAnsi" w:hAnsi="Arial" w:cs="Arial"/>
          <w:sz w:val="26"/>
          <w:szCs w:val="26"/>
          <w:lang w:eastAsia="en-US"/>
        </w:rPr>
        <w:t xml:space="preserve"> Aplican una reproducción en miniatura del cuadro de datos nutricionales en la etiqueta frontal, indican el número de calorías, la cantidad de ciertos nutrientes y su aporte porcentual a la ingesta diaria.</w:t>
      </w:r>
    </w:p>
    <w:p w14:paraId="7BDA1A2F" w14:textId="0AAD523F" w:rsidR="00F335D7" w:rsidRPr="00C67536" w:rsidRDefault="00F335D7" w:rsidP="00F335D7">
      <w:pPr>
        <w:autoSpaceDE w:val="0"/>
        <w:autoSpaceDN w:val="0"/>
        <w:adjustRightInd w:val="0"/>
        <w:jc w:val="both"/>
        <w:rPr>
          <w:rFonts w:ascii="Arial" w:eastAsiaTheme="minorHAnsi" w:hAnsi="Arial" w:cs="Arial"/>
          <w:sz w:val="28"/>
          <w:szCs w:val="28"/>
          <w:lang w:eastAsia="en-US"/>
        </w:rPr>
      </w:pPr>
    </w:p>
    <w:p w14:paraId="792B7EFF" w14:textId="69D9C2C3" w:rsidR="00F335D7" w:rsidRPr="00C67536" w:rsidRDefault="00F335D7" w:rsidP="00B144AE">
      <w:pPr>
        <w:pStyle w:val="ListParagraph"/>
        <w:numPr>
          <w:ilvl w:val="0"/>
          <w:numId w:val="10"/>
        </w:numPr>
        <w:autoSpaceDE w:val="0"/>
        <w:autoSpaceDN w:val="0"/>
        <w:adjustRightInd w:val="0"/>
        <w:jc w:val="both"/>
        <w:rPr>
          <w:rFonts w:ascii="Arial" w:eastAsiaTheme="minorHAnsi" w:hAnsi="Arial" w:cs="Arial"/>
          <w:sz w:val="26"/>
          <w:szCs w:val="26"/>
          <w:lang w:eastAsia="en-US"/>
        </w:rPr>
      </w:pPr>
      <w:r w:rsidRPr="00C67536">
        <w:rPr>
          <w:rFonts w:ascii="Arial" w:eastAsiaTheme="minorHAnsi" w:hAnsi="Arial" w:cs="Arial"/>
          <w:b/>
          <w:bCs/>
          <w:sz w:val="26"/>
          <w:szCs w:val="26"/>
          <w:lang w:eastAsia="en-US"/>
        </w:rPr>
        <w:t>El sistema CDO o sistema de ingesta de referencia codificado por colores:</w:t>
      </w:r>
      <w:r w:rsidRPr="00C67536">
        <w:rPr>
          <w:rFonts w:ascii="Arial" w:eastAsiaTheme="minorHAnsi" w:hAnsi="Arial" w:cs="Arial"/>
          <w:sz w:val="26"/>
          <w:szCs w:val="26"/>
          <w:lang w:eastAsia="en-US"/>
        </w:rPr>
        <w:t xml:space="preserve"> Utilizan tres colores, igual que los semáforos, dependiendo del contenido del nutriente. Las casillas vienen coloreadas de rojo, si el contenido del nutriente es elevado, de amarillo si el contenido es medio, o de verde si el contenido es bajo.</w:t>
      </w:r>
    </w:p>
    <w:p w14:paraId="14B3FBA5" w14:textId="6211AA33" w:rsidR="00F335D7" w:rsidRPr="00C67536" w:rsidRDefault="00041E74" w:rsidP="00F335D7">
      <w:pPr>
        <w:pStyle w:val="ListParagraph"/>
        <w:autoSpaceDE w:val="0"/>
        <w:autoSpaceDN w:val="0"/>
        <w:adjustRightInd w:val="0"/>
        <w:ind w:left="1287"/>
        <w:jc w:val="both"/>
        <w:rPr>
          <w:rFonts w:ascii="Arial" w:eastAsiaTheme="minorHAnsi" w:hAnsi="Arial" w:cs="Arial"/>
          <w:sz w:val="28"/>
          <w:szCs w:val="28"/>
          <w:lang w:eastAsia="en-US"/>
        </w:rPr>
      </w:pPr>
      <w:r w:rsidRPr="00C67536">
        <w:rPr>
          <w:rFonts w:ascii="Arial" w:eastAsiaTheme="minorHAnsi" w:hAnsi="Arial" w:cs="Arial"/>
          <w:b/>
          <w:bCs/>
          <w:noProof/>
          <w:sz w:val="28"/>
          <w:szCs w:val="28"/>
        </w:rPr>
        <w:drawing>
          <wp:anchor distT="0" distB="0" distL="114300" distR="114300" simplePos="0" relativeHeight="251658240" behindDoc="0" locked="0" layoutInCell="1" allowOverlap="1" wp14:anchorId="51E86EB3" wp14:editId="6435B418">
            <wp:simplePos x="0" y="0"/>
            <wp:positionH relativeFrom="column">
              <wp:posOffset>1519555</wp:posOffset>
            </wp:positionH>
            <wp:positionV relativeFrom="paragraph">
              <wp:posOffset>343535</wp:posOffset>
            </wp:positionV>
            <wp:extent cx="3691890" cy="1402080"/>
            <wp:effectExtent l="0" t="0" r="3810" b="762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189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1E62C" w14:textId="77777777" w:rsidR="00041E74" w:rsidRPr="00C67536" w:rsidRDefault="00041E74" w:rsidP="00F335D7">
      <w:pPr>
        <w:pStyle w:val="ListParagraph"/>
        <w:autoSpaceDE w:val="0"/>
        <w:autoSpaceDN w:val="0"/>
        <w:adjustRightInd w:val="0"/>
        <w:ind w:left="1287"/>
        <w:jc w:val="both"/>
        <w:rPr>
          <w:rFonts w:ascii="Arial" w:eastAsiaTheme="minorHAnsi" w:hAnsi="Arial" w:cs="Arial"/>
          <w:sz w:val="28"/>
          <w:szCs w:val="28"/>
          <w:lang w:eastAsia="en-US"/>
        </w:rPr>
      </w:pPr>
    </w:p>
    <w:p w14:paraId="57C997EC" w14:textId="77777777" w:rsidR="00F335D7" w:rsidRPr="00C67536" w:rsidRDefault="00F335D7" w:rsidP="00B144AE">
      <w:pPr>
        <w:pStyle w:val="ListParagraph"/>
        <w:numPr>
          <w:ilvl w:val="0"/>
          <w:numId w:val="10"/>
        </w:numPr>
        <w:autoSpaceDE w:val="0"/>
        <w:autoSpaceDN w:val="0"/>
        <w:adjustRightInd w:val="0"/>
        <w:jc w:val="both"/>
        <w:rPr>
          <w:rFonts w:ascii="Arial" w:eastAsiaTheme="minorHAnsi" w:hAnsi="Arial" w:cs="Arial"/>
          <w:sz w:val="26"/>
          <w:szCs w:val="26"/>
          <w:lang w:eastAsia="en-US"/>
        </w:rPr>
      </w:pPr>
      <w:r w:rsidRPr="00C67536">
        <w:rPr>
          <w:rFonts w:ascii="Arial" w:eastAsiaTheme="minorHAnsi" w:hAnsi="Arial" w:cs="Arial"/>
          <w:b/>
          <w:bCs/>
          <w:noProof/>
          <w:sz w:val="26"/>
          <w:szCs w:val="26"/>
        </w:rPr>
        <w:drawing>
          <wp:anchor distT="0" distB="0" distL="114300" distR="114300" simplePos="0" relativeHeight="251658245" behindDoc="0" locked="0" layoutInCell="1" allowOverlap="1" wp14:anchorId="564156EA" wp14:editId="23B03AC2">
            <wp:simplePos x="0" y="0"/>
            <wp:positionH relativeFrom="column">
              <wp:posOffset>1689100</wp:posOffset>
            </wp:positionH>
            <wp:positionV relativeFrom="paragraph">
              <wp:posOffset>1201420</wp:posOffset>
            </wp:positionV>
            <wp:extent cx="2798445" cy="1724025"/>
            <wp:effectExtent l="0" t="0" r="190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844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536">
        <w:rPr>
          <w:rFonts w:ascii="Arial" w:eastAsiaTheme="minorHAnsi" w:hAnsi="Arial" w:cs="Arial"/>
          <w:b/>
          <w:bCs/>
          <w:sz w:val="26"/>
          <w:szCs w:val="26"/>
          <w:lang w:eastAsia="en-US"/>
        </w:rPr>
        <w:t>Los sistemas con texto y codificación cromática para nutrientes específicos, también conocidos como “sistemas de semáforo”</w:t>
      </w:r>
      <w:r w:rsidRPr="00C67536">
        <w:rPr>
          <w:rFonts w:ascii="Arial" w:eastAsiaTheme="minorHAnsi" w:hAnsi="Arial" w:cs="Arial"/>
          <w:sz w:val="26"/>
          <w:szCs w:val="26"/>
          <w:lang w:eastAsia="en-US"/>
        </w:rPr>
        <w:t>: Utilizan información textual múltiple asociada con códigos de color para indicar el nivel de concentración de nutrientes específicos.</w:t>
      </w:r>
    </w:p>
    <w:p w14:paraId="79BC00FF" w14:textId="77777777" w:rsidR="000B1B8D" w:rsidRPr="00C67536" w:rsidRDefault="000B1B8D" w:rsidP="000B1B8D">
      <w:pPr>
        <w:pStyle w:val="ListParagraph"/>
        <w:autoSpaceDE w:val="0"/>
        <w:autoSpaceDN w:val="0"/>
        <w:adjustRightInd w:val="0"/>
        <w:ind w:left="1287"/>
        <w:jc w:val="both"/>
        <w:rPr>
          <w:rFonts w:ascii="Arial" w:eastAsiaTheme="minorHAnsi" w:hAnsi="Arial" w:cs="Arial"/>
          <w:sz w:val="26"/>
          <w:szCs w:val="26"/>
          <w:lang w:eastAsia="en-US"/>
        </w:rPr>
      </w:pPr>
    </w:p>
    <w:p w14:paraId="6BD60E4D" w14:textId="77777777" w:rsidR="00F335D7" w:rsidRPr="00C67536" w:rsidRDefault="00F335D7" w:rsidP="00B144AE">
      <w:pPr>
        <w:pStyle w:val="ListParagraph"/>
        <w:numPr>
          <w:ilvl w:val="0"/>
          <w:numId w:val="10"/>
        </w:numPr>
        <w:autoSpaceDE w:val="0"/>
        <w:autoSpaceDN w:val="0"/>
        <w:adjustRightInd w:val="0"/>
        <w:jc w:val="both"/>
        <w:rPr>
          <w:rFonts w:ascii="Arial" w:eastAsiaTheme="minorHAnsi" w:hAnsi="Arial" w:cs="Arial"/>
          <w:color w:val="000000"/>
          <w:sz w:val="26"/>
          <w:szCs w:val="26"/>
          <w:lang w:eastAsia="en-US"/>
        </w:rPr>
      </w:pPr>
      <w:r w:rsidRPr="00C67536">
        <w:rPr>
          <w:rFonts w:ascii="Arial" w:eastAsiaTheme="minorHAnsi" w:hAnsi="Arial" w:cs="Arial"/>
          <w:b/>
          <w:bCs/>
          <w:sz w:val="26"/>
          <w:szCs w:val="26"/>
          <w:lang w:eastAsia="en-US"/>
        </w:rPr>
        <w:t>Sistemas de advertencias nutricionales “ALTO EN/EXCESO”</w:t>
      </w:r>
      <w:r w:rsidRPr="00C67536">
        <w:rPr>
          <w:rFonts w:ascii="Arial" w:eastAsiaTheme="minorHAnsi" w:hAnsi="Arial" w:cs="Arial"/>
          <w:sz w:val="26"/>
          <w:szCs w:val="26"/>
          <w:lang w:eastAsia="en-US"/>
        </w:rPr>
        <w:t>: Emplean sellos con texto en la etiqueta frontal del envase para informar a los consumidores cuando un producto contiene cantidades altas o excesivas de nutrientes críticos. Se señala “ALTO EN ‘X’” o “EXCESO ‘X’”, donde X representaría al nutrien</w:t>
      </w:r>
      <w:r w:rsidRPr="00C67536">
        <w:rPr>
          <w:rFonts w:ascii="Arial" w:eastAsiaTheme="minorHAnsi" w:hAnsi="Arial" w:cs="Arial"/>
          <w:color w:val="000000"/>
          <w:sz w:val="26"/>
          <w:szCs w:val="26"/>
          <w:lang w:eastAsia="en-US"/>
        </w:rPr>
        <w:t>te de</w:t>
      </w:r>
      <w:r w:rsidRPr="00C67536">
        <w:rPr>
          <w:rFonts w:ascii="Arial" w:eastAsiaTheme="minorHAnsi" w:hAnsi="Arial" w:cs="Arial"/>
          <w:b/>
          <w:bCs/>
          <w:color w:val="3BA438"/>
          <w:sz w:val="26"/>
          <w:szCs w:val="26"/>
          <w:lang w:eastAsia="en-US"/>
        </w:rPr>
        <w:t xml:space="preserve"> </w:t>
      </w:r>
      <w:r w:rsidRPr="00C67536">
        <w:rPr>
          <w:rFonts w:ascii="Arial" w:eastAsiaTheme="minorHAnsi" w:hAnsi="Arial" w:cs="Arial"/>
          <w:color w:val="000000"/>
          <w:sz w:val="26"/>
          <w:szCs w:val="26"/>
          <w:lang w:eastAsia="en-US"/>
        </w:rPr>
        <w:t>preocupación en cantidad elevada o excesiva (por</w:t>
      </w:r>
      <w:r w:rsidRPr="00C67536">
        <w:rPr>
          <w:rFonts w:ascii="Arial" w:eastAsiaTheme="minorHAnsi" w:hAnsi="Arial" w:cs="Arial"/>
          <w:b/>
          <w:bCs/>
          <w:color w:val="3BA438"/>
          <w:sz w:val="26"/>
          <w:szCs w:val="26"/>
          <w:lang w:eastAsia="en-US"/>
        </w:rPr>
        <w:t xml:space="preserve"> </w:t>
      </w:r>
      <w:r w:rsidRPr="00C67536">
        <w:rPr>
          <w:rFonts w:ascii="Arial" w:eastAsiaTheme="minorHAnsi" w:hAnsi="Arial" w:cs="Arial"/>
          <w:color w:val="000000"/>
          <w:sz w:val="26"/>
          <w:szCs w:val="26"/>
          <w:lang w:eastAsia="en-US"/>
        </w:rPr>
        <w:t>ejemplo, EXCESO AZÚCARES).</w:t>
      </w:r>
    </w:p>
    <w:p w14:paraId="0DEF8A73" w14:textId="77777777" w:rsidR="00F335D7" w:rsidRPr="00C67536" w:rsidRDefault="00F335D7" w:rsidP="00F335D7">
      <w:pPr>
        <w:pStyle w:val="ListParagraph"/>
        <w:rPr>
          <w:rFonts w:ascii="Arial" w:eastAsiaTheme="minorHAnsi" w:hAnsi="Arial" w:cs="Arial"/>
          <w:color w:val="000000"/>
          <w:sz w:val="28"/>
          <w:szCs w:val="28"/>
          <w:lang w:eastAsia="en-US"/>
        </w:rPr>
      </w:pPr>
      <w:r w:rsidRPr="00C67536">
        <w:rPr>
          <w:rFonts w:ascii="Arial" w:eastAsiaTheme="minorHAnsi" w:hAnsi="Arial" w:cs="Arial"/>
          <w:noProof/>
          <w:color w:val="000000"/>
          <w:sz w:val="28"/>
          <w:szCs w:val="28"/>
        </w:rPr>
        <w:drawing>
          <wp:anchor distT="0" distB="0" distL="114300" distR="114300" simplePos="0" relativeHeight="251658244" behindDoc="0" locked="0" layoutInCell="1" allowOverlap="1" wp14:anchorId="3ACADF98" wp14:editId="13F0B020">
            <wp:simplePos x="0" y="0"/>
            <wp:positionH relativeFrom="column">
              <wp:posOffset>1181100</wp:posOffset>
            </wp:positionH>
            <wp:positionV relativeFrom="paragraph">
              <wp:posOffset>206375</wp:posOffset>
            </wp:positionV>
            <wp:extent cx="4082415" cy="2205355"/>
            <wp:effectExtent l="0" t="0" r="0" b="444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2415"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F159A" w14:textId="77777777" w:rsidR="00F335D7" w:rsidRPr="00C67536" w:rsidRDefault="00F335D7" w:rsidP="00F335D7">
      <w:pPr>
        <w:pStyle w:val="ListParagraph"/>
        <w:autoSpaceDE w:val="0"/>
        <w:autoSpaceDN w:val="0"/>
        <w:adjustRightInd w:val="0"/>
        <w:ind w:left="1287"/>
        <w:jc w:val="both"/>
        <w:rPr>
          <w:rFonts w:ascii="Arial" w:eastAsiaTheme="minorHAnsi" w:hAnsi="Arial" w:cs="Arial"/>
          <w:color w:val="000000"/>
          <w:sz w:val="28"/>
          <w:szCs w:val="28"/>
          <w:lang w:eastAsia="en-US"/>
        </w:rPr>
      </w:pPr>
    </w:p>
    <w:p w14:paraId="270C74C9" w14:textId="5C0C89E5"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El objetivo regulatorio de un sistema de etiquetado frontal debe ser ayudar a los consumidores a identificar de manera correcta, rápida y fácil</w:t>
      </w:r>
      <w:r w:rsidR="00FC4F60" w:rsidRPr="00C67536">
        <w:rPr>
          <w:rFonts w:ascii="Arial" w:eastAsiaTheme="minorHAnsi" w:hAnsi="Arial" w:cs="Arial"/>
          <w:sz w:val="26"/>
          <w:szCs w:val="26"/>
          <w:lang w:eastAsia="en-US"/>
        </w:rPr>
        <w:t xml:space="preserve">, </w:t>
      </w:r>
      <w:r w:rsidRPr="00C67536">
        <w:rPr>
          <w:rFonts w:ascii="Arial" w:eastAsiaTheme="minorHAnsi" w:hAnsi="Arial" w:cs="Arial"/>
          <w:sz w:val="26"/>
          <w:szCs w:val="26"/>
          <w:lang w:eastAsia="en-US"/>
        </w:rPr>
        <w:t>productos que contienen cantidades excesivas de azúcares, grasas y sodio. De esta manera, se ayudará a los consumidores a cumplir con las recomendaciones de la Organización Mundial de la Salud y se los protegerá contra los principales factores de riesgo de mortalidad como hipertensión, hiperglucemia y sobrepeso u obesidad, que están dañando su salud y su desarrollo.</w:t>
      </w:r>
    </w:p>
    <w:p w14:paraId="23E91392" w14:textId="77777777" w:rsidR="00F335D7" w:rsidRPr="00C67536" w:rsidRDefault="00F335D7" w:rsidP="00F77E11">
      <w:pPr>
        <w:pStyle w:val="ListParagraph"/>
        <w:tabs>
          <w:tab w:val="left" w:pos="851"/>
        </w:tabs>
        <w:autoSpaceDE w:val="0"/>
        <w:autoSpaceDN w:val="0"/>
        <w:adjustRightInd w:val="0"/>
        <w:ind w:left="567"/>
        <w:jc w:val="both"/>
        <w:rPr>
          <w:rFonts w:ascii="Arial" w:eastAsiaTheme="minorHAnsi" w:hAnsi="Arial" w:cs="Arial"/>
          <w:sz w:val="26"/>
          <w:szCs w:val="26"/>
          <w:lang w:eastAsia="en-US"/>
        </w:rPr>
      </w:pPr>
    </w:p>
    <w:p w14:paraId="3FA085A1" w14:textId="63C1F892"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Sin embargo, en el mismo documento</w:t>
      </w:r>
      <w:r w:rsidR="00935242" w:rsidRPr="00C67536">
        <w:rPr>
          <w:rFonts w:ascii="Arial" w:eastAsiaTheme="minorHAnsi" w:hAnsi="Arial" w:cs="Arial"/>
          <w:sz w:val="26"/>
          <w:szCs w:val="26"/>
          <w:lang w:eastAsia="en-US"/>
        </w:rPr>
        <w:t xml:space="preserve">, </w:t>
      </w:r>
      <w:r w:rsidRPr="00C67536">
        <w:rPr>
          <w:rFonts w:ascii="Arial" w:eastAsiaTheme="minorHAnsi" w:hAnsi="Arial" w:cs="Arial"/>
          <w:sz w:val="26"/>
          <w:szCs w:val="26"/>
          <w:lang w:eastAsia="en-US"/>
        </w:rPr>
        <w:t>la OPS, establece las siguientes observaciones a dichos sistemas:</w:t>
      </w:r>
    </w:p>
    <w:p w14:paraId="0C33572B" w14:textId="77777777" w:rsidR="00F335D7" w:rsidRPr="00C67536" w:rsidRDefault="00F335D7" w:rsidP="00F335D7">
      <w:pPr>
        <w:pStyle w:val="ListParagraph"/>
        <w:autoSpaceDE w:val="0"/>
        <w:autoSpaceDN w:val="0"/>
        <w:adjustRightInd w:val="0"/>
        <w:ind w:left="1134"/>
        <w:jc w:val="both"/>
        <w:rPr>
          <w:rFonts w:ascii="Arial" w:eastAsiaTheme="minorHAnsi" w:hAnsi="Arial" w:cs="Arial"/>
          <w:sz w:val="28"/>
          <w:szCs w:val="28"/>
          <w:lang w:eastAsia="en-US"/>
        </w:rPr>
      </w:pPr>
    </w:p>
    <w:p w14:paraId="28A3D2C1" w14:textId="77777777" w:rsidR="00F335D7" w:rsidRPr="00C67536" w:rsidRDefault="00F335D7" w:rsidP="00B144AE">
      <w:pPr>
        <w:pStyle w:val="ListParagraph"/>
        <w:numPr>
          <w:ilvl w:val="0"/>
          <w:numId w:val="11"/>
        </w:numPr>
        <w:autoSpaceDE w:val="0"/>
        <w:autoSpaceDN w:val="0"/>
        <w:adjustRightInd w:val="0"/>
        <w:ind w:left="1134" w:firstLine="0"/>
        <w:jc w:val="both"/>
        <w:rPr>
          <w:rFonts w:ascii="Arial" w:eastAsiaTheme="minorHAnsi" w:hAnsi="Arial" w:cs="Arial"/>
          <w:sz w:val="26"/>
          <w:szCs w:val="26"/>
          <w:lang w:eastAsia="en-US"/>
        </w:rPr>
      </w:pPr>
      <w:r w:rsidRPr="00C67536">
        <w:rPr>
          <w:rFonts w:ascii="Arial" w:eastAsiaTheme="minorHAnsi" w:hAnsi="Arial" w:cs="Arial"/>
          <w:b/>
          <w:bCs/>
          <w:sz w:val="26"/>
          <w:szCs w:val="26"/>
          <w:lang w:eastAsia="en-US"/>
        </w:rPr>
        <w:t>Cantidades diarias orientativas (CDO) monocromáticas (también conocidas por la sigla en inglés GDA)</w:t>
      </w:r>
      <w:r w:rsidRPr="00C67536">
        <w:rPr>
          <w:rFonts w:ascii="Arial" w:eastAsiaTheme="minorHAnsi" w:hAnsi="Arial" w:cs="Arial"/>
          <w:sz w:val="26"/>
          <w:szCs w:val="26"/>
          <w:lang w:eastAsia="en-US"/>
        </w:rPr>
        <w:t>: No suministran información interpretativa; simplemente presentan en la etiqueta frontal una versión en miniatura del cuadro de datos nutricionales. Estos sistemas no cumplen con la finalidad que se quiere lograr. Tampoco resuelven las conocidas disparidades en la comprensión de la información nutricional numérica, debidas a las diferencias en cuanto a los conocimientos de nutrición y salud, las nociones y habilidades aritmética, y la situación socioeconómica.</w:t>
      </w:r>
    </w:p>
    <w:p w14:paraId="2FD9108E" w14:textId="77777777" w:rsidR="00F335D7" w:rsidRPr="00C67536" w:rsidRDefault="00F335D7" w:rsidP="00F335D7">
      <w:pPr>
        <w:pStyle w:val="ListParagraph"/>
        <w:autoSpaceDE w:val="0"/>
        <w:autoSpaceDN w:val="0"/>
        <w:adjustRightInd w:val="0"/>
        <w:ind w:left="1134"/>
        <w:jc w:val="both"/>
        <w:rPr>
          <w:rFonts w:ascii="Arial" w:eastAsiaTheme="minorHAnsi" w:hAnsi="Arial" w:cs="Arial"/>
          <w:sz w:val="26"/>
          <w:szCs w:val="26"/>
          <w:lang w:eastAsia="en-US"/>
        </w:rPr>
      </w:pPr>
    </w:p>
    <w:p w14:paraId="355CD447" w14:textId="77777777" w:rsidR="00F335D7" w:rsidRPr="00C67536" w:rsidRDefault="00F335D7" w:rsidP="00B144AE">
      <w:pPr>
        <w:pStyle w:val="ListParagraph"/>
        <w:numPr>
          <w:ilvl w:val="0"/>
          <w:numId w:val="11"/>
        </w:numPr>
        <w:autoSpaceDE w:val="0"/>
        <w:autoSpaceDN w:val="0"/>
        <w:adjustRightInd w:val="0"/>
        <w:ind w:left="1134" w:firstLine="0"/>
        <w:jc w:val="both"/>
        <w:rPr>
          <w:rFonts w:ascii="Arial" w:eastAsiaTheme="minorHAnsi" w:hAnsi="Arial" w:cs="Arial"/>
          <w:sz w:val="26"/>
          <w:szCs w:val="26"/>
          <w:lang w:eastAsia="en-US"/>
        </w:rPr>
      </w:pPr>
      <w:r w:rsidRPr="00C67536">
        <w:rPr>
          <w:rFonts w:ascii="Arial" w:eastAsiaTheme="minorHAnsi" w:hAnsi="Arial" w:cs="Arial"/>
          <w:b/>
          <w:bCs/>
          <w:sz w:val="26"/>
          <w:szCs w:val="26"/>
          <w:lang w:eastAsia="en-US"/>
        </w:rPr>
        <w:t>Sellos de aprobación y sistemas de resumen:</w:t>
      </w:r>
      <w:r w:rsidRPr="00C67536">
        <w:rPr>
          <w:rFonts w:ascii="Arial" w:eastAsiaTheme="minorHAnsi" w:hAnsi="Arial" w:cs="Arial"/>
          <w:sz w:val="26"/>
          <w:szCs w:val="26"/>
          <w:lang w:eastAsia="en-US"/>
        </w:rPr>
        <w:t xml:space="preserve"> No permiten a los consumidores identificar productos que contienen cantidades excesivas de nutrientes críticos específicos (como azúcares, grasas y sodio). Estos sistemas tampoco cumplen con la finalidad.</w:t>
      </w:r>
    </w:p>
    <w:p w14:paraId="45488694" w14:textId="77777777" w:rsidR="00F335D7" w:rsidRPr="00C67536" w:rsidRDefault="00F335D7" w:rsidP="00F335D7">
      <w:pPr>
        <w:pStyle w:val="ListParagraph"/>
        <w:autoSpaceDE w:val="0"/>
        <w:autoSpaceDN w:val="0"/>
        <w:adjustRightInd w:val="0"/>
        <w:ind w:left="1134"/>
        <w:jc w:val="both"/>
        <w:rPr>
          <w:rFonts w:ascii="Arial" w:eastAsiaTheme="minorHAnsi" w:hAnsi="Arial" w:cs="Arial"/>
          <w:sz w:val="26"/>
          <w:szCs w:val="26"/>
          <w:lang w:eastAsia="en-US"/>
        </w:rPr>
      </w:pPr>
    </w:p>
    <w:p w14:paraId="0A5FACFE" w14:textId="77777777" w:rsidR="00F335D7" w:rsidRPr="00C67536" w:rsidRDefault="00F335D7" w:rsidP="00B144AE">
      <w:pPr>
        <w:pStyle w:val="ListParagraph"/>
        <w:numPr>
          <w:ilvl w:val="0"/>
          <w:numId w:val="11"/>
        </w:numPr>
        <w:autoSpaceDE w:val="0"/>
        <w:autoSpaceDN w:val="0"/>
        <w:adjustRightInd w:val="0"/>
        <w:ind w:left="1134" w:firstLine="0"/>
        <w:jc w:val="both"/>
        <w:rPr>
          <w:rFonts w:ascii="Arial" w:eastAsiaTheme="minorHAnsi" w:hAnsi="Arial" w:cs="Arial"/>
          <w:sz w:val="26"/>
          <w:szCs w:val="26"/>
          <w:lang w:eastAsia="en-US"/>
        </w:rPr>
      </w:pPr>
      <w:r w:rsidRPr="00C67536">
        <w:rPr>
          <w:rFonts w:ascii="Arial" w:eastAsiaTheme="minorHAnsi" w:hAnsi="Arial" w:cs="Arial"/>
          <w:b/>
          <w:bCs/>
          <w:sz w:val="26"/>
          <w:szCs w:val="26"/>
          <w:lang w:eastAsia="en-US"/>
        </w:rPr>
        <w:t>CDO o sistema de ingesta de referencia codificado por colores:</w:t>
      </w:r>
      <w:r w:rsidRPr="00C67536">
        <w:rPr>
          <w:rFonts w:ascii="Arial" w:eastAsiaTheme="minorHAnsi" w:hAnsi="Arial" w:cs="Arial"/>
          <w:sz w:val="26"/>
          <w:szCs w:val="26"/>
          <w:lang w:eastAsia="en-US"/>
        </w:rPr>
        <w:t xml:space="preserve"> Emplean colores para indicar tres niveles de concentración de nutrientes, señalando con rojo los niveles que se consideran altos o excesivos. Pero no indican a los consumidores cuál es alto o excesivo y, por lo tanto, no son fáciles ni sencillos. Estos sistemas requieren capacitación de los consumidores y dependen de un mayor nivel de conocimientos nutricionales. Además, es posible que los consumidores reciban información ambivalente (es decir, positiva y negativa al mismo tiempo), porque ven que un producto puede ser rojo y verde a la vez). Estos sistemas no cumplen con la finalidad. Agregan información innecesaria y distorsionan la finalidad que se quiere, es decir, agregan otros niveles de concentración de nutrientes y números que requieren conocimientos de nutrición y aptitudes matemáticas para descifrar, dando lugar a una “parálisis por análisis”, una abstracción de información, o ambas.</w:t>
      </w:r>
    </w:p>
    <w:p w14:paraId="137C3BDB" w14:textId="77777777" w:rsidR="00F335D7" w:rsidRPr="00C67536" w:rsidRDefault="00F335D7" w:rsidP="00F335D7">
      <w:pPr>
        <w:pStyle w:val="ListParagraph"/>
        <w:autoSpaceDE w:val="0"/>
        <w:autoSpaceDN w:val="0"/>
        <w:adjustRightInd w:val="0"/>
        <w:ind w:left="1134"/>
        <w:jc w:val="both"/>
        <w:rPr>
          <w:rFonts w:ascii="Arial" w:eastAsiaTheme="minorHAnsi" w:hAnsi="Arial" w:cs="Arial"/>
          <w:sz w:val="26"/>
          <w:szCs w:val="26"/>
          <w:lang w:eastAsia="en-US"/>
        </w:rPr>
      </w:pPr>
    </w:p>
    <w:p w14:paraId="20110126" w14:textId="77777777" w:rsidR="00F335D7" w:rsidRPr="00C67536" w:rsidRDefault="00F335D7" w:rsidP="00B144AE">
      <w:pPr>
        <w:pStyle w:val="ListParagraph"/>
        <w:numPr>
          <w:ilvl w:val="0"/>
          <w:numId w:val="11"/>
        </w:numPr>
        <w:autoSpaceDE w:val="0"/>
        <w:autoSpaceDN w:val="0"/>
        <w:adjustRightInd w:val="0"/>
        <w:ind w:left="1134" w:firstLine="0"/>
        <w:jc w:val="both"/>
        <w:rPr>
          <w:rFonts w:ascii="Arial" w:eastAsiaTheme="minorHAnsi" w:hAnsi="Arial" w:cs="Arial"/>
          <w:sz w:val="26"/>
          <w:szCs w:val="26"/>
          <w:lang w:eastAsia="en-US"/>
        </w:rPr>
      </w:pPr>
      <w:r w:rsidRPr="00C67536">
        <w:rPr>
          <w:rFonts w:ascii="Arial" w:eastAsiaTheme="minorHAnsi" w:hAnsi="Arial" w:cs="Arial"/>
          <w:b/>
          <w:bCs/>
          <w:sz w:val="26"/>
          <w:szCs w:val="26"/>
          <w:lang w:eastAsia="en-US"/>
        </w:rPr>
        <w:t>Sistemas con texto y codificación cromática para nutrientes específicos:</w:t>
      </w:r>
      <w:r w:rsidRPr="00C67536">
        <w:rPr>
          <w:rFonts w:ascii="Arial" w:eastAsiaTheme="minorHAnsi" w:hAnsi="Arial" w:cs="Arial"/>
          <w:sz w:val="26"/>
          <w:szCs w:val="26"/>
          <w:lang w:eastAsia="en-US"/>
        </w:rPr>
        <w:t xml:space="preserve"> Constituyen una mejora de las CDO codificadas por colores o el sistema de ingesta de referencia, porque añaden textos descriptivos para cada color y eliminan los números, lo que los hace más sencillos de entender para los consumidores. Sin embargo, estos sistemas también pueden proporcionar información contradictoria, porque el consumidor observa que un producto puede ser simultáneamente rojo/alto y verde/bajo en ciertos nutrientes. El uso de barras y texto para las categorías rojo/alto, amarillo/medio, y verde/bajo distrae de la finalidad y confunde al consumidor al presentar información innecesaria.</w:t>
      </w:r>
    </w:p>
    <w:p w14:paraId="4765D84F" w14:textId="77777777" w:rsidR="00F335D7" w:rsidRPr="00C67536" w:rsidRDefault="00F335D7" w:rsidP="00F335D7">
      <w:pPr>
        <w:pStyle w:val="ListParagraph"/>
        <w:autoSpaceDE w:val="0"/>
        <w:autoSpaceDN w:val="0"/>
        <w:adjustRightInd w:val="0"/>
        <w:ind w:left="1134"/>
        <w:jc w:val="both"/>
        <w:rPr>
          <w:rFonts w:ascii="Arial" w:eastAsiaTheme="minorHAnsi" w:hAnsi="Arial" w:cs="Arial"/>
          <w:sz w:val="26"/>
          <w:szCs w:val="26"/>
          <w:lang w:eastAsia="en-US"/>
        </w:rPr>
      </w:pPr>
    </w:p>
    <w:p w14:paraId="29282FCF" w14:textId="77777777" w:rsidR="00F335D7" w:rsidRPr="00C67536" w:rsidRDefault="00F335D7" w:rsidP="00B144AE">
      <w:pPr>
        <w:pStyle w:val="ListParagraph"/>
        <w:numPr>
          <w:ilvl w:val="0"/>
          <w:numId w:val="11"/>
        </w:numPr>
        <w:autoSpaceDE w:val="0"/>
        <w:autoSpaceDN w:val="0"/>
        <w:adjustRightInd w:val="0"/>
        <w:ind w:left="1134" w:firstLine="0"/>
        <w:jc w:val="both"/>
        <w:rPr>
          <w:rFonts w:ascii="Arial" w:eastAsiaTheme="minorHAnsi" w:hAnsi="Arial" w:cs="Arial"/>
          <w:sz w:val="26"/>
          <w:szCs w:val="26"/>
          <w:lang w:eastAsia="en-US"/>
        </w:rPr>
      </w:pPr>
      <w:r w:rsidRPr="00C67536">
        <w:rPr>
          <w:rFonts w:ascii="Arial" w:eastAsiaTheme="minorHAnsi" w:hAnsi="Arial" w:cs="Arial"/>
          <w:b/>
          <w:bCs/>
          <w:sz w:val="26"/>
          <w:szCs w:val="26"/>
          <w:lang w:eastAsia="en-US"/>
        </w:rPr>
        <w:t>Advertencias nutricionales “ALTO EN/EXCESO”</w:t>
      </w:r>
      <w:r w:rsidRPr="00C67536">
        <w:rPr>
          <w:rFonts w:ascii="Arial" w:eastAsiaTheme="minorHAnsi" w:hAnsi="Arial" w:cs="Arial"/>
          <w:sz w:val="26"/>
          <w:szCs w:val="26"/>
          <w:lang w:eastAsia="en-US"/>
        </w:rPr>
        <w:t>: Proporcionan información directa al emplear sellos con texto en la etiqueta frontal del envase. Los sellos permiten a los consumidores identificar correcta, rápida y fácilmente los productos que contienen cantidades excesivas de nutrientes críticos. Los sistemas de advertencias nutricionales son los más adecuados para la finalidad del etiquetado en el frente del envase.</w:t>
      </w:r>
    </w:p>
    <w:p w14:paraId="05BEDB44" w14:textId="77777777" w:rsidR="00F335D7" w:rsidRPr="00C67536" w:rsidRDefault="00F335D7" w:rsidP="00F335D7">
      <w:pPr>
        <w:autoSpaceDE w:val="0"/>
        <w:autoSpaceDN w:val="0"/>
        <w:adjustRightInd w:val="0"/>
        <w:ind w:left="567"/>
        <w:jc w:val="both"/>
        <w:rPr>
          <w:rFonts w:ascii="Arial" w:eastAsiaTheme="minorHAnsi" w:hAnsi="Arial" w:cs="Arial"/>
          <w:sz w:val="26"/>
          <w:szCs w:val="26"/>
          <w:lang w:eastAsia="en-US"/>
        </w:rPr>
      </w:pPr>
    </w:p>
    <w:p w14:paraId="05EE62A0" w14:textId="77777777"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color w:val="000000"/>
          <w:sz w:val="26"/>
          <w:szCs w:val="26"/>
          <w:lang w:eastAsia="en-US"/>
        </w:rPr>
        <w:t xml:space="preserve">En el mismo documento, se destaca que </w:t>
      </w:r>
      <w:r w:rsidRPr="00C67536">
        <w:rPr>
          <w:rFonts w:ascii="Arial" w:eastAsiaTheme="minorHAnsi" w:hAnsi="Arial" w:cs="Arial"/>
          <w:sz w:val="26"/>
          <w:szCs w:val="26"/>
          <w:lang w:eastAsia="en-US"/>
        </w:rPr>
        <w:t>de la investigación realizada el consumidor, al escoger sus alimentos, se enfrenta a muchas dificultades para acceder, comprender y evaluar la información nutricional que se presenta en la etiqueta.</w:t>
      </w:r>
    </w:p>
    <w:p w14:paraId="254A39F7" w14:textId="77777777" w:rsidR="00F335D7" w:rsidRPr="00C67536" w:rsidRDefault="00F335D7" w:rsidP="00F77E11">
      <w:pPr>
        <w:pStyle w:val="ListParagraph"/>
        <w:tabs>
          <w:tab w:val="left" w:pos="851"/>
        </w:tabs>
        <w:autoSpaceDE w:val="0"/>
        <w:autoSpaceDN w:val="0"/>
        <w:adjustRightInd w:val="0"/>
        <w:ind w:left="567"/>
        <w:jc w:val="both"/>
        <w:rPr>
          <w:rFonts w:ascii="Arial" w:eastAsiaTheme="minorHAnsi" w:hAnsi="Arial" w:cs="Arial"/>
          <w:sz w:val="26"/>
          <w:szCs w:val="26"/>
          <w:lang w:eastAsia="en-US"/>
        </w:rPr>
      </w:pPr>
    </w:p>
    <w:p w14:paraId="2B9E8828" w14:textId="77777777"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Desde una perspectiva de salud pública es indispensable, que al considerar las principales características de un sistema de etiquetado frontal se incluya: la capacidad de atraer la atención del consumidor; la facilidad para que los consumidores puedan procesar, comprender, evaluar y utilizar la información, y la influencia del sistema de etiquetado frontal en las decisiones de compra de los consumidores.</w:t>
      </w:r>
    </w:p>
    <w:p w14:paraId="7BDA2EAF" w14:textId="77777777" w:rsidR="00F335D7" w:rsidRPr="00C67536" w:rsidRDefault="00F335D7" w:rsidP="00F77E11">
      <w:pPr>
        <w:pStyle w:val="ListParagraph"/>
        <w:tabs>
          <w:tab w:val="left" w:pos="851"/>
        </w:tabs>
        <w:autoSpaceDE w:val="0"/>
        <w:autoSpaceDN w:val="0"/>
        <w:adjustRightInd w:val="0"/>
        <w:ind w:left="567"/>
        <w:jc w:val="both"/>
        <w:rPr>
          <w:rFonts w:ascii="Arial" w:eastAsiaTheme="minorHAnsi" w:hAnsi="Arial" w:cs="Arial"/>
          <w:sz w:val="26"/>
          <w:szCs w:val="26"/>
          <w:lang w:eastAsia="en-US"/>
        </w:rPr>
      </w:pPr>
    </w:p>
    <w:p w14:paraId="7A264073" w14:textId="77777777" w:rsidR="00FC4F60"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eastAsiaTheme="minorHAnsi" w:hAnsi="Arial" w:cs="Arial"/>
          <w:sz w:val="26"/>
          <w:szCs w:val="26"/>
          <w:lang w:eastAsia="en-US"/>
        </w:rPr>
        <w:t>Por estas razones, es importante considerar sistemas de etiquetado frontal que puedan informar a los consumidores sobre las cantidades excesivas de nutrientes críticos de preocupación para la salud pública de manera directa, sencilla, fácil y rápida.</w:t>
      </w:r>
    </w:p>
    <w:p w14:paraId="28837FF4" w14:textId="77777777" w:rsidR="00FC4F60" w:rsidRPr="00C67536" w:rsidRDefault="00FC4F60" w:rsidP="00FC4F60">
      <w:pPr>
        <w:pStyle w:val="ListParagraph"/>
        <w:rPr>
          <w:rFonts w:ascii="Arial" w:hAnsi="Arial" w:cs="Arial"/>
          <w:sz w:val="26"/>
          <w:szCs w:val="26"/>
        </w:rPr>
      </w:pPr>
    </w:p>
    <w:p w14:paraId="3BB3856B" w14:textId="486C347B" w:rsidR="00F335D7" w:rsidRPr="00C67536" w:rsidRDefault="00F335D7" w:rsidP="00B144AE">
      <w:pPr>
        <w:pStyle w:val="ListParagraph"/>
        <w:numPr>
          <w:ilvl w:val="0"/>
          <w:numId w:val="9"/>
        </w:numPr>
        <w:tabs>
          <w:tab w:val="left" w:pos="851"/>
        </w:tabs>
        <w:autoSpaceDE w:val="0"/>
        <w:autoSpaceDN w:val="0"/>
        <w:adjustRightInd w:val="0"/>
        <w:ind w:left="567" w:firstLine="0"/>
        <w:jc w:val="both"/>
        <w:rPr>
          <w:rFonts w:ascii="Arial" w:eastAsiaTheme="minorHAnsi" w:hAnsi="Arial" w:cs="Arial"/>
          <w:sz w:val="26"/>
          <w:szCs w:val="26"/>
          <w:lang w:eastAsia="en-US"/>
        </w:rPr>
      </w:pPr>
      <w:r w:rsidRPr="00C67536">
        <w:rPr>
          <w:rFonts w:ascii="Arial" w:hAnsi="Arial" w:cs="Arial"/>
          <w:sz w:val="26"/>
          <w:szCs w:val="26"/>
        </w:rPr>
        <w:t xml:space="preserve">Sin embargo, de todos ellos, la Organización Panamericana de la Salud, considera que </w:t>
      </w:r>
      <w:r w:rsidRPr="00C67536">
        <w:rPr>
          <w:rFonts w:ascii="Arial" w:eastAsiaTheme="minorHAnsi" w:hAnsi="Arial" w:cs="Arial"/>
          <w:sz w:val="26"/>
          <w:szCs w:val="26"/>
          <w:lang w:eastAsia="en-US"/>
        </w:rPr>
        <w:t>el sistema de advertencias nutricionales “ALTO EN/EXCESO”, proporciona información directa al emplear sellos con texto en la etiqueta frontal del envase. Los sellos permiten a los consumidores identificar correcta, rápida y fácilmente los productos que contienen cantidades excesivas de nutrientes críticos. Los sistemas de advertencias nutricionales son los más adecuados para la finalidad del etiquetado en el frente del envase.</w:t>
      </w:r>
    </w:p>
    <w:p w14:paraId="71123DE6" w14:textId="77777777" w:rsidR="00F335D7" w:rsidRPr="00C67536" w:rsidRDefault="00F335D7" w:rsidP="00F335D7">
      <w:pPr>
        <w:pStyle w:val="ListParagraph"/>
        <w:rPr>
          <w:rFonts w:ascii="Arial" w:eastAsiaTheme="minorHAnsi" w:hAnsi="Arial" w:cs="Arial"/>
          <w:color w:val="000000"/>
          <w:sz w:val="28"/>
          <w:szCs w:val="28"/>
          <w:lang w:eastAsia="en-US"/>
        </w:rPr>
      </w:pPr>
    </w:p>
    <w:p w14:paraId="020BF6AA" w14:textId="598355E7" w:rsidR="00E11900" w:rsidRPr="00C67536" w:rsidRDefault="008D6B19"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shd w:val="clear" w:color="auto" w:fill="FFFFFF"/>
        </w:rPr>
        <w:t>Luego, tal</w:t>
      </w:r>
      <w:r w:rsidR="001B7030" w:rsidRPr="00C67536">
        <w:rPr>
          <w:rFonts w:ascii="Arial" w:hAnsi="Arial" w:cs="Arial"/>
          <w:sz w:val="28"/>
          <w:szCs w:val="28"/>
          <w:shd w:val="clear" w:color="auto" w:fill="FFFFFF"/>
        </w:rPr>
        <w:t xml:space="preserve"> documento</w:t>
      </w:r>
      <w:r w:rsidR="002B01F7" w:rsidRPr="00C67536">
        <w:rPr>
          <w:rFonts w:ascii="Arial" w:hAnsi="Arial" w:cs="Arial"/>
          <w:sz w:val="28"/>
          <w:szCs w:val="28"/>
          <w:shd w:val="clear" w:color="auto" w:fill="FFFFFF"/>
        </w:rPr>
        <w:t xml:space="preserve">, como bien lo aduce la quejosa, no </w:t>
      </w:r>
      <w:r w:rsidR="00E11900" w:rsidRPr="00C67536">
        <w:rPr>
          <w:rFonts w:ascii="Arial" w:hAnsi="Arial" w:cs="Arial"/>
          <w:sz w:val="28"/>
          <w:szCs w:val="28"/>
          <w:shd w:val="clear" w:color="auto" w:fill="FFFFFF"/>
        </w:rPr>
        <w:t xml:space="preserve">se tomó en consideración para emitir las normas reclamadas, pues incluso se expidió con fecha posterior a la implementación del sistema de etiquetado frontal de </w:t>
      </w:r>
      <w:r w:rsidRPr="00C67536">
        <w:rPr>
          <w:rFonts w:ascii="Arial" w:hAnsi="Arial" w:cs="Arial"/>
          <w:sz w:val="28"/>
          <w:szCs w:val="28"/>
          <w:shd w:val="clear" w:color="auto" w:fill="FFFFFF"/>
        </w:rPr>
        <w:t xml:space="preserve">advertencia en el país, </w:t>
      </w:r>
      <w:r w:rsidR="001B7030" w:rsidRPr="00C67536">
        <w:rPr>
          <w:rFonts w:ascii="Arial" w:hAnsi="Arial" w:cs="Arial"/>
          <w:sz w:val="28"/>
          <w:szCs w:val="28"/>
          <w:shd w:val="clear" w:color="auto" w:fill="FFFFFF"/>
        </w:rPr>
        <w:t xml:space="preserve">pero no es contrario con las argumentaciones </w:t>
      </w:r>
      <w:r w:rsidR="0075508C" w:rsidRPr="00C67536">
        <w:rPr>
          <w:rFonts w:ascii="Arial" w:hAnsi="Arial" w:cs="Arial"/>
          <w:sz w:val="28"/>
          <w:szCs w:val="28"/>
          <w:shd w:val="clear" w:color="auto" w:fill="FFFFFF"/>
        </w:rPr>
        <w:t>del fallo recurrido ni con el presente</w:t>
      </w:r>
      <w:r w:rsidR="00656819" w:rsidRPr="00C67536">
        <w:rPr>
          <w:rFonts w:ascii="Arial" w:hAnsi="Arial" w:cs="Arial"/>
          <w:sz w:val="28"/>
          <w:szCs w:val="28"/>
          <w:shd w:val="clear" w:color="auto" w:fill="FFFFFF"/>
        </w:rPr>
        <w:t>.</w:t>
      </w:r>
    </w:p>
    <w:p w14:paraId="73CDE500" w14:textId="7003E4A4" w:rsidR="002A3675" w:rsidRPr="00C67536" w:rsidRDefault="002A3675" w:rsidP="00231B5D">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shd w:val="clear" w:color="auto" w:fill="FFFFFF"/>
        </w:rPr>
        <w:t>Estas consideraciones son obligatorias al haberse aprobado por unanimidad de once votos de las señoras Ministras y de los señores</w:t>
      </w:r>
      <w:r w:rsidR="00231B5D" w:rsidRPr="00C67536">
        <w:rPr>
          <w:rFonts w:ascii="Arial" w:hAnsi="Arial" w:cs="Arial"/>
          <w:sz w:val="28"/>
          <w:szCs w:val="28"/>
          <w:shd w:val="clear" w:color="auto" w:fill="FFFFFF"/>
        </w:rPr>
        <w:t xml:space="preserve"> </w:t>
      </w:r>
      <w:r w:rsidR="00231B5D" w:rsidRPr="00C67536">
        <w:rPr>
          <w:rFonts w:ascii="Arial" w:hAnsi="Arial" w:cs="Arial"/>
          <w:sz w:val="28"/>
          <w:szCs w:val="28"/>
          <w:lang w:eastAsia="es-ES"/>
        </w:rPr>
        <w:t xml:space="preserve">Ministros </w:t>
      </w:r>
      <w:r w:rsidR="00231B5D" w:rsidRPr="00C67536">
        <w:rPr>
          <w:rFonts w:ascii="Arial" w:hAnsi="Arial" w:cs="Arial"/>
          <w:sz w:val="28"/>
          <w:szCs w:val="28"/>
          <w:lang w:val="es-ES" w:eastAsia="es-ES"/>
        </w:rPr>
        <w:t xml:space="preserve">Gutiérrez Ortiz Mena apartándose de las consideraciones, González Alcántara Carrancá separándose de los párrafos 60 y 62 conforme al engrose (en el proyecto original párrafos 58 y 60) y las consideraciones del tema 2, Esquivel </w:t>
      </w:r>
      <w:proofErr w:type="spellStart"/>
      <w:r w:rsidR="00231B5D" w:rsidRPr="00C67536">
        <w:rPr>
          <w:rFonts w:ascii="Arial" w:hAnsi="Arial" w:cs="Arial"/>
          <w:sz w:val="28"/>
          <w:szCs w:val="28"/>
          <w:lang w:val="es-ES" w:eastAsia="es-ES"/>
        </w:rPr>
        <w:t>Mossa</w:t>
      </w:r>
      <w:proofErr w:type="spellEnd"/>
      <w:r w:rsidR="00231B5D" w:rsidRPr="00C67536">
        <w:rPr>
          <w:rFonts w:ascii="Arial" w:hAnsi="Arial" w:cs="Arial"/>
          <w:sz w:val="28"/>
          <w:szCs w:val="28"/>
          <w:lang w:val="es-ES" w:eastAsia="es-ES"/>
        </w:rPr>
        <w:t xml:space="preserve">, Ortiz </w:t>
      </w:r>
      <w:proofErr w:type="spellStart"/>
      <w:r w:rsidR="00231B5D" w:rsidRPr="00C67536">
        <w:rPr>
          <w:rFonts w:ascii="Arial" w:hAnsi="Arial" w:cs="Arial"/>
          <w:sz w:val="28"/>
          <w:szCs w:val="28"/>
          <w:lang w:val="es-ES" w:eastAsia="es-ES"/>
        </w:rPr>
        <w:t>Ahlf</w:t>
      </w:r>
      <w:proofErr w:type="spellEnd"/>
      <w:r w:rsidR="00231B5D" w:rsidRPr="00C67536">
        <w:rPr>
          <w:rFonts w:ascii="Arial" w:hAnsi="Arial" w:cs="Arial"/>
          <w:sz w:val="28"/>
          <w:szCs w:val="28"/>
          <w:lang w:val="es-ES" w:eastAsia="es-ES"/>
        </w:rPr>
        <w:t xml:space="preserve"> (en el proyecto original se separó de los párrafos 216 y del 231 al 234, sin embargo, al cambiar la metodología desaparecieron esos párrafos), Aguilar Morales por consideraciones diversas</w:t>
      </w:r>
      <w:r w:rsidR="00AA54F3" w:rsidRPr="00C67536">
        <w:rPr>
          <w:rFonts w:ascii="Arial" w:hAnsi="Arial" w:cs="Arial"/>
          <w:sz w:val="28"/>
          <w:szCs w:val="28"/>
          <w:lang w:val="es-ES" w:eastAsia="es-ES"/>
        </w:rPr>
        <w:t xml:space="preserve"> y </w:t>
      </w:r>
      <w:r w:rsidR="001B45C7" w:rsidRPr="00C67536">
        <w:rPr>
          <w:rFonts w:ascii="Arial" w:hAnsi="Arial" w:cs="Arial"/>
          <w:sz w:val="28"/>
          <w:szCs w:val="28"/>
          <w:lang w:val="es-ES" w:eastAsia="es-ES"/>
        </w:rPr>
        <w:t>separándose</w:t>
      </w:r>
      <w:r w:rsidR="00AA54F3" w:rsidRPr="00C67536">
        <w:rPr>
          <w:rFonts w:ascii="Arial" w:hAnsi="Arial" w:cs="Arial"/>
          <w:sz w:val="28"/>
          <w:szCs w:val="28"/>
          <w:lang w:val="es-ES" w:eastAsia="es-ES"/>
        </w:rPr>
        <w:t xml:space="preserve"> de</w:t>
      </w:r>
      <w:r w:rsidR="006F27D6" w:rsidRPr="00C67536">
        <w:rPr>
          <w:rFonts w:ascii="Arial" w:hAnsi="Arial" w:cs="Arial"/>
          <w:sz w:val="28"/>
          <w:szCs w:val="28"/>
          <w:lang w:val="es-ES" w:eastAsia="es-ES"/>
        </w:rPr>
        <w:t xml:space="preserve"> consideraciones</w:t>
      </w:r>
      <w:r w:rsidR="00231B5D" w:rsidRPr="00C67536">
        <w:rPr>
          <w:rFonts w:ascii="Arial" w:hAnsi="Arial" w:cs="Arial"/>
          <w:sz w:val="28"/>
          <w:szCs w:val="28"/>
          <w:lang w:val="es-ES" w:eastAsia="es-ES"/>
        </w:rPr>
        <w:t xml:space="preserve">, Pardo Rebolledo separándose de algunas consideraciones, Batres Guadarrama con consideraciones diversas, Ríos </w:t>
      </w:r>
      <w:proofErr w:type="spellStart"/>
      <w:r w:rsidR="00231B5D" w:rsidRPr="00C67536">
        <w:rPr>
          <w:rFonts w:ascii="Arial" w:hAnsi="Arial" w:cs="Arial"/>
          <w:sz w:val="28"/>
          <w:szCs w:val="28"/>
          <w:lang w:val="es-ES" w:eastAsia="es-ES"/>
        </w:rPr>
        <w:t>Farjat</w:t>
      </w:r>
      <w:proofErr w:type="spellEnd"/>
      <w:r w:rsidR="00231B5D" w:rsidRPr="00C67536">
        <w:rPr>
          <w:rFonts w:ascii="Arial" w:hAnsi="Arial" w:cs="Arial"/>
          <w:sz w:val="28"/>
          <w:szCs w:val="28"/>
          <w:lang w:val="es-ES" w:eastAsia="es-ES"/>
        </w:rPr>
        <w:t>, Laynez Potisek, Pérez Dayán y Presidenta Piña Hernández por razones distintas</w:t>
      </w:r>
      <w:r w:rsidRPr="00C67536">
        <w:rPr>
          <w:rFonts w:ascii="Arial" w:hAnsi="Arial" w:cs="Arial"/>
          <w:sz w:val="28"/>
          <w:szCs w:val="28"/>
          <w:shd w:val="clear" w:color="auto" w:fill="FFFFFF"/>
        </w:rPr>
        <w:t>.</w:t>
      </w:r>
    </w:p>
    <w:p w14:paraId="510536A6" w14:textId="3E0DD687" w:rsidR="00856C22" w:rsidRPr="00C67536" w:rsidRDefault="00856C22" w:rsidP="00856C22">
      <w:pPr>
        <w:pStyle w:val="ListParagraph"/>
        <w:numPr>
          <w:ilvl w:val="0"/>
          <w:numId w:val="1"/>
        </w:numPr>
        <w:spacing w:after="200" w:line="276" w:lineRule="auto"/>
        <w:jc w:val="center"/>
        <w:rPr>
          <w:rFonts w:ascii="Arial" w:hAnsi="Arial" w:cs="Arial"/>
          <w:b/>
          <w:sz w:val="28"/>
          <w:szCs w:val="28"/>
        </w:rPr>
      </w:pPr>
      <w:r w:rsidRPr="00C67536">
        <w:rPr>
          <w:rFonts w:ascii="Arial" w:hAnsi="Arial" w:cs="Arial"/>
          <w:b/>
          <w:sz w:val="28"/>
          <w:szCs w:val="28"/>
        </w:rPr>
        <w:t>REVISIÓN ADHESIVA</w:t>
      </w:r>
      <w:r w:rsidR="00E1024F">
        <w:rPr>
          <w:rFonts w:ascii="Arial" w:hAnsi="Arial" w:cs="Arial"/>
          <w:b/>
          <w:sz w:val="28"/>
          <w:szCs w:val="28"/>
        </w:rPr>
        <w:t>.</w:t>
      </w:r>
    </w:p>
    <w:p w14:paraId="2D3E4340" w14:textId="06231C6D" w:rsidR="006A5213" w:rsidRPr="00C67536" w:rsidRDefault="00856C22"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rPr>
        <w:t>En las condiciones descritas, al ser infundados</w:t>
      </w:r>
      <w:r w:rsidR="003D19EA" w:rsidRPr="00C67536">
        <w:rPr>
          <w:rFonts w:ascii="Arial" w:hAnsi="Arial" w:cs="Arial"/>
          <w:sz w:val="28"/>
          <w:szCs w:val="28"/>
        </w:rPr>
        <w:t xml:space="preserve"> y</w:t>
      </w:r>
      <w:r w:rsidRPr="00C67536">
        <w:rPr>
          <w:rFonts w:ascii="Arial" w:hAnsi="Arial" w:cs="Arial"/>
          <w:sz w:val="28"/>
          <w:szCs w:val="28"/>
        </w:rPr>
        <w:t xml:space="preserve"> fundados </w:t>
      </w:r>
      <w:r w:rsidR="003D19EA" w:rsidRPr="00C67536">
        <w:rPr>
          <w:rFonts w:ascii="Arial" w:hAnsi="Arial" w:cs="Arial"/>
          <w:sz w:val="28"/>
          <w:szCs w:val="28"/>
        </w:rPr>
        <w:t>pero</w:t>
      </w:r>
      <w:r w:rsidRPr="00C67536">
        <w:rPr>
          <w:rFonts w:ascii="Arial" w:hAnsi="Arial" w:cs="Arial"/>
          <w:sz w:val="28"/>
          <w:szCs w:val="28"/>
        </w:rPr>
        <w:t xml:space="preserve"> inoperantes los agravios formulados en la revisión principal de la quejosa, la revisión adhesiva interpuesta por el </w:t>
      </w:r>
      <w:r w:rsidR="006F0120" w:rsidRPr="00C67536">
        <w:rPr>
          <w:rFonts w:ascii="Arial" w:hAnsi="Arial" w:cs="Arial"/>
          <w:bCs/>
          <w:color w:val="000000"/>
          <w:sz w:val="28"/>
          <w:szCs w:val="28"/>
        </w:rPr>
        <w:t>Director</w:t>
      </w:r>
      <w:r w:rsidR="00AE6779" w:rsidRPr="00C67536">
        <w:rPr>
          <w:rFonts w:ascii="Arial" w:hAnsi="Arial" w:cs="Arial"/>
          <w:bCs/>
          <w:color w:val="000000"/>
          <w:sz w:val="28"/>
          <w:szCs w:val="28"/>
        </w:rPr>
        <w:t xml:space="preserve"> </w:t>
      </w:r>
      <w:r w:rsidR="006F0120" w:rsidRPr="00C67536">
        <w:rPr>
          <w:rFonts w:ascii="Arial" w:hAnsi="Arial" w:cs="Arial"/>
          <w:bCs/>
          <w:color w:val="000000"/>
          <w:sz w:val="28"/>
          <w:szCs w:val="28"/>
        </w:rPr>
        <w:t>General de Normas, por sí y en su carácter de Presidente del Comité Consultivo Nacional de Normalización de la Secretaría de Economía, a través de la Directora de Cámaras Empresariales y Desarrollo Regional</w:t>
      </w:r>
      <w:r w:rsidRPr="00C67536">
        <w:rPr>
          <w:rFonts w:ascii="Arial" w:hAnsi="Arial" w:cs="Arial"/>
          <w:sz w:val="28"/>
          <w:szCs w:val="28"/>
        </w:rPr>
        <w:t xml:space="preserve"> ha quedado sin materia</w:t>
      </w:r>
      <w:r w:rsidR="006A5213" w:rsidRPr="00C67536">
        <w:rPr>
          <w:rFonts w:ascii="Arial" w:hAnsi="Arial" w:cs="Arial"/>
          <w:sz w:val="28"/>
          <w:szCs w:val="28"/>
        </w:rPr>
        <w:t>.</w:t>
      </w:r>
    </w:p>
    <w:p w14:paraId="5F324AA0" w14:textId="77777777" w:rsidR="00B111D5" w:rsidRPr="00C67536" w:rsidRDefault="00856C22"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rPr>
        <w:t>Ello, porque ha desaparecido la condición a la que estaba sujeto el interés jurídico del recurrente adherente para interponer la adhesión.</w:t>
      </w:r>
    </w:p>
    <w:p w14:paraId="26827965" w14:textId="434A52D3" w:rsidR="00781645" w:rsidRPr="00C67536" w:rsidRDefault="00B111D5"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eastAsiaTheme="minorHAnsi" w:hAnsi="Arial" w:cs="Arial"/>
          <w:sz w:val="28"/>
          <w:szCs w:val="28"/>
          <w:lang w:eastAsia="en-US"/>
        </w:rPr>
        <w:t>Sirve de apoyo, la jurisprudencia 2a./J. 166/2007</w:t>
      </w:r>
      <w:r w:rsidRPr="00C67536">
        <w:rPr>
          <w:rStyle w:val="FootnoteReference"/>
          <w:rFonts w:ascii="Arial" w:eastAsiaTheme="minorHAnsi" w:hAnsi="Arial" w:cs="Arial"/>
          <w:sz w:val="28"/>
          <w:szCs w:val="28"/>
          <w:lang w:eastAsia="en-US"/>
        </w:rPr>
        <w:footnoteReference w:id="61"/>
      </w:r>
      <w:r w:rsidRPr="00C67536">
        <w:rPr>
          <w:rFonts w:ascii="Arial" w:eastAsiaTheme="minorHAnsi" w:hAnsi="Arial" w:cs="Arial"/>
          <w:sz w:val="28"/>
          <w:szCs w:val="28"/>
          <w:lang w:eastAsia="en-US"/>
        </w:rPr>
        <w:t xml:space="preserve">, de </w:t>
      </w:r>
      <w:r w:rsidR="00750EE7" w:rsidRPr="00C67536">
        <w:rPr>
          <w:rFonts w:ascii="Arial" w:eastAsiaTheme="minorHAnsi" w:hAnsi="Arial" w:cs="Arial"/>
          <w:sz w:val="28"/>
          <w:szCs w:val="28"/>
          <w:lang w:eastAsia="en-US"/>
        </w:rPr>
        <w:t>la</w:t>
      </w:r>
      <w:r w:rsidRPr="00C67536">
        <w:rPr>
          <w:rFonts w:ascii="Arial" w:eastAsiaTheme="minorHAnsi" w:hAnsi="Arial" w:cs="Arial"/>
          <w:sz w:val="28"/>
          <w:szCs w:val="28"/>
          <w:lang w:eastAsia="en-US"/>
        </w:rPr>
        <w:t xml:space="preserve"> Segunda Sala de la Suprema Corte de Justicia, del título siguiente: REVISIÓN ADHESIVA EN AMPARO INDIRECTO. DEBE DECLARARSE SIN MATERIA SI LA REVISIÓN PRINCIPAL RESULTA INFUNDADA.</w:t>
      </w:r>
    </w:p>
    <w:p w14:paraId="381FB1EA" w14:textId="4385E2F8" w:rsidR="00E25E10" w:rsidRPr="00C67536" w:rsidRDefault="00E25E10" w:rsidP="00E25E10">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sz w:val="28"/>
          <w:szCs w:val="28"/>
          <w:shd w:val="clear" w:color="auto" w:fill="FFFFFF"/>
        </w:rPr>
        <w:t>Estas consideraciones son obligatorias al haberse aprobado por unanimidad de once votos de las señoras Ministras y de los señores Ministros Gutiérrez Ortiz Mena, González Alcántara Carrancá, Esquivel Mossa, Ortiz Ahlf, Aguilar Morales, Pardo Rebolledo, Batres Guadarrama, Ríos Farjat, Laynez Potisek, Pérez Dayán y Presidenta Piña Hernández.</w:t>
      </w:r>
    </w:p>
    <w:p w14:paraId="58B9596F" w14:textId="41B26428" w:rsidR="00781645" w:rsidRPr="00C67536" w:rsidRDefault="00781645" w:rsidP="00781645">
      <w:pPr>
        <w:pStyle w:val="corte4fondo"/>
        <w:numPr>
          <w:ilvl w:val="0"/>
          <w:numId w:val="1"/>
        </w:numPr>
        <w:jc w:val="center"/>
        <w:rPr>
          <w:rFonts w:cs="Arial"/>
          <w:b/>
          <w:sz w:val="28"/>
          <w:szCs w:val="28"/>
          <w:lang w:val="es-MX"/>
        </w:rPr>
      </w:pPr>
      <w:r w:rsidRPr="00C67536">
        <w:rPr>
          <w:rFonts w:cs="Arial"/>
          <w:b/>
          <w:sz w:val="28"/>
          <w:szCs w:val="28"/>
          <w:lang w:val="es-MX"/>
        </w:rPr>
        <w:t>DECISIÓN</w:t>
      </w:r>
      <w:r w:rsidR="00CB7076">
        <w:rPr>
          <w:rFonts w:cs="Arial"/>
          <w:b/>
          <w:sz w:val="28"/>
          <w:szCs w:val="28"/>
          <w:lang w:val="es-MX"/>
        </w:rPr>
        <w:t>.</w:t>
      </w:r>
    </w:p>
    <w:p w14:paraId="409E27F2" w14:textId="77777777" w:rsidR="00781645" w:rsidRPr="00C67536" w:rsidRDefault="00781645" w:rsidP="00462390">
      <w:pPr>
        <w:pStyle w:val="corte4fondo"/>
        <w:spacing w:line="240" w:lineRule="auto"/>
        <w:ind w:left="1145" w:firstLine="0"/>
        <w:rPr>
          <w:rFonts w:cs="Arial"/>
          <w:b/>
          <w:sz w:val="28"/>
          <w:szCs w:val="28"/>
          <w:lang w:val="es-MX"/>
        </w:rPr>
      </w:pPr>
    </w:p>
    <w:p w14:paraId="4E18266E" w14:textId="490BE75C" w:rsidR="00611690" w:rsidRPr="00C67536" w:rsidRDefault="00DF5F9D" w:rsidP="00B144AE">
      <w:pPr>
        <w:numPr>
          <w:ilvl w:val="0"/>
          <w:numId w:val="15"/>
        </w:numPr>
        <w:tabs>
          <w:tab w:val="left" w:pos="142"/>
        </w:tabs>
        <w:spacing w:after="200" w:line="360" w:lineRule="auto"/>
        <w:ind w:left="0" w:hanging="567"/>
        <w:jc w:val="both"/>
        <w:rPr>
          <w:rFonts w:ascii="Arial" w:eastAsiaTheme="minorHAnsi" w:hAnsi="Arial" w:cs="Arial"/>
          <w:sz w:val="28"/>
          <w:szCs w:val="28"/>
          <w:lang w:eastAsia="en-US"/>
        </w:rPr>
      </w:pPr>
      <w:r w:rsidRPr="00C67536">
        <w:rPr>
          <w:rFonts w:ascii="Arial" w:hAnsi="Arial" w:cs="Arial"/>
          <w:bCs/>
          <w:sz w:val="28"/>
          <w:szCs w:val="28"/>
        </w:rPr>
        <w:t>En ese orden, el Pleno de esta</w:t>
      </w:r>
      <w:r w:rsidR="00611690" w:rsidRPr="00C67536">
        <w:rPr>
          <w:rFonts w:ascii="Arial" w:hAnsi="Arial" w:cs="Arial"/>
          <w:bCs/>
          <w:sz w:val="28"/>
          <w:szCs w:val="28"/>
        </w:rPr>
        <w:t xml:space="preserve"> Suprema Corte de Justicia de la Nación concluye que, al resultar </w:t>
      </w:r>
      <w:r w:rsidR="009F3715" w:rsidRPr="00C67536">
        <w:rPr>
          <w:rFonts w:ascii="Arial" w:hAnsi="Arial" w:cs="Arial"/>
          <w:bCs/>
          <w:sz w:val="28"/>
          <w:szCs w:val="28"/>
        </w:rPr>
        <w:t>in</w:t>
      </w:r>
      <w:r w:rsidR="00611690" w:rsidRPr="00C67536">
        <w:rPr>
          <w:rFonts w:ascii="Arial" w:hAnsi="Arial" w:cs="Arial"/>
          <w:bCs/>
          <w:sz w:val="28"/>
          <w:szCs w:val="28"/>
        </w:rPr>
        <w:t>fundados</w:t>
      </w:r>
      <w:r w:rsidR="004871C3" w:rsidRPr="00C67536">
        <w:rPr>
          <w:rFonts w:ascii="Arial" w:hAnsi="Arial" w:cs="Arial"/>
          <w:bCs/>
          <w:sz w:val="28"/>
          <w:szCs w:val="28"/>
        </w:rPr>
        <w:t xml:space="preserve"> y fundados pero inoperantes</w:t>
      </w:r>
      <w:r w:rsidR="00611690" w:rsidRPr="00C67536">
        <w:rPr>
          <w:rFonts w:ascii="Arial" w:hAnsi="Arial" w:cs="Arial"/>
          <w:bCs/>
          <w:sz w:val="28"/>
          <w:szCs w:val="28"/>
        </w:rPr>
        <w:t xml:space="preserve"> los agravios, </w:t>
      </w:r>
      <w:r w:rsidR="004871C3" w:rsidRPr="00C67536">
        <w:rPr>
          <w:rFonts w:ascii="Arial" w:hAnsi="Arial" w:cs="Arial"/>
          <w:bCs/>
          <w:sz w:val="28"/>
          <w:szCs w:val="28"/>
        </w:rPr>
        <w:t>lo procedente</w:t>
      </w:r>
      <w:r w:rsidR="00611690" w:rsidRPr="00C67536">
        <w:rPr>
          <w:rFonts w:ascii="Arial" w:hAnsi="Arial" w:cs="Arial"/>
          <w:bCs/>
          <w:sz w:val="28"/>
          <w:szCs w:val="28"/>
        </w:rPr>
        <w:t xml:space="preserve"> </w:t>
      </w:r>
      <w:r w:rsidR="00000C17" w:rsidRPr="00C67536">
        <w:rPr>
          <w:rFonts w:ascii="Arial" w:hAnsi="Arial" w:cs="Arial"/>
          <w:bCs/>
          <w:sz w:val="28"/>
          <w:szCs w:val="28"/>
        </w:rPr>
        <w:t>es</w:t>
      </w:r>
      <w:r w:rsidR="00623558" w:rsidRPr="00C67536">
        <w:rPr>
          <w:rFonts w:ascii="Arial" w:hAnsi="Arial" w:cs="Arial"/>
          <w:bCs/>
          <w:sz w:val="28"/>
          <w:szCs w:val="28"/>
        </w:rPr>
        <w:t>, en la materia de la revisión</w:t>
      </w:r>
      <w:r w:rsidR="00A0361E" w:rsidRPr="00C67536">
        <w:rPr>
          <w:rFonts w:ascii="Arial" w:hAnsi="Arial" w:cs="Arial"/>
          <w:bCs/>
          <w:sz w:val="28"/>
          <w:szCs w:val="28"/>
        </w:rPr>
        <w:t>,</w:t>
      </w:r>
      <w:r w:rsidR="00000C17" w:rsidRPr="00C67536">
        <w:rPr>
          <w:rFonts w:ascii="Arial" w:hAnsi="Arial" w:cs="Arial"/>
          <w:bCs/>
          <w:sz w:val="28"/>
          <w:szCs w:val="28"/>
        </w:rPr>
        <w:t xml:space="preserve"> confirmar la sentencia recurrida y negar</w:t>
      </w:r>
      <w:r w:rsidR="00772545" w:rsidRPr="00C67536">
        <w:rPr>
          <w:rFonts w:ascii="Arial" w:hAnsi="Arial" w:cs="Arial"/>
          <w:bCs/>
          <w:sz w:val="28"/>
          <w:szCs w:val="28"/>
        </w:rPr>
        <w:t xml:space="preserve"> el amparo y protección</w:t>
      </w:r>
      <w:r w:rsidR="00611690" w:rsidRPr="00C67536">
        <w:rPr>
          <w:rFonts w:ascii="Arial" w:hAnsi="Arial" w:cs="Arial"/>
          <w:bCs/>
          <w:sz w:val="28"/>
          <w:szCs w:val="28"/>
        </w:rPr>
        <w:t xml:space="preserve"> de la justicia federal</w:t>
      </w:r>
      <w:r w:rsidR="00772545" w:rsidRPr="00C67536">
        <w:rPr>
          <w:rFonts w:ascii="Arial" w:hAnsi="Arial" w:cs="Arial"/>
          <w:bCs/>
          <w:sz w:val="28"/>
          <w:szCs w:val="28"/>
        </w:rPr>
        <w:t xml:space="preserve">, en términos del </w:t>
      </w:r>
      <w:r w:rsidR="008F5AFB">
        <w:rPr>
          <w:rFonts w:ascii="Arial" w:hAnsi="Arial" w:cs="Arial"/>
          <w:bCs/>
          <w:sz w:val="28"/>
          <w:szCs w:val="28"/>
        </w:rPr>
        <w:t>apartado</w:t>
      </w:r>
      <w:r w:rsidR="00772545" w:rsidRPr="00C67536">
        <w:rPr>
          <w:rFonts w:ascii="Arial" w:hAnsi="Arial" w:cs="Arial"/>
          <w:bCs/>
          <w:sz w:val="28"/>
          <w:szCs w:val="28"/>
        </w:rPr>
        <w:t xml:space="preserve"> sexto de la presente ejecutoria</w:t>
      </w:r>
      <w:r w:rsidR="00D34162" w:rsidRPr="00C67536">
        <w:rPr>
          <w:rFonts w:ascii="Arial" w:hAnsi="Arial" w:cs="Arial"/>
          <w:bCs/>
          <w:sz w:val="28"/>
          <w:szCs w:val="28"/>
        </w:rPr>
        <w:t xml:space="preserve">. Asimismo, </w:t>
      </w:r>
      <w:r w:rsidR="00EC3FF9" w:rsidRPr="00C67536">
        <w:rPr>
          <w:rFonts w:ascii="Arial" w:hAnsi="Arial" w:cs="Arial"/>
          <w:bCs/>
          <w:sz w:val="28"/>
          <w:szCs w:val="28"/>
        </w:rPr>
        <w:t>queda sin</w:t>
      </w:r>
      <w:r w:rsidR="00D34162" w:rsidRPr="00C67536">
        <w:rPr>
          <w:rFonts w:ascii="Arial" w:hAnsi="Arial" w:cs="Arial"/>
          <w:bCs/>
          <w:sz w:val="28"/>
          <w:szCs w:val="28"/>
        </w:rPr>
        <w:t xml:space="preserve"> materia la revisión adhesiva.</w:t>
      </w:r>
    </w:p>
    <w:p w14:paraId="4FF94FAF" w14:textId="77777777" w:rsidR="00611690" w:rsidRPr="00C67536" w:rsidRDefault="00611690" w:rsidP="00611690">
      <w:pPr>
        <w:pStyle w:val="ListParagraph"/>
        <w:spacing w:line="360" w:lineRule="auto"/>
        <w:jc w:val="both"/>
        <w:rPr>
          <w:rFonts w:ascii="Arial" w:hAnsi="Arial" w:cs="Arial"/>
          <w:bCs/>
          <w:sz w:val="28"/>
          <w:szCs w:val="28"/>
        </w:rPr>
      </w:pPr>
      <w:r w:rsidRPr="00C67536">
        <w:rPr>
          <w:rFonts w:ascii="Arial" w:hAnsi="Arial" w:cs="Arial"/>
          <w:bCs/>
          <w:sz w:val="28"/>
          <w:szCs w:val="28"/>
        </w:rPr>
        <w:t>Por lo anteriormente expuesto y fundado, se resuelve:</w:t>
      </w:r>
    </w:p>
    <w:p w14:paraId="555C2DC1" w14:textId="77777777" w:rsidR="007E4E50" w:rsidRPr="00C67536" w:rsidRDefault="007E4E50" w:rsidP="00E11711">
      <w:pPr>
        <w:pStyle w:val="ListParagraph"/>
        <w:jc w:val="both"/>
        <w:rPr>
          <w:rFonts w:ascii="Arial" w:hAnsi="Arial" w:cs="Arial"/>
          <w:b/>
          <w:bCs/>
          <w:sz w:val="28"/>
          <w:szCs w:val="28"/>
        </w:rPr>
      </w:pPr>
    </w:p>
    <w:p w14:paraId="12FE61FB" w14:textId="1A3098A2" w:rsidR="00611690" w:rsidRPr="00C67536" w:rsidRDefault="00611690" w:rsidP="00036096">
      <w:pPr>
        <w:jc w:val="both"/>
        <w:rPr>
          <w:rFonts w:ascii="Arial" w:hAnsi="Arial" w:cs="Arial"/>
          <w:bCs/>
          <w:sz w:val="28"/>
          <w:szCs w:val="28"/>
        </w:rPr>
      </w:pPr>
      <w:r w:rsidRPr="00C67536">
        <w:rPr>
          <w:rFonts w:ascii="Arial" w:hAnsi="Arial" w:cs="Arial"/>
          <w:b/>
          <w:bCs/>
          <w:sz w:val="28"/>
          <w:szCs w:val="28"/>
        </w:rPr>
        <w:t xml:space="preserve">PRIMERO. </w:t>
      </w:r>
      <w:r w:rsidR="002A4CC7" w:rsidRPr="00C67536">
        <w:rPr>
          <w:rFonts w:ascii="Arial" w:hAnsi="Arial" w:cs="Arial"/>
          <w:bCs/>
          <w:sz w:val="28"/>
          <w:szCs w:val="28"/>
        </w:rPr>
        <w:t>En la materi</w:t>
      </w:r>
      <w:r w:rsidR="00F11900" w:rsidRPr="00C67536">
        <w:rPr>
          <w:rFonts w:ascii="Arial" w:hAnsi="Arial" w:cs="Arial"/>
          <w:bCs/>
          <w:sz w:val="28"/>
          <w:szCs w:val="28"/>
        </w:rPr>
        <w:t>a de revisión, se confirma la sentencia recurrida.</w:t>
      </w:r>
    </w:p>
    <w:p w14:paraId="0C05EE2A" w14:textId="77777777" w:rsidR="00611690" w:rsidRPr="00C67536" w:rsidRDefault="00611690" w:rsidP="00611690">
      <w:pPr>
        <w:pStyle w:val="ListParagraph"/>
        <w:rPr>
          <w:rFonts w:ascii="Arial" w:hAnsi="Arial" w:cs="Arial"/>
          <w:bCs/>
          <w:sz w:val="28"/>
          <w:szCs w:val="28"/>
        </w:rPr>
      </w:pPr>
    </w:p>
    <w:p w14:paraId="5B42D788" w14:textId="788F1741" w:rsidR="00373E59" w:rsidRPr="00C67536" w:rsidRDefault="00611690" w:rsidP="00DD6453">
      <w:pPr>
        <w:spacing w:line="360" w:lineRule="auto"/>
        <w:jc w:val="both"/>
        <w:rPr>
          <w:rFonts w:ascii="Arial" w:hAnsi="Arial" w:cs="Arial"/>
          <w:sz w:val="28"/>
          <w:szCs w:val="28"/>
        </w:rPr>
      </w:pPr>
      <w:r w:rsidRPr="00C67536">
        <w:rPr>
          <w:rFonts w:ascii="Arial" w:hAnsi="Arial" w:cs="Arial"/>
          <w:b/>
          <w:bCs/>
          <w:sz w:val="28"/>
          <w:szCs w:val="28"/>
        </w:rPr>
        <w:t xml:space="preserve">SEGUNDO. </w:t>
      </w:r>
      <w:r w:rsidR="00373E59" w:rsidRPr="00C67536">
        <w:rPr>
          <w:rFonts w:ascii="Arial" w:hAnsi="Arial" w:cs="Arial"/>
          <w:bCs/>
          <w:sz w:val="28"/>
          <w:szCs w:val="28"/>
        </w:rPr>
        <w:t xml:space="preserve">La Justicia de la Unión no ampara ni protege a </w:t>
      </w:r>
      <w:r w:rsidR="00373E59" w:rsidRPr="00C67536">
        <w:rPr>
          <w:rFonts w:ascii="Arial" w:hAnsi="Arial" w:cs="Arial"/>
          <w:sz w:val="28"/>
          <w:szCs w:val="28"/>
        </w:rPr>
        <w:t>Desde el Corazón del Fruto, Sociedad Anónima de Capital Variable</w:t>
      </w:r>
      <w:r w:rsidR="004F44BC" w:rsidRPr="00C67536">
        <w:rPr>
          <w:rFonts w:ascii="Arial" w:hAnsi="Arial" w:cs="Arial"/>
          <w:sz w:val="28"/>
          <w:szCs w:val="28"/>
        </w:rPr>
        <w:t xml:space="preserve">, contra los </w:t>
      </w:r>
      <w:r w:rsidR="00373E59" w:rsidRPr="00C67536">
        <w:rPr>
          <w:rFonts w:ascii="Arial" w:hAnsi="Arial" w:cs="Arial"/>
          <w:sz w:val="28"/>
          <w:szCs w:val="28"/>
        </w:rPr>
        <w:t>artículos 212, párrafo tercero, y 215, fracción VI, de la Ley General de Salud, en relación con la Modificación a la Norma Oficial Mexicana NOM-051- SCFI/SSA1</w:t>
      </w:r>
      <w:r w:rsidR="005F2ADC">
        <w:rPr>
          <w:rFonts w:ascii="Arial" w:hAnsi="Arial" w:cs="Arial"/>
          <w:sz w:val="28"/>
          <w:szCs w:val="28"/>
        </w:rPr>
        <w:t>-</w:t>
      </w:r>
      <w:r w:rsidR="00373E59" w:rsidRPr="00C67536">
        <w:rPr>
          <w:rFonts w:ascii="Arial" w:hAnsi="Arial" w:cs="Arial"/>
          <w:sz w:val="28"/>
          <w:szCs w:val="28"/>
        </w:rPr>
        <w:t xml:space="preserve">2010, publicada en </w:t>
      </w:r>
      <w:r w:rsidR="009341F4">
        <w:rPr>
          <w:rFonts w:ascii="Arial" w:hAnsi="Arial" w:cs="Arial"/>
          <w:sz w:val="28"/>
          <w:szCs w:val="28"/>
        </w:rPr>
        <w:t xml:space="preserve">el Diario Oficial de la Federación </w:t>
      </w:r>
      <w:r w:rsidR="00373E59" w:rsidRPr="00C67536">
        <w:rPr>
          <w:rFonts w:ascii="Arial" w:hAnsi="Arial" w:cs="Arial"/>
          <w:sz w:val="28"/>
          <w:szCs w:val="28"/>
        </w:rPr>
        <w:t xml:space="preserve">el veintisiete de marzo de dos mil veinte, específicamente por lo que hace a los numerales 1, 4.5.3.4 al 4.5.3.4.7 y 7.1.3, y el apéndice A (normativo), así como de la Nota Aclaratoria </w:t>
      </w:r>
      <w:r w:rsidR="0052018D" w:rsidRPr="00C67536">
        <w:rPr>
          <w:rFonts w:ascii="Arial" w:hAnsi="Arial" w:cs="Arial"/>
          <w:sz w:val="28"/>
          <w:szCs w:val="28"/>
        </w:rPr>
        <w:t>a dicha norma.</w:t>
      </w:r>
    </w:p>
    <w:p w14:paraId="56565932" w14:textId="77777777" w:rsidR="00B94111" w:rsidRPr="00C67536" w:rsidRDefault="00B94111" w:rsidP="00B94111">
      <w:pPr>
        <w:pStyle w:val="ListParagraph"/>
        <w:jc w:val="both"/>
        <w:rPr>
          <w:rFonts w:ascii="Arial" w:hAnsi="Arial" w:cs="Arial"/>
          <w:b/>
          <w:sz w:val="28"/>
          <w:szCs w:val="28"/>
        </w:rPr>
      </w:pPr>
    </w:p>
    <w:p w14:paraId="12B26D7A" w14:textId="743CAA18" w:rsidR="00B94111" w:rsidRPr="00C67536" w:rsidRDefault="00B94111" w:rsidP="00036096">
      <w:pPr>
        <w:jc w:val="both"/>
        <w:rPr>
          <w:rFonts w:ascii="Arial" w:hAnsi="Arial" w:cs="Arial"/>
          <w:bCs/>
          <w:sz w:val="28"/>
          <w:szCs w:val="28"/>
        </w:rPr>
      </w:pPr>
      <w:r w:rsidRPr="00C67536">
        <w:rPr>
          <w:rFonts w:ascii="Arial" w:hAnsi="Arial" w:cs="Arial"/>
          <w:b/>
          <w:sz w:val="28"/>
          <w:szCs w:val="28"/>
        </w:rPr>
        <w:t xml:space="preserve">TERCERO. </w:t>
      </w:r>
      <w:r w:rsidRPr="00C67536">
        <w:rPr>
          <w:rFonts w:ascii="Arial" w:hAnsi="Arial" w:cs="Arial"/>
          <w:bCs/>
          <w:sz w:val="28"/>
          <w:szCs w:val="28"/>
        </w:rPr>
        <w:t xml:space="preserve">Queda sin materia la revisión adhesiva. </w:t>
      </w:r>
    </w:p>
    <w:p w14:paraId="567F6F0E" w14:textId="77777777" w:rsidR="00611690" w:rsidRPr="00C67536" w:rsidRDefault="00611690" w:rsidP="00611690">
      <w:pPr>
        <w:pStyle w:val="ListParagraph"/>
        <w:rPr>
          <w:rFonts w:ascii="Arial" w:hAnsi="Arial" w:cs="Arial"/>
          <w:bCs/>
          <w:sz w:val="28"/>
          <w:szCs w:val="28"/>
        </w:rPr>
      </w:pPr>
    </w:p>
    <w:p w14:paraId="719B41EF" w14:textId="77777777" w:rsidR="000D08D7" w:rsidRDefault="00611690" w:rsidP="00E47E54">
      <w:pPr>
        <w:pStyle w:val="ListParagraph"/>
        <w:spacing w:line="360" w:lineRule="auto"/>
        <w:ind w:left="0"/>
        <w:jc w:val="both"/>
        <w:rPr>
          <w:rFonts w:ascii="Arial" w:hAnsi="Arial" w:cs="Arial"/>
          <w:bCs/>
          <w:sz w:val="28"/>
          <w:szCs w:val="28"/>
        </w:rPr>
      </w:pPr>
      <w:r w:rsidRPr="00C67536">
        <w:rPr>
          <w:rFonts w:ascii="Arial" w:hAnsi="Arial" w:cs="Arial"/>
          <w:b/>
          <w:bCs/>
          <w:sz w:val="28"/>
          <w:szCs w:val="28"/>
          <w:lang w:val="es-ES_tradnl"/>
        </w:rPr>
        <w:t>Notifíquese</w:t>
      </w:r>
      <w:r w:rsidR="00036096" w:rsidRPr="00C67536">
        <w:rPr>
          <w:rFonts w:ascii="Arial" w:hAnsi="Arial" w:cs="Arial"/>
          <w:b/>
          <w:bCs/>
          <w:sz w:val="28"/>
          <w:szCs w:val="28"/>
          <w:lang w:val="es-ES_tradnl"/>
        </w:rPr>
        <w:t>;</w:t>
      </w:r>
      <w:r w:rsidRPr="00C67536">
        <w:rPr>
          <w:rFonts w:ascii="Arial" w:hAnsi="Arial" w:cs="Arial"/>
          <w:bCs/>
          <w:sz w:val="28"/>
          <w:szCs w:val="28"/>
          <w:lang w:val="es-ES_tradnl"/>
        </w:rPr>
        <w:t xml:space="preserve"> con testimonio de esta ejecutoria </w:t>
      </w:r>
      <w:r w:rsidR="00E47E54" w:rsidRPr="00C67536">
        <w:rPr>
          <w:rFonts w:ascii="Arial" w:hAnsi="Arial" w:cs="Arial"/>
          <w:bCs/>
          <w:sz w:val="28"/>
          <w:szCs w:val="28"/>
        </w:rPr>
        <w:t>devuélvanse los autos a su lugar de origen</w:t>
      </w:r>
      <w:r w:rsidR="000D08D7">
        <w:rPr>
          <w:rFonts w:ascii="Arial" w:hAnsi="Arial" w:cs="Arial"/>
          <w:bCs/>
          <w:sz w:val="28"/>
          <w:szCs w:val="28"/>
        </w:rPr>
        <w:t>.</w:t>
      </w:r>
    </w:p>
    <w:p w14:paraId="7F468D40" w14:textId="77777777" w:rsidR="000D08D7" w:rsidRDefault="000D08D7" w:rsidP="00E47E54">
      <w:pPr>
        <w:pStyle w:val="ListParagraph"/>
        <w:spacing w:line="360" w:lineRule="auto"/>
        <w:ind w:left="0"/>
        <w:jc w:val="both"/>
        <w:rPr>
          <w:rFonts w:ascii="Arial" w:hAnsi="Arial" w:cs="Arial"/>
          <w:sz w:val="28"/>
          <w:szCs w:val="28"/>
        </w:rPr>
      </w:pPr>
    </w:p>
    <w:p w14:paraId="4B4ABC8B" w14:textId="544BE96B" w:rsidR="00E548C3" w:rsidRPr="00C67536" w:rsidRDefault="00E548C3" w:rsidP="000D08D7">
      <w:pPr>
        <w:pStyle w:val="ListParagraph"/>
        <w:spacing w:line="360" w:lineRule="auto"/>
        <w:ind w:left="0" w:firstLine="708"/>
        <w:jc w:val="both"/>
        <w:rPr>
          <w:rFonts w:ascii="Arial" w:hAnsi="Arial" w:cs="Arial"/>
          <w:sz w:val="28"/>
          <w:szCs w:val="28"/>
        </w:rPr>
      </w:pPr>
      <w:r w:rsidRPr="00C67536">
        <w:rPr>
          <w:rFonts w:ascii="Arial" w:hAnsi="Arial" w:cs="Arial"/>
          <w:sz w:val="28"/>
          <w:szCs w:val="28"/>
        </w:rPr>
        <w:t>Así lo resolvió el Pleno de la Suprema Corte de Justicia de la Nación:</w:t>
      </w:r>
    </w:p>
    <w:p w14:paraId="0D3009A0" w14:textId="77777777" w:rsidR="00E548C3" w:rsidRPr="00C67536" w:rsidRDefault="00E548C3" w:rsidP="00E548C3">
      <w:pPr>
        <w:spacing w:before="100" w:beforeAutospacing="1" w:line="360" w:lineRule="auto"/>
        <w:ind w:firstLine="708"/>
        <w:jc w:val="both"/>
        <w:rPr>
          <w:rFonts w:ascii="Arial" w:hAnsi="Arial" w:cs="Arial"/>
          <w:b/>
          <w:sz w:val="28"/>
          <w:szCs w:val="28"/>
        </w:rPr>
      </w:pPr>
      <w:r w:rsidRPr="00C67536">
        <w:rPr>
          <w:rFonts w:ascii="Arial" w:hAnsi="Arial" w:cs="Arial"/>
          <w:b/>
          <w:sz w:val="28"/>
          <w:szCs w:val="28"/>
        </w:rPr>
        <w:t>En relación con el punto resolutivo primero:</w:t>
      </w:r>
    </w:p>
    <w:p w14:paraId="06EDEC89" w14:textId="77777777" w:rsidR="00E548C3" w:rsidRPr="00C67536" w:rsidRDefault="00E548C3" w:rsidP="00E548C3">
      <w:pPr>
        <w:spacing w:before="100" w:beforeAutospacing="1" w:line="360" w:lineRule="auto"/>
        <w:ind w:firstLine="708"/>
        <w:jc w:val="both"/>
        <w:rPr>
          <w:rFonts w:ascii="Arial" w:hAnsi="Arial" w:cs="Arial"/>
          <w:sz w:val="28"/>
          <w:szCs w:val="28"/>
          <w:lang w:val="es-ES" w:eastAsia="es-ES"/>
        </w:rPr>
      </w:pPr>
      <w:r w:rsidRPr="00C67536">
        <w:rPr>
          <w:rFonts w:ascii="Arial" w:hAnsi="Arial" w:cs="Arial"/>
          <w:sz w:val="28"/>
          <w:szCs w:val="28"/>
          <w:lang w:eastAsia="es-ES"/>
        </w:rPr>
        <w:t xml:space="preserve">Se aprobó por unanimidad de once votos de las señoras Ministras y de los señores Ministros </w:t>
      </w:r>
      <w:r w:rsidRPr="00C67536">
        <w:rPr>
          <w:rFonts w:ascii="Arial" w:hAnsi="Arial" w:cs="Arial"/>
          <w:sz w:val="28"/>
          <w:szCs w:val="28"/>
          <w:lang w:val="es-ES" w:eastAsia="es-ES"/>
        </w:rPr>
        <w:t xml:space="preserve">Gutiérrez Ortiz Mena, González Alcántara Carrancá, Esquivel </w:t>
      </w:r>
      <w:proofErr w:type="spellStart"/>
      <w:r w:rsidRPr="00C67536">
        <w:rPr>
          <w:rFonts w:ascii="Arial" w:hAnsi="Arial" w:cs="Arial"/>
          <w:sz w:val="28"/>
          <w:szCs w:val="28"/>
          <w:lang w:val="es-ES" w:eastAsia="es-ES"/>
        </w:rPr>
        <w:t>Mossa</w:t>
      </w:r>
      <w:proofErr w:type="spellEnd"/>
      <w:r w:rsidRPr="00C67536">
        <w:rPr>
          <w:rFonts w:ascii="Arial" w:hAnsi="Arial" w:cs="Arial"/>
          <w:sz w:val="28"/>
          <w:szCs w:val="28"/>
          <w:lang w:val="es-ES" w:eastAsia="es-ES"/>
        </w:rPr>
        <w:t xml:space="preserve">, Ortiz </w:t>
      </w:r>
      <w:proofErr w:type="spellStart"/>
      <w:r w:rsidRPr="00C67536">
        <w:rPr>
          <w:rFonts w:ascii="Arial" w:hAnsi="Arial" w:cs="Arial"/>
          <w:sz w:val="28"/>
          <w:szCs w:val="28"/>
          <w:lang w:val="es-ES" w:eastAsia="es-ES"/>
        </w:rPr>
        <w:t>Ahlf</w:t>
      </w:r>
      <w:proofErr w:type="spellEnd"/>
      <w:r w:rsidRPr="00C67536">
        <w:rPr>
          <w:rFonts w:ascii="Arial" w:hAnsi="Arial" w:cs="Arial"/>
          <w:sz w:val="28"/>
          <w:szCs w:val="28"/>
          <w:lang w:val="es-ES" w:eastAsia="es-ES"/>
        </w:rPr>
        <w:t xml:space="preserve">, Aguilar Morales, Pardo Rebolledo, Batres Guadarrama, Ríos </w:t>
      </w:r>
      <w:proofErr w:type="spellStart"/>
      <w:r w:rsidRPr="00C67536">
        <w:rPr>
          <w:rFonts w:ascii="Arial" w:hAnsi="Arial" w:cs="Arial"/>
          <w:sz w:val="28"/>
          <w:szCs w:val="28"/>
          <w:lang w:val="es-ES" w:eastAsia="es-ES"/>
        </w:rPr>
        <w:t>Farjat</w:t>
      </w:r>
      <w:proofErr w:type="spellEnd"/>
      <w:r w:rsidRPr="00C67536">
        <w:rPr>
          <w:rFonts w:ascii="Arial" w:hAnsi="Arial" w:cs="Arial"/>
          <w:sz w:val="28"/>
          <w:szCs w:val="28"/>
          <w:lang w:val="es-ES" w:eastAsia="es-ES"/>
        </w:rPr>
        <w:t>, Laynez Potisek, Pérez Dayán y Presidenta Piña Hernández</w:t>
      </w:r>
      <w:r w:rsidRPr="00C67536">
        <w:rPr>
          <w:rFonts w:ascii="Arial" w:hAnsi="Arial" w:cs="Arial"/>
          <w:sz w:val="28"/>
          <w:szCs w:val="28"/>
          <w:lang w:eastAsia="es-ES"/>
        </w:rPr>
        <w:t>, respecto de los apartados del I al V relativos, respectivamente, a la competencia, a la oportunidad, a la legitimación, a las causas de improcedencia y a la precisión de la litis</w:t>
      </w:r>
      <w:r w:rsidRPr="00C67536">
        <w:rPr>
          <w:rFonts w:ascii="Arial" w:hAnsi="Arial" w:cs="Arial"/>
          <w:sz w:val="28"/>
          <w:szCs w:val="28"/>
          <w:lang w:val="es-ES" w:eastAsia="es-ES"/>
        </w:rPr>
        <w:t>.</w:t>
      </w:r>
    </w:p>
    <w:p w14:paraId="7097FA17" w14:textId="77777777" w:rsidR="00E548C3" w:rsidRPr="00C67536" w:rsidRDefault="00E548C3" w:rsidP="00E548C3">
      <w:pPr>
        <w:spacing w:before="100" w:beforeAutospacing="1" w:line="360" w:lineRule="auto"/>
        <w:ind w:firstLine="708"/>
        <w:jc w:val="both"/>
        <w:rPr>
          <w:rFonts w:ascii="Arial" w:hAnsi="Arial" w:cs="Arial"/>
          <w:b/>
          <w:sz w:val="28"/>
          <w:szCs w:val="28"/>
        </w:rPr>
      </w:pPr>
      <w:r w:rsidRPr="00C67536">
        <w:rPr>
          <w:rFonts w:ascii="Arial" w:hAnsi="Arial" w:cs="Arial"/>
          <w:b/>
          <w:sz w:val="28"/>
          <w:szCs w:val="28"/>
        </w:rPr>
        <w:t>En relación con el punto resolutivo segundo:</w:t>
      </w:r>
    </w:p>
    <w:p w14:paraId="116238A6" w14:textId="062DCC67" w:rsidR="00E548C3" w:rsidRPr="00C67536" w:rsidRDefault="00E548C3" w:rsidP="00E548C3">
      <w:pPr>
        <w:spacing w:before="100" w:beforeAutospacing="1" w:line="360" w:lineRule="auto"/>
        <w:ind w:firstLine="708"/>
        <w:jc w:val="both"/>
        <w:rPr>
          <w:rFonts w:ascii="Arial" w:hAnsi="Arial" w:cs="Arial"/>
          <w:b/>
          <w:sz w:val="28"/>
          <w:szCs w:val="28"/>
        </w:rPr>
      </w:pPr>
      <w:r w:rsidRPr="00C67536">
        <w:rPr>
          <w:rFonts w:ascii="Arial" w:hAnsi="Arial" w:cs="Arial"/>
          <w:sz w:val="28"/>
          <w:szCs w:val="28"/>
          <w:lang w:eastAsia="es-ES"/>
        </w:rPr>
        <w:t xml:space="preserve">Se aprobó por unanimidad de once votos de las señoras Ministras y de los señores Ministros </w:t>
      </w:r>
      <w:r w:rsidRPr="00C67536">
        <w:rPr>
          <w:rFonts w:ascii="Arial" w:hAnsi="Arial" w:cs="Arial"/>
          <w:sz w:val="28"/>
          <w:szCs w:val="28"/>
          <w:lang w:val="es-ES" w:eastAsia="es-ES"/>
        </w:rPr>
        <w:t>Gutiérrez Ortiz Mena apartándose de las consideraciones, González Alcántara Carrancá separándose de los párrafos</w:t>
      </w:r>
      <w:r w:rsidR="00373EFC" w:rsidRPr="00C67536">
        <w:rPr>
          <w:rFonts w:ascii="Arial" w:hAnsi="Arial" w:cs="Arial"/>
          <w:sz w:val="28"/>
          <w:szCs w:val="28"/>
          <w:lang w:val="es-ES" w:eastAsia="es-ES"/>
        </w:rPr>
        <w:t xml:space="preserve"> </w:t>
      </w:r>
      <w:r w:rsidR="007237A7" w:rsidRPr="00C67536">
        <w:rPr>
          <w:rFonts w:ascii="Arial" w:hAnsi="Arial" w:cs="Arial"/>
          <w:sz w:val="28"/>
          <w:szCs w:val="28"/>
          <w:lang w:val="es-ES" w:eastAsia="es-ES"/>
        </w:rPr>
        <w:t>60 y 62 conforme al engrose (en el proyecto original</w:t>
      </w:r>
      <w:r w:rsidR="005B4B10" w:rsidRPr="00C67536">
        <w:rPr>
          <w:rFonts w:ascii="Arial" w:hAnsi="Arial" w:cs="Arial"/>
          <w:sz w:val="28"/>
          <w:szCs w:val="28"/>
          <w:lang w:val="es-ES" w:eastAsia="es-ES"/>
        </w:rPr>
        <w:t xml:space="preserve"> párrafos</w:t>
      </w:r>
      <w:r w:rsidR="007237A7" w:rsidRPr="00C67536">
        <w:rPr>
          <w:rFonts w:ascii="Arial" w:hAnsi="Arial" w:cs="Arial"/>
          <w:sz w:val="28"/>
          <w:szCs w:val="28"/>
          <w:lang w:val="es-ES" w:eastAsia="es-ES"/>
        </w:rPr>
        <w:t xml:space="preserve"> </w:t>
      </w:r>
      <w:r w:rsidRPr="00C67536">
        <w:rPr>
          <w:rFonts w:ascii="Arial" w:hAnsi="Arial" w:cs="Arial"/>
          <w:sz w:val="28"/>
          <w:szCs w:val="28"/>
          <w:lang w:val="es-ES" w:eastAsia="es-ES"/>
        </w:rPr>
        <w:t>58 y 60</w:t>
      </w:r>
      <w:r w:rsidR="005B4B10" w:rsidRPr="00C67536">
        <w:rPr>
          <w:rFonts w:ascii="Arial" w:hAnsi="Arial" w:cs="Arial"/>
          <w:sz w:val="28"/>
          <w:szCs w:val="28"/>
          <w:lang w:val="es-ES" w:eastAsia="es-ES"/>
        </w:rPr>
        <w:t>)</w:t>
      </w:r>
      <w:r w:rsidRPr="00C67536">
        <w:rPr>
          <w:rFonts w:ascii="Arial" w:hAnsi="Arial" w:cs="Arial"/>
          <w:sz w:val="28"/>
          <w:szCs w:val="28"/>
          <w:lang w:val="es-ES" w:eastAsia="es-ES"/>
        </w:rPr>
        <w:t xml:space="preserve"> y las consideraciones del tema 2, Esquivel </w:t>
      </w:r>
      <w:proofErr w:type="spellStart"/>
      <w:r w:rsidRPr="00C67536">
        <w:rPr>
          <w:rFonts w:ascii="Arial" w:hAnsi="Arial" w:cs="Arial"/>
          <w:sz w:val="28"/>
          <w:szCs w:val="28"/>
          <w:lang w:val="es-ES" w:eastAsia="es-ES"/>
        </w:rPr>
        <w:t>Mossa</w:t>
      </w:r>
      <w:proofErr w:type="spellEnd"/>
      <w:r w:rsidRPr="00C67536">
        <w:rPr>
          <w:rFonts w:ascii="Arial" w:hAnsi="Arial" w:cs="Arial"/>
          <w:sz w:val="28"/>
          <w:szCs w:val="28"/>
          <w:lang w:val="es-ES" w:eastAsia="es-ES"/>
        </w:rPr>
        <w:t xml:space="preserve">, Ortiz </w:t>
      </w:r>
      <w:proofErr w:type="spellStart"/>
      <w:r w:rsidRPr="00C67536">
        <w:rPr>
          <w:rFonts w:ascii="Arial" w:hAnsi="Arial" w:cs="Arial"/>
          <w:sz w:val="28"/>
          <w:szCs w:val="28"/>
          <w:lang w:val="es-ES" w:eastAsia="es-ES"/>
        </w:rPr>
        <w:t>Ahlf</w:t>
      </w:r>
      <w:proofErr w:type="spellEnd"/>
      <w:r w:rsidR="00B310FD" w:rsidRPr="00C67536">
        <w:rPr>
          <w:rFonts w:ascii="Arial" w:hAnsi="Arial" w:cs="Arial"/>
          <w:sz w:val="28"/>
          <w:szCs w:val="28"/>
          <w:lang w:val="es-ES" w:eastAsia="es-ES"/>
        </w:rPr>
        <w:t xml:space="preserve"> (en el proyecto original se separó</w:t>
      </w:r>
      <w:r w:rsidRPr="00C67536">
        <w:rPr>
          <w:rFonts w:ascii="Arial" w:hAnsi="Arial" w:cs="Arial"/>
          <w:sz w:val="28"/>
          <w:szCs w:val="28"/>
          <w:lang w:val="es-ES" w:eastAsia="es-ES"/>
        </w:rPr>
        <w:t xml:space="preserve"> de los párrafos 216 y del 231 al 234,</w:t>
      </w:r>
      <w:r w:rsidR="00B310FD" w:rsidRPr="00C67536">
        <w:rPr>
          <w:rFonts w:ascii="Arial" w:hAnsi="Arial" w:cs="Arial"/>
          <w:sz w:val="28"/>
          <w:szCs w:val="28"/>
          <w:lang w:val="es-ES" w:eastAsia="es-ES"/>
        </w:rPr>
        <w:t xml:space="preserve"> sin embargo, al cambiar la metodología desaparecieron esos párrafos)</w:t>
      </w:r>
      <w:r w:rsidR="00601B4B" w:rsidRPr="00C67536">
        <w:rPr>
          <w:rFonts w:ascii="Arial" w:hAnsi="Arial" w:cs="Arial"/>
          <w:sz w:val="28"/>
          <w:szCs w:val="28"/>
          <w:lang w:val="es-ES" w:eastAsia="es-ES"/>
        </w:rPr>
        <w:t>,</w:t>
      </w:r>
      <w:r w:rsidRPr="00C67536">
        <w:rPr>
          <w:rFonts w:ascii="Arial" w:hAnsi="Arial" w:cs="Arial"/>
          <w:sz w:val="28"/>
          <w:szCs w:val="28"/>
          <w:lang w:val="es-ES" w:eastAsia="es-ES"/>
        </w:rPr>
        <w:t xml:space="preserve"> Aguilar Morales </w:t>
      </w:r>
      <w:r w:rsidR="00854FEB" w:rsidRPr="00C67536">
        <w:rPr>
          <w:rFonts w:ascii="Arial" w:hAnsi="Arial" w:cs="Arial"/>
          <w:sz w:val="28"/>
          <w:szCs w:val="28"/>
          <w:lang w:val="es-ES" w:eastAsia="es-ES"/>
        </w:rPr>
        <w:t>por consideraciones diversas y separándose de consideraciones</w:t>
      </w:r>
      <w:r w:rsidRPr="00C67536">
        <w:rPr>
          <w:rFonts w:ascii="Arial" w:hAnsi="Arial" w:cs="Arial"/>
          <w:sz w:val="28"/>
          <w:szCs w:val="28"/>
          <w:lang w:val="es-ES" w:eastAsia="es-ES"/>
        </w:rPr>
        <w:t xml:space="preserve">, Pardo Rebolledo separándose de algunas consideraciones, Batres Guadarrama con consideraciones diversas, Ríos </w:t>
      </w:r>
      <w:proofErr w:type="spellStart"/>
      <w:r w:rsidRPr="00C67536">
        <w:rPr>
          <w:rFonts w:ascii="Arial" w:hAnsi="Arial" w:cs="Arial"/>
          <w:sz w:val="28"/>
          <w:szCs w:val="28"/>
          <w:lang w:val="es-ES" w:eastAsia="es-ES"/>
        </w:rPr>
        <w:t>Farjat</w:t>
      </w:r>
      <w:proofErr w:type="spellEnd"/>
      <w:r w:rsidRPr="00C67536">
        <w:rPr>
          <w:rFonts w:ascii="Arial" w:hAnsi="Arial" w:cs="Arial"/>
          <w:sz w:val="28"/>
          <w:szCs w:val="28"/>
          <w:lang w:val="es-ES" w:eastAsia="es-ES"/>
        </w:rPr>
        <w:t>, Laynez Potisek, Pérez Dayán y Presidenta Piña Hernández por razones distintas</w:t>
      </w:r>
      <w:r w:rsidRPr="00C67536">
        <w:rPr>
          <w:rFonts w:ascii="Arial" w:hAnsi="Arial" w:cs="Arial"/>
          <w:sz w:val="28"/>
          <w:szCs w:val="28"/>
          <w:lang w:eastAsia="es-ES"/>
        </w:rPr>
        <w:t xml:space="preserve">, respecto del </w:t>
      </w:r>
      <w:r w:rsidRPr="00C67536">
        <w:rPr>
          <w:rFonts w:ascii="Arial" w:hAnsi="Arial" w:cs="Arial"/>
          <w:sz w:val="28"/>
          <w:szCs w:val="28"/>
          <w:lang w:val="es-ES" w:eastAsia="es-ES"/>
        </w:rPr>
        <w:t xml:space="preserve">apartado VI, relativo al estudio de fondo, consistente en declarar infundados y fundado, pero inoperante, los conceptos de violación respectivos. La señora </w:t>
      </w:r>
      <w:proofErr w:type="gramStart"/>
      <w:r w:rsidRPr="00C67536">
        <w:rPr>
          <w:rFonts w:ascii="Arial" w:hAnsi="Arial" w:cs="Arial"/>
          <w:sz w:val="28"/>
          <w:szCs w:val="28"/>
          <w:lang w:val="es-ES" w:eastAsia="es-ES"/>
        </w:rPr>
        <w:t>Ministra</w:t>
      </w:r>
      <w:proofErr w:type="gramEnd"/>
      <w:r w:rsidRPr="00C67536">
        <w:rPr>
          <w:rFonts w:ascii="Arial" w:hAnsi="Arial" w:cs="Arial"/>
          <w:sz w:val="28"/>
          <w:szCs w:val="28"/>
          <w:lang w:val="es-ES" w:eastAsia="es-ES"/>
        </w:rPr>
        <w:t xml:space="preserve"> y los señores Ministros Gutiérrez Ortiz Mena, Aguilar Morales, Laynez Potisek y Presidenta Piña Hernández anunciaron sendos votos concurrentes.</w:t>
      </w:r>
    </w:p>
    <w:p w14:paraId="0023E830" w14:textId="77777777" w:rsidR="00E548C3" w:rsidRPr="00C67536" w:rsidRDefault="00E548C3" w:rsidP="00E548C3">
      <w:pPr>
        <w:spacing w:before="100" w:beforeAutospacing="1" w:line="360" w:lineRule="auto"/>
        <w:ind w:firstLine="708"/>
        <w:jc w:val="both"/>
        <w:rPr>
          <w:rFonts w:ascii="Arial" w:hAnsi="Arial" w:cs="Arial"/>
          <w:b/>
          <w:sz w:val="28"/>
          <w:szCs w:val="28"/>
        </w:rPr>
      </w:pPr>
      <w:r w:rsidRPr="00C67536">
        <w:rPr>
          <w:rFonts w:ascii="Arial" w:hAnsi="Arial" w:cs="Arial"/>
          <w:b/>
          <w:sz w:val="28"/>
          <w:szCs w:val="28"/>
        </w:rPr>
        <w:t>En relación con el punto resolutivo tercero:</w:t>
      </w:r>
    </w:p>
    <w:p w14:paraId="7C8F2F88" w14:textId="77777777" w:rsidR="00E548C3" w:rsidRPr="00C67536" w:rsidRDefault="00E548C3" w:rsidP="00E548C3">
      <w:pPr>
        <w:spacing w:before="100" w:beforeAutospacing="1" w:line="360" w:lineRule="auto"/>
        <w:ind w:firstLine="708"/>
        <w:jc w:val="both"/>
        <w:rPr>
          <w:rFonts w:ascii="Arial" w:hAnsi="Arial" w:cs="Arial"/>
          <w:sz w:val="28"/>
          <w:szCs w:val="28"/>
          <w:lang w:val="es-ES" w:eastAsia="es-ES"/>
        </w:rPr>
      </w:pPr>
      <w:r w:rsidRPr="00C67536">
        <w:rPr>
          <w:rFonts w:ascii="Arial" w:hAnsi="Arial" w:cs="Arial"/>
          <w:sz w:val="28"/>
          <w:szCs w:val="28"/>
          <w:lang w:eastAsia="es-ES"/>
        </w:rPr>
        <w:t xml:space="preserve">Se aprobó por unanimidad de once votos de las señoras Ministras y de los señores Ministros </w:t>
      </w:r>
      <w:r w:rsidRPr="00C67536">
        <w:rPr>
          <w:rFonts w:ascii="Arial" w:hAnsi="Arial" w:cs="Arial"/>
          <w:sz w:val="28"/>
          <w:szCs w:val="28"/>
          <w:lang w:val="es-ES" w:eastAsia="es-ES"/>
        </w:rPr>
        <w:t xml:space="preserve">Gutiérrez Ortiz Mena, González Alcántara Carrancá, Esquivel </w:t>
      </w:r>
      <w:proofErr w:type="spellStart"/>
      <w:r w:rsidRPr="00C67536">
        <w:rPr>
          <w:rFonts w:ascii="Arial" w:hAnsi="Arial" w:cs="Arial"/>
          <w:sz w:val="28"/>
          <w:szCs w:val="28"/>
          <w:lang w:val="es-ES" w:eastAsia="es-ES"/>
        </w:rPr>
        <w:t>Mossa</w:t>
      </w:r>
      <w:proofErr w:type="spellEnd"/>
      <w:r w:rsidRPr="00C67536">
        <w:rPr>
          <w:rFonts w:ascii="Arial" w:hAnsi="Arial" w:cs="Arial"/>
          <w:sz w:val="28"/>
          <w:szCs w:val="28"/>
          <w:lang w:val="es-ES" w:eastAsia="es-ES"/>
        </w:rPr>
        <w:t xml:space="preserve">, Ortiz </w:t>
      </w:r>
      <w:proofErr w:type="spellStart"/>
      <w:r w:rsidRPr="00C67536">
        <w:rPr>
          <w:rFonts w:ascii="Arial" w:hAnsi="Arial" w:cs="Arial"/>
          <w:sz w:val="28"/>
          <w:szCs w:val="28"/>
          <w:lang w:val="es-ES" w:eastAsia="es-ES"/>
        </w:rPr>
        <w:t>Ahlf</w:t>
      </w:r>
      <w:proofErr w:type="spellEnd"/>
      <w:r w:rsidRPr="00C67536">
        <w:rPr>
          <w:rFonts w:ascii="Arial" w:hAnsi="Arial" w:cs="Arial"/>
          <w:sz w:val="28"/>
          <w:szCs w:val="28"/>
          <w:lang w:val="es-ES" w:eastAsia="es-ES"/>
        </w:rPr>
        <w:t xml:space="preserve">, Aguilar Morales, Pardo Rebolledo, Batres Guadarrama, Ríos </w:t>
      </w:r>
      <w:proofErr w:type="spellStart"/>
      <w:r w:rsidRPr="00C67536">
        <w:rPr>
          <w:rFonts w:ascii="Arial" w:hAnsi="Arial" w:cs="Arial"/>
          <w:sz w:val="28"/>
          <w:szCs w:val="28"/>
          <w:lang w:val="es-ES" w:eastAsia="es-ES"/>
        </w:rPr>
        <w:t>Farjat</w:t>
      </w:r>
      <w:proofErr w:type="spellEnd"/>
      <w:r w:rsidRPr="00C67536">
        <w:rPr>
          <w:rFonts w:ascii="Arial" w:hAnsi="Arial" w:cs="Arial"/>
          <w:sz w:val="28"/>
          <w:szCs w:val="28"/>
          <w:lang w:val="es-ES" w:eastAsia="es-ES"/>
        </w:rPr>
        <w:t>, Laynez Potisek, Pérez Dayán y Presidenta Piña Hernández</w:t>
      </w:r>
      <w:r w:rsidRPr="00C67536">
        <w:rPr>
          <w:rFonts w:ascii="Arial" w:hAnsi="Arial" w:cs="Arial"/>
          <w:sz w:val="28"/>
          <w:szCs w:val="28"/>
          <w:lang w:eastAsia="es-ES"/>
        </w:rPr>
        <w:t xml:space="preserve">, respecto del </w:t>
      </w:r>
      <w:r w:rsidRPr="00C67536">
        <w:rPr>
          <w:rFonts w:ascii="Arial" w:hAnsi="Arial" w:cs="Arial"/>
          <w:sz w:val="28"/>
          <w:szCs w:val="28"/>
          <w:lang w:val="es-ES" w:eastAsia="es-ES"/>
        </w:rPr>
        <w:t>apartado VII, relativo a la revisión adhesiva, consistente en declarar la adhesión sin materia por su naturaleza accesoria.</w:t>
      </w:r>
    </w:p>
    <w:p w14:paraId="65F328BD" w14:textId="77777777" w:rsidR="004D7C0C" w:rsidRPr="00C67536" w:rsidRDefault="004D7C0C" w:rsidP="00B73DBA">
      <w:pPr>
        <w:pStyle w:val="corte4fondo"/>
        <w:pBdr>
          <w:top w:val="nil"/>
          <w:left w:val="nil"/>
          <w:bottom w:val="nil"/>
          <w:right w:val="nil"/>
          <w:between w:val="nil"/>
          <w:bar w:val="nil"/>
        </w:pBdr>
        <w:tabs>
          <w:tab w:val="left" w:pos="4922"/>
        </w:tabs>
        <w:spacing w:line="240" w:lineRule="auto"/>
        <w:ind w:firstLine="0"/>
        <w:rPr>
          <w:rFonts w:cs="Arial"/>
          <w:sz w:val="28"/>
          <w:szCs w:val="28"/>
          <w:lang w:val="es-ES" w:eastAsia="es-ES"/>
        </w:rPr>
      </w:pPr>
    </w:p>
    <w:p w14:paraId="7F9DF68A" w14:textId="14ECB0FC" w:rsidR="005C2329" w:rsidRPr="00C67536" w:rsidRDefault="00E548C3" w:rsidP="00E548C3">
      <w:pPr>
        <w:pStyle w:val="corte4fondo"/>
        <w:pBdr>
          <w:top w:val="nil"/>
          <w:left w:val="nil"/>
          <w:bottom w:val="nil"/>
          <w:right w:val="nil"/>
          <w:between w:val="nil"/>
          <w:bar w:val="nil"/>
        </w:pBdr>
        <w:tabs>
          <w:tab w:val="left" w:pos="4922"/>
        </w:tabs>
        <w:ind w:firstLine="0"/>
        <w:rPr>
          <w:rFonts w:cs="Arial"/>
          <w:sz w:val="28"/>
          <w:szCs w:val="28"/>
          <w:lang w:val="es-ES" w:eastAsia="es-ES"/>
        </w:rPr>
      </w:pPr>
      <w:r w:rsidRPr="00C67536">
        <w:rPr>
          <w:rFonts w:cs="Arial"/>
          <w:sz w:val="28"/>
          <w:szCs w:val="28"/>
          <w:lang w:val="es-ES" w:eastAsia="es-ES"/>
        </w:rPr>
        <w:t>La señora Ministra Presidenta Piña Hernández declaró que el asunto se resolvió en los términos precisados.</w:t>
      </w:r>
    </w:p>
    <w:p w14:paraId="63C24476" w14:textId="77777777" w:rsidR="004D7C0C" w:rsidRPr="00C67536" w:rsidRDefault="004D7C0C" w:rsidP="0097411A">
      <w:pPr>
        <w:spacing w:before="100" w:beforeAutospacing="1" w:line="360" w:lineRule="auto"/>
        <w:rPr>
          <w:rFonts w:ascii="Arial" w:hAnsi="Arial" w:cs="Arial"/>
          <w:sz w:val="28"/>
          <w:szCs w:val="28"/>
        </w:rPr>
      </w:pPr>
      <w:r w:rsidRPr="00C67536">
        <w:rPr>
          <w:rFonts w:ascii="Arial" w:hAnsi="Arial" w:cs="Arial"/>
          <w:sz w:val="28"/>
          <w:szCs w:val="28"/>
          <w:lang w:val="es-ES" w:eastAsia="es-ES"/>
        </w:rPr>
        <w:t>Firman las señoras Ministras Presidenta y la Ponente con el Secretario General de Acuerdos, quien da fe.</w:t>
      </w:r>
    </w:p>
    <w:p w14:paraId="2EC94F11" w14:textId="77777777" w:rsidR="004D7C0C" w:rsidRDefault="004D7C0C" w:rsidP="00E11711">
      <w:pPr>
        <w:spacing w:before="100" w:beforeAutospacing="1"/>
        <w:rPr>
          <w:rFonts w:ascii="Arial" w:hAnsi="Arial" w:cs="Arial"/>
          <w:sz w:val="28"/>
          <w:szCs w:val="28"/>
        </w:rPr>
      </w:pPr>
    </w:p>
    <w:p w14:paraId="4FE8EBB5" w14:textId="77777777" w:rsidR="00DD6453" w:rsidRPr="00C67536" w:rsidRDefault="00DD6453" w:rsidP="00E11711">
      <w:pPr>
        <w:spacing w:before="100" w:beforeAutospacing="1"/>
        <w:rPr>
          <w:rFonts w:ascii="Arial" w:hAnsi="Arial" w:cs="Arial"/>
          <w:sz w:val="28"/>
          <w:szCs w:val="28"/>
        </w:rPr>
      </w:pPr>
    </w:p>
    <w:p w14:paraId="01152F34" w14:textId="77777777" w:rsidR="004D7C0C" w:rsidRPr="00C67536" w:rsidRDefault="004D7C0C" w:rsidP="004D7C0C">
      <w:pPr>
        <w:pStyle w:val="Prrafo"/>
        <w:spacing w:before="0"/>
        <w:contextualSpacing/>
        <w:jc w:val="center"/>
        <w:rPr>
          <w:b/>
          <w:bCs/>
          <w:sz w:val="28"/>
          <w:szCs w:val="28"/>
          <w:lang w:eastAsia="es-ES"/>
        </w:rPr>
      </w:pPr>
      <w:r w:rsidRPr="00C67536">
        <w:rPr>
          <w:b/>
          <w:bCs/>
          <w:sz w:val="28"/>
          <w:szCs w:val="28"/>
          <w:lang w:eastAsia="es-ES"/>
        </w:rPr>
        <w:t>PRESIDENTA</w:t>
      </w:r>
    </w:p>
    <w:p w14:paraId="647A8886" w14:textId="77777777" w:rsidR="00DD6453" w:rsidRDefault="00DD6453" w:rsidP="004D7C0C">
      <w:pPr>
        <w:pStyle w:val="Prrafo"/>
        <w:spacing w:before="0"/>
        <w:contextualSpacing/>
        <w:jc w:val="center"/>
        <w:rPr>
          <w:sz w:val="28"/>
          <w:szCs w:val="28"/>
          <w:lang w:eastAsia="es-ES"/>
        </w:rPr>
      </w:pPr>
    </w:p>
    <w:p w14:paraId="35C19597" w14:textId="77777777" w:rsidR="000D08D7" w:rsidRPr="00C67536" w:rsidRDefault="000D08D7" w:rsidP="004D7C0C">
      <w:pPr>
        <w:pStyle w:val="Prrafo"/>
        <w:spacing w:before="0"/>
        <w:contextualSpacing/>
        <w:jc w:val="center"/>
        <w:rPr>
          <w:sz w:val="28"/>
          <w:szCs w:val="28"/>
          <w:lang w:eastAsia="es-ES"/>
        </w:rPr>
      </w:pPr>
    </w:p>
    <w:p w14:paraId="0AAB4558" w14:textId="77777777" w:rsidR="00534DE2" w:rsidRPr="00C67536" w:rsidRDefault="00534DE2" w:rsidP="00462390">
      <w:pPr>
        <w:pStyle w:val="Prrafo"/>
        <w:spacing w:before="0" w:after="0" w:line="240" w:lineRule="auto"/>
        <w:contextualSpacing/>
        <w:rPr>
          <w:b/>
          <w:bCs/>
          <w:i/>
          <w:iCs/>
          <w:sz w:val="28"/>
          <w:szCs w:val="28"/>
          <w:lang w:eastAsia="es-ES"/>
        </w:rPr>
      </w:pPr>
    </w:p>
    <w:p w14:paraId="54AEFBEE" w14:textId="06B28BD6" w:rsidR="004D7C0C" w:rsidRPr="00C67536" w:rsidRDefault="004D7C0C" w:rsidP="00462390">
      <w:pPr>
        <w:pStyle w:val="Prrafo"/>
        <w:spacing w:before="0" w:after="0" w:line="240" w:lineRule="auto"/>
        <w:contextualSpacing/>
        <w:rPr>
          <w:i/>
          <w:iCs/>
          <w:sz w:val="28"/>
          <w:szCs w:val="28"/>
          <w:lang w:eastAsia="es-ES"/>
        </w:rPr>
      </w:pPr>
      <w:r w:rsidRPr="00C67536">
        <w:rPr>
          <w:b/>
          <w:bCs/>
          <w:i/>
          <w:iCs/>
          <w:sz w:val="28"/>
          <w:szCs w:val="28"/>
          <w:lang w:eastAsia="es-ES"/>
        </w:rPr>
        <w:t>  </w:t>
      </w:r>
    </w:p>
    <w:p w14:paraId="5803C851" w14:textId="77777777" w:rsidR="004D7C0C" w:rsidRPr="00C67536" w:rsidRDefault="004D7C0C" w:rsidP="004D7C0C">
      <w:pPr>
        <w:pStyle w:val="Prrafo"/>
        <w:spacing w:before="0" w:after="0"/>
        <w:contextualSpacing/>
        <w:jc w:val="center"/>
        <w:rPr>
          <w:sz w:val="28"/>
          <w:szCs w:val="28"/>
          <w:lang w:eastAsia="es-ES"/>
        </w:rPr>
      </w:pPr>
      <w:r w:rsidRPr="00C67536">
        <w:rPr>
          <w:b/>
          <w:bCs/>
          <w:sz w:val="28"/>
          <w:szCs w:val="28"/>
          <w:lang w:eastAsia="es-ES"/>
        </w:rPr>
        <w:t>MINISTRA NORMA LUCÍA PIÑA HERNÁNDEZ</w:t>
      </w:r>
    </w:p>
    <w:p w14:paraId="2428AE55" w14:textId="77777777" w:rsidR="004D7C0C" w:rsidRDefault="004D7C0C" w:rsidP="00462390">
      <w:pPr>
        <w:pStyle w:val="Prrafo"/>
        <w:spacing w:before="0" w:after="0" w:line="240" w:lineRule="auto"/>
        <w:contextualSpacing/>
        <w:rPr>
          <w:sz w:val="28"/>
          <w:szCs w:val="28"/>
          <w:lang w:eastAsia="es-ES"/>
        </w:rPr>
      </w:pPr>
    </w:p>
    <w:p w14:paraId="0587B474" w14:textId="77777777" w:rsidR="000D08D7" w:rsidRPr="00C67536" w:rsidRDefault="000D08D7" w:rsidP="00462390">
      <w:pPr>
        <w:pStyle w:val="Prrafo"/>
        <w:spacing w:before="0" w:after="0" w:line="240" w:lineRule="auto"/>
        <w:contextualSpacing/>
        <w:rPr>
          <w:sz w:val="28"/>
          <w:szCs w:val="28"/>
          <w:lang w:eastAsia="es-ES"/>
        </w:rPr>
      </w:pPr>
    </w:p>
    <w:p w14:paraId="7CC59008" w14:textId="77777777" w:rsidR="004D7C0C" w:rsidRPr="00C67536" w:rsidRDefault="004D7C0C" w:rsidP="00E11711">
      <w:pPr>
        <w:pStyle w:val="Prrafo"/>
        <w:spacing w:before="0" w:after="0" w:line="240" w:lineRule="auto"/>
        <w:contextualSpacing/>
        <w:jc w:val="center"/>
        <w:rPr>
          <w:sz w:val="28"/>
          <w:szCs w:val="28"/>
          <w:lang w:eastAsia="es-ES"/>
        </w:rPr>
      </w:pPr>
    </w:p>
    <w:p w14:paraId="2C9D7744" w14:textId="77777777" w:rsidR="00DD6453" w:rsidRPr="00C67536" w:rsidRDefault="00DD6453" w:rsidP="00E11711">
      <w:pPr>
        <w:pStyle w:val="Prrafo"/>
        <w:spacing w:before="0" w:after="0" w:line="240" w:lineRule="auto"/>
        <w:contextualSpacing/>
        <w:jc w:val="center"/>
        <w:rPr>
          <w:sz w:val="28"/>
          <w:szCs w:val="28"/>
          <w:lang w:eastAsia="es-ES"/>
        </w:rPr>
      </w:pPr>
    </w:p>
    <w:p w14:paraId="42337E77" w14:textId="77777777" w:rsidR="004D7C0C" w:rsidRPr="00C67536" w:rsidRDefault="004D7C0C" w:rsidP="004D7C0C">
      <w:pPr>
        <w:pStyle w:val="Prrafo"/>
        <w:spacing w:before="0" w:after="0"/>
        <w:contextualSpacing/>
        <w:jc w:val="center"/>
        <w:rPr>
          <w:sz w:val="28"/>
          <w:szCs w:val="28"/>
          <w:lang w:eastAsia="es-ES"/>
        </w:rPr>
      </w:pPr>
      <w:r w:rsidRPr="00C67536">
        <w:rPr>
          <w:b/>
          <w:bCs/>
          <w:sz w:val="28"/>
          <w:szCs w:val="28"/>
          <w:lang w:eastAsia="es-ES"/>
        </w:rPr>
        <w:t>PONENTE</w:t>
      </w:r>
    </w:p>
    <w:p w14:paraId="3F081AED" w14:textId="77777777" w:rsidR="000D08D7" w:rsidRDefault="000D08D7" w:rsidP="00462390">
      <w:pPr>
        <w:pStyle w:val="Prrafo"/>
        <w:spacing w:before="0" w:after="0" w:line="240" w:lineRule="auto"/>
        <w:contextualSpacing/>
        <w:rPr>
          <w:b/>
          <w:bCs/>
          <w:i/>
          <w:iCs/>
          <w:sz w:val="28"/>
          <w:szCs w:val="28"/>
          <w:lang w:eastAsia="es-ES"/>
        </w:rPr>
      </w:pPr>
    </w:p>
    <w:p w14:paraId="62CA51D7" w14:textId="422275A5" w:rsidR="00534DE2" w:rsidRPr="00C67536" w:rsidRDefault="004D7C0C" w:rsidP="00462390">
      <w:pPr>
        <w:pStyle w:val="Prrafo"/>
        <w:spacing w:before="0" w:after="0" w:line="240" w:lineRule="auto"/>
        <w:contextualSpacing/>
        <w:rPr>
          <w:b/>
          <w:bCs/>
          <w:i/>
          <w:iCs/>
          <w:sz w:val="28"/>
          <w:szCs w:val="28"/>
          <w:lang w:eastAsia="es-ES"/>
        </w:rPr>
      </w:pPr>
      <w:r w:rsidRPr="00C67536">
        <w:rPr>
          <w:b/>
          <w:bCs/>
          <w:i/>
          <w:iCs/>
          <w:sz w:val="28"/>
          <w:szCs w:val="28"/>
          <w:lang w:eastAsia="es-ES"/>
        </w:rPr>
        <w:t> </w:t>
      </w:r>
    </w:p>
    <w:p w14:paraId="6C0A1EBD" w14:textId="77777777" w:rsidR="00DD6453" w:rsidRPr="00C67536" w:rsidRDefault="00DD6453" w:rsidP="00462390">
      <w:pPr>
        <w:pStyle w:val="Prrafo"/>
        <w:spacing w:before="0" w:after="0" w:line="240" w:lineRule="auto"/>
        <w:contextualSpacing/>
        <w:rPr>
          <w:b/>
          <w:bCs/>
          <w:i/>
          <w:iCs/>
          <w:sz w:val="28"/>
          <w:szCs w:val="28"/>
          <w:lang w:eastAsia="es-ES"/>
        </w:rPr>
      </w:pPr>
    </w:p>
    <w:p w14:paraId="00EB6483" w14:textId="49F54E51" w:rsidR="004D7C0C" w:rsidRPr="00C67536" w:rsidRDefault="004D7C0C" w:rsidP="00462390">
      <w:pPr>
        <w:pStyle w:val="Prrafo"/>
        <w:spacing w:before="0" w:after="0" w:line="240" w:lineRule="auto"/>
        <w:contextualSpacing/>
        <w:rPr>
          <w:b/>
          <w:bCs/>
          <w:i/>
          <w:iCs/>
          <w:sz w:val="28"/>
          <w:szCs w:val="28"/>
          <w:lang w:eastAsia="es-ES"/>
        </w:rPr>
      </w:pPr>
      <w:r w:rsidRPr="00C67536">
        <w:rPr>
          <w:b/>
          <w:bCs/>
          <w:i/>
          <w:iCs/>
          <w:sz w:val="28"/>
          <w:szCs w:val="28"/>
          <w:lang w:eastAsia="es-ES"/>
        </w:rPr>
        <w:t> </w:t>
      </w:r>
    </w:p>
    <w:p w14:paraId="5FFAC3E2" w14:textId="77777777" w:rsidR="004D7C0C" w:rsidRPr="00C67536" w:rsidRDefault="004D7C0C" w:rsidP="004D7C0C">
      <w:pPr>
        <w:pStyle w:val="Prrafo"/>
        <w:spacing w:before="0" w:after="0"/>
        <w:contextualSpacing/>
        <w:jc w:val="center"/>
        <w:rPr>
          <w:sz w:val="28"/>
          <w:szCs w:val="28"/>
          <w:lang w:eastAsia="es-ES"/>
        </w:rPr>
      </w:pPr>
      <w:r w:rsidRPr="00C67536">
        <w:rPr>
          <w:b/>
          <w:bCs/>
          <w:sz w:val="28"/>
          <w:szCs w:val="28"/>
          <w:lang w:eastAsia="es-ES"/>
        </w:rPr>
        <w:t>MINISTRA YASMÍN ESQUIVEL MOSSA</w:t>
      </w:r>
    </w:p>
    <w:p w14:paraId="66051B85" w14:textId="77777777" w:rsidR="004D7C0C" w:rsidRPr="00C67536" w:rsidRDefault="004D7C0C" w:rsidP="00462390">
      <w:pPr>
        <w:pStyle w:val="Prrafo"/>
        <w:spacing w:before="0" w:after="0" w:line="240" w:lineRule="auto"/>
        <w:contextualSpacing/>
        <w:jc w:val="center"/>
        <w:rPr>
          <w:sz w:val="28"/>
          <w:szCs w:val="28"/>
          <w:lang w:eastAsia="es-ES"/>
        </w:rPr>
      </w:pPr>
    </w:p>
    <w:p w14:paraId="48A55158" w14:textId="77777777" w:rsidR="00DD6453" w:rsidRPr="00C67536" w:rsidRDefault="00DD6453" w:rsidP="00462390">
      <w:pPr>
        <w:pStyle w:val="Prrafo"/>
        <w:spacing w:before="0" w:after="0" w:line="240" w:lineRule="auto"/>
        <w:contextualSpacing/>
        <w:jc w:val="center"/>
        <w:rPr>
          <w:sz w:val="28"/>
          <w:szCs w:val="28"/>
          <w:lang w:eastAsia="es-ES"/>
        </w:rPr>
      </w:pPr>
    </w:p>
    <w:p w14:paraId="6CFDBAE5" w14:textId="77777777" w:rsidR="004D7C0C" w:rsidRPr="00C67536" w:rsidRDefault="004D7C0C" w:rsidP="00462390">
      <w:pPr>
        <w:pStyle w:val="Prrafo"/>
        <w:spacing w:before="0" w:after="0" w:line="240" w:lineRule="auto"/>
        <w:contextualSpacing/>
        <w:jc w:val="center"/>
        <w:rPr>
          <w:sz w:val="28"/>
          <w:szCs w:val="28"/>
          <w:lang w:eastAsia="es-ES"/>
        </w:rPr>
      </w:pPr>
    </w:p>
    <w:p w14:paraId="5AFD7EC6" w14:textId="77777777" w:rsidR="00534DE2" w:rsidRDefault="00534DE2" w:rsidP="00E11711">
      <w:pPr>
        <w:pStyle w:val="Prrafo"/>
        <w:spacing w:before="0" w:after="0" w:line="240" w:lineRule="auto"/>
        <w:contextualSpacing/>
        <w:jc w:val="center"/>
        <w:rPr>
          <w:sz w:val="28"/>
          <w:szCs w:val="28"/>
          <w:lang w:eastAsia="es-ES"/>
        </w:rPr>
      </w:pPr>
    </w:p>
    <w:p w14:paraId="064A70F1" w14:textId="77777777" w:rsidR="000D08D7" w:rsidRDefault="000D08D7" w:rsidP="00E11711">
      <w:pPr>
        <w:pStyle w:val="Prrafo"/>
        <w:spacing w:before="0" w:after="0" w:line="240" w:lineRule="auto"/>
        <w:contextualSpacing/>
        <w:jc w:val="center"/>
        <w:rPr>
          <w:sz w:val="28"/>
          <w:szCs w:val="28"/>
          <w:lang w:eastAsia="es-ES"/>
        </w:rPr>
      </w:pPr>
    </w:p>
    <w:p w14:paraId="1791CA50" w14:textId="77777777" w:rsidR="009341F4" w:rsidRDefault="009341F4" w:rsidP="00E11711">
      <w:pPr>
        <w:pStyle w:val="Prrafo"/>
        <w:spacing w:before="0" w:after="0" w:line="240" w:lineRule="auto"/>
        <w:contextualSpacing/>
        <w:jc w:val="center"/>
        <w:rPr>
          <w:sz w:val="28"/>
          <w:szCs w:val="28"/>
          <w:lang w:eastAsia="es-ES"/>
        </w:rPr>
      </w:pPr>
    </w:p>
    <w:p w14:paraId="7D0FFC4F" w14:textId="77777777" w:rsidR="000D08D7" w:rsidRDefault="000D08D7" w:rsidP="00E11711">
      <w:pPr>
        <w:pStyle w:val="Prrafo"/>
        <w:spacing w:before="0" w:after="0" w:line="240" w:lineRule="auto"/>
        <w:contextualSpacing/>
        <w:jc w:val="center"/>
        <w:rPr>
          <w:sz w:val="28"/>
          <w:szCs w:val="28"/>
          <w:lang w:eastAsia="es-ES"/>
        </w:rPr>
      </w:pPr>
    </w:p>
    <w:p w14:paraId="0716AE9F" w14:textId="77777777" w:rsidR="000D08D7" w:rsidRPr="00C67536" w:rsidRDefault="000D08D7" w:rsidP="00E11711">
      <w:pPr>
        <w:pStyle w:val="Prrafo"/>
        <w:spacing w:before="0" w:after="0" w:line="240" w:lineRule="auto"/>
        <w:contextualSpacing/>
        <w:jc w:val="center"/>
        <w:rPr>
          <w:sz w:val="28"/>
          <w:szCs w:val="28"/>
          <w:lang w:eastAsia="es-ES"/>
        </w:rPr>
      </w:pPr>
    </w:p>
    <w:p w14:paraId="5CF7CD83" w14:textId="77777777" w:rsidR="004D7C0C" w:rsidRPr="00C67536" w:rsidRDefault="004D7C0C" w:rsidP="004D7C0C">
      <w:pPr>
        <w:pStyle w:val="Prrafo"/>
        <w:spacing w:before="0" w:after="0"/>
        <w:contextualSpacing/>
        <w:jc w:val="center"/>
        <w:rPr>
          <w:sz w:val="28"/>
          <w:szCs w:val="28"/>
          <w:lang w:eastAsia="es-ES"/>
        </w:rPr>
      </w:pPr>
      <w:r w:rsidRPr="00C67536">
        <w:rPr>
          <w:b/>
          <w:bCs/>
          <w:sz w:val="28"/>
          <w:szCs w:val="28"/>
          <w:lang w:eastAsia="es-ES"/>
        </w:rPr>
        <w:t>SECRETARIO GENERAL DE ACUERDOS</w:t>
      </w:r>
    </w:p>
    <w:p w14:paraId="3064BFF9" w14:textId="77777777" w:rsidR="004D7C0C" w:rsidRPr="00C67536" w:rsidRDefault="004D7C0C" w:rsidP="00462390">
      <w:pPr>
        <w:pStyle w:val="Prrafo"/>
        <w:spacing w:before="0" w:after="0" w:line="240" w:lineRule="auto"/>
        <w:contextualSpacing/>
        <w:rPr>
          <w:b/>
          <w:bCs/>
          <w:i/>
          <w:iCs/>
          <w:sz w:val="28"/>
          <w:szCs w:val="28"/>
          <w:lang w:eastAsia="es-ES"/>
        </w:rPr>
      </w:pPr>
      <w:r w:rsidRPr="00C67536">
        <w:rPr>
          <w:b/>
          <w:bCs/>
          <w:i/>
          <w:iCs/>
          <w:sz w:val="28"/>
          <w:szCs w:val="28"/>
          <w:lang w:eastAsia="es-ES"/>
        </w:rPr>
        <w:t> </w:t>
      </w:r>
    </w:p>
    <w:p w14:paraId="0C35CE01" w14:textId="77777777" w:rsidR="00534DE2" w:rsidRPr="00C67536" w:rsidRDefault="00534DE2" w:rsidP="00462390">
      <w:pPr>
        <w:pStyle w:val="Prrafo"/>
        <w:spacing w:before="0" w:after="0" w:line="240" w:lineRule="auto"/>
        <w:contextualSpacing/>
        <w:rPr>
          <w:i/>
          <w:iCs/>
          <w:sz w:val="28"/>
          <w:szCs w:val="28"/>
          <w:lang w:eastAsia="es-ES"/>
        </w:rPr>
      </w:pPr>
    </w:p>
    <w:p w14:paraId="5603DB35" w14:textId="77777777" w:rsidR="00DD6453" w:rsidRPr="00C67536" w:rsidRDefault="00DD6453" w:rsidP="00462390">
      <w:pPr>
        <w:pStyle w:val="Prrafo"/>
        <w:spacing w:before="0" w:after="0" w:line="240" w:lineRule="auto"/>
        <w:contextualSpacing/>
        <w:rPr>
          <w:i/>
          <w:iCs/>
          <w:sz w:val="28"/>
          <w:szCs w:val="28"/>
          <w:lang w:eastAsia="es-ES"/>
        </w:rPr>
      </w:pPr>
    </w:p>
    <w:p w14:paraId="70C20818" w14:textId="77777777" w:rsidR="00DD6453" w:rsidRPr="00C67536" w:rsidRDefault="00DD6453" w:rsidP="00462390">
      <w:pPr>
        <w:pStyle w:val="Prrafo"/>
        <w:spacing w:before="0" w:after="0" w:line="240" w:lineRule="auto"/>
        <w:contextualSpacing/>
        <w:rPr>
          <w:i/>
          <w:iCs/>
          <w:sz w:val="28"/>
          <w:szCs w:val="28"/>
          <w:lang w:eastAsia="es-ES"/>
        </w:rPr>
      </w:pPr>
    </w:p>
    <w:p w14:paraId="4E293F9C" w14:textId="77777777" w:rsidR="004D7C0C" w:rsidRPr="00C67536" w:rsidRDefault="004D7C0C" w:rsidP="004D7C0C">
      <w:pPr>
        <w:pStyle w:val="Prrafo"/>
        <w:spacing w:before="0" w:after="0"/>
        <w:contextualSpacing/>
        <w:jc w:val="center"/>
        <w:rPr>
          <w:b/>
          <w:bCs/>
          <w:sz w:val="28"/>
          <w:szCs w:val="28"/>
          <w:lang w:eastAsia="es-ES"/>
        </w:rPr>
      </w:pPr>
      <w:r w:rsidRPr="00C67536">
        <w:rPr>
          <w:b/>
          <w:bCs/>
          <w:sz w:val="28"/>
          <w:szCs w:val="28"/>
          <w:lang w:eastAsia="es-ES"/>
        </w:rPr>
        <w:t>LICENCIADO RAFAEL COELLO CETINA</w:t>
      </w:r>
    </w:p>
    <w:p w14:paraId="396525EC" w14:textId="77777777" w:rsidR="00E31F89" w:rsidRDefault="00E31F89" w:rsidP="00534DE2">
      <w:pPr>
        <w:jc w:val="both"/>
        <w:rPr>
          <w:rFonts w:ascii="Arial" w:eastAsia="Calibri" w:hAnsi="Arial"/>
          <w:color w:val="000000"/>
          <w:sz w:val="16"/>
          <w:lang w:val="es-ES_tradnl"/>
        </w:rPr>
      </w:pPr>
    </w:p>
    <w:p w14:paraId="263E81E8" w14:textId="77777777" w:rsidR="000D08D7" w:rsidRDefault="000D08D7" w:rsidP="00534DE2">
      <w:pPr>
        <w:jc w:val="both"/>
        <w:rPr>
          <w:rFonts w:ascii="Arial" w:eastAsia="Calibri" w:hAnsi="Arial"/>
          <w:color w:val="000000"/>
          <w:sz w:val="16"/>
          <w:lang w:val="es-ES_tradnl"/>
        </w:rPr>
      </w:pPr>
    </w:p>
    <w:p w14:paraId="0239DAE6" w14:textId="77777777" w:rsidR="000D08D7" w:rsidRDefault="000D08D7" w:rsidP="00534DE2">
      <w:pPr>
        <w:jc w:val="both"/>
        <w:rPr>
          <w:rFonts w:ascii="Arial" w:eastAsia="Calibri" w:hAnsi="Arial"/>
          <w:color w:val="000000"/>
          <w:sz w:val="16"/>
          <w:lang w:val="es-ES_tradnl"/>
        </w:rPr>
      </w:pPr>
    </w:p>
    <w:p w14:paraId="768CD82A" w14:textId="77777777" w:rsidR="000D08D7" w:rsidRPr="00C67536" w:rsidRDefault="000D08D7" w:rsidP="00534DE2">
      <w:pPr>
        <w:jc w:val="both"/>
        <w:rPr>
          <w:rFonts w:ascii="Arial" w:eastAsia="Calibri" w:hAnsi="Arial"/>
          <w:color w:val="000000"/>
          <w:sz w:val="16"/>
          <w:lang w:val="es-ES_tradnl"/>
        </w:rPr>
      </w:pPr>
    </w:p>
    <w:p w14:paraId="7E95A438" w14:textId="434F8BC2" w:rsidR="004D7C0C" w:rsidRDefault="004D7C0C" w:rsidP="00534DE2">
      <w:pPr>
        <w:jc w:val="both"/>
        <w:rPr>
          <w:rFonts w:ascii="Arial" w:eastAsia="Arial" w:hAnsi="Arial"/>
          <w:sz w:val="16"/>
        </w:rPr>
      </w:pPr>
      <w:r w:rsidRPr="00C67536">
        <w:rPr>
          <w:rFonts w:ascii="Arial" w:eastAsia="Calibri" w:hAnsi="Arial"/>
          <w:color w:val="000000"/>
          <w:sz w:val="16"/>
          <w:lang w:val="es-ES_tradnl"/>
        </w:rPr>
        <w:t>Esta hoja corresponde a la sentencia de</w:t>
      </w:r>
      <w:r w:rsidR="00E11711" w:rsidRPr="00C67536">
        <w:rPr>
          <w:rFonts w:ascii="Arial" w:eastAsia="Calibri" w:hAnsi="Arial"/>
          <w:color w:val="000000"/>
          <w:sz w:val="16"/>
        </w:rPr>
        <w:t>l amparo en revisión</w:t>
      </w:r>
      <w:r w:rsidRPr="00C67536">
        <w:rPr>
          <w:rFonts w:ascii="Arial" w:eastAsia="Calibri" w:hAnsi="Arial"/>
          <w:b/>
          <w:color w:val="000000"/>
          <w:sz w:val="16"/>
          <w:lang w:val="es-ES_tradnl"/>
        </w:rPr>
        <w:t xml:space="preserve"> </w:t>
      </w:r>
      <w:r w:rsidR="00E11711" w:rsidRPr="00C67536">
        <w:rPr>
          <w:rFonts w:ascii="Arial" w:eastAsia="Calibri" w:hAnsi="Arial"/>
          <w:b/>
          <w:color w:val="000000"/>
          <w:sz w:val="16"/>
        </w:rPr>
        <w:t>358</w:t>
      </w:r>
      <w:r w:rsidRPr="00C67536">
        <w:rPr>
          <w:rFonts w:ascii="Arial" w:eastAsia="Calibri" w:hAnsi="Arial"/>
          <w:b/>
          <w:color w:val="000000"/>
          <w:sz w:val="16"/>
          <w:lang w:val="es-ES_tradnl"/>
        </w:rPr>
        <w:t>/202</w:t>
      </w:r>
      <w:r w:rsidR="00E11711" w:rsidRPr="00C67536">
        <w:rPr>
          <w:rFonts w:ascii="Arial" w:eastAsia="Calibri" w:hAnsi="Arial"/>
          <w:b/>
          <w:color w:val="000000"/>
          <w:sz w:val="16"/>
        </w:rPr>
        <w:t>2</w:t>
      </w:r>
      <w:r w:rsidRPr="00C67536">
        <w:rPr>
          <w:rFonts w:ascii="Arial" w:eastAsia="Calibri" w:hAnsi="Arial"/>
          <w:color w:val="000000"/>
          <w:sz w:val="16"/>
          <w:lang w:val="es-ES_tradnl"/>
        </w:rPr>
        <w:t xml:space="preserve">, resuelta por el Pleno de la Suprema Corte de Justicia de la Nación en su sesión del </w:t>
      </w:r>
      <w:r w:rsidR="00E11711" w:rsidRPr="00C67536">
        <w:rPr>
          <w:rFonts w:ascii="Arial" w:eastAsia="Calibri" w:hAnsi="Arial"/>
          <w:b/>
          <w:color w:val="000000"/>
          <w:sz w:val="16"/>
        </w:rPr>
        <w:t>nueve de abril de dos mil veinticuatro</w:t>
      </w:r>
      <w:r w:rsidRPr="00C67536">
        <w:rPr>
          <w:rFonts w:ascii="Arial" w:eastAsia="Calibri" w:hAnsi="Arial"/>
          <w:color w:val="000000"/>
          <w:sz w:val="16"/>
          <w:lang w:val="es-ES_tradnl"/>
        </w:rPr>
        <w:t xml:space="preserve"> en el sentido siguiente:</w:t>
      </w:r>
      <w:r w:rsidR="00E11711" w:rsidRPr="00C67536">
        <w:rPr>
          <w:rFonts w:ascii="Arial" w:hAnsi="Arial"/>
          <w:b/>
          <w:sz w:val="16"/>
        </w:rPr>
        <w:t xml:space="preserve"> </w:t>
      </w:r>
      <w:r w:rsidR="00E11711" w:rsidRPr="00EB7242">
        <w:rPr>
          <w:rFonts w:ascii="Arial" w:hAnsi="Arial"/>
          <w:b/>
          <w:i/>
          <w:iCs/>
          <w:sz w:val="16"/>
        </w:rPr>
        <w:t xml:space="preserve">PRIMERO. </w:t>
      </w:r>
      <w:r w:rsidR="00E11711" w:rsidRPr="00EB7242">
        <w:rPr>
          <w:rFonts w:ascii="Arial" w:hAnsi="Arial"/>
          <w:i/>
          <w:iCs/>
          <w:sz w:val="16"/>
        </w:rPr>
        <w:t xml:space="preserve">En la materia de revisión, se confirma la sentencia recurrida. </w:t>
      </w:r>
      <w:r w:rsidR="00E11711" w:rsidRPr="00EB7242">
        <w:rPr>
          <w:rFonts w:ascii="Arial" w:hAnsi="Arial"/>
          <w:b/>
          <w:i/>
          <w:iCs/>
          <w:sz w:val="16"/>
        </w:rPr>
        <w:t xml:space="preserve">SEGUNDO. </w:t>
      </w:r>
      <w:r w:rsidR="00E11711" w:rsidRPr="00EB7242">
        <w:rPr>
          <w:rFonts w:ascii="Arial" w:hAnsi="Arial"/>
          <w:i/>
          <w:iCs/>
          <w:sz w:val="16"/>
        </w:rPr>
        <w:t>La Justicia de la Unión no ampara ni protege a Desde el Corazón del Fruto, Sociedad Anónima de Capital Variable, contra los artículos 212, párrafo tercero, y 215, fracción VI, de la Ley General de Salud, en relación con la Modificación a la Norma Oficial Mexicana NOM-051- SCFI/SSA1</w:t>
      </w:r>
      <w:r w:rsidR="005F2ADC" w:rsidRPr="00EB7242">
        <w:rPr>
          <w:rFonts w:ascii="Arial" w:hAnsi="Arial"/>
          <w:i/>
          <w:iCs/>
          <w:sz w:val="16"/>
        </w:rPr>
        <w:t>-</w:t>
      </w:r>
      <w:r w:rsidR="00E11711" w:rsidRPr="00EB7242">
        <w:rPr>
          <w:rFonts w:ascii="Arial" w:hAnsi="Arial"/>
          <w:i/>
          <w:iCs/>
          <w:sz w:val="16"/>
        </w:rPr>
        <w:t xml:space="preserve">2010, publicada en </w:t>
      </w:r>
      <w:r w:rsidR="009341F4" w:rsidRPr="00EB7242">
        <w:rPr>
          <w:rFonts w:ascii="Arial" w:hAnsi="Arial"/>
          <w:i/>
          <w:iCs/>
          <w:sz w:val="16"/>
        </w:rPr>
        <w:t xml:space="preserve">el Diario Oficial de la Federación </w:t>
      </w:r>
      <w:r w:rsidR="00E11711" w:rsidRPr="00EB7242">
        <w:rPr>
          <w:rFonts w:ascii="Arial" w:hAnsi="Arial"/>
          <w:i/>
          <w:iCs/>
          <w:sz w:val="16"/>
        </w:rPr>
        <w:t xml:space="preserve">el veintisiete de marzo de dos mil veinte, específicamente por lo que hace a los numerales 1, 4.5.3.4 al 4.5.3.4.7 y 7.1.3, y el apéndice A (normativo), así como de la Nota Aclaratoria a dicha norma. </w:t>
      </w:r>
      <w:r w:rsidR="00E11711" w:rsidRPr="00EB7242">
        <w:rPr>
          <w:rFonts w:ascii="Arial" w:hAnsi="Arial"/>
          <w:b/>
          <w:i/>
          <w:iCs/>
          <w:sz w:val="16"/>
        </w:rPr>
        <w:t xml:space="preserve">TERCERO. </w:t>
      </w:r>
      <w:r w:rsidR="00E11711" w:rsidRPr="00EB7242">
        <w:rPr>
          <w:rFonts w:ascii="Arial" w:hAnsi="Arial"/>
          <w:i/>
          <w:iCs/>
          <w:sz w:val="16"/>
        </w:rPr>
        <w:t>Queda sin materia la revisión adhesiva.</w:t>
      </w:r>
      <w:r w:rsidR="00EB7242">
        <w:rPr>
          <w:rFonts w:ascii="Arial" w:hAnsi="Arial"/>
          <w:sz w:val="16"/>
        </w:rPr>
        <w:t xml:space="preserve"> </w:t>
      </w:r>
      <w:r w:rsidRPr="00C67536">
        <w:rPr>
          <w:rFonts w:ascii="Arial" w:eastAsia="Calibri" w:hAnsi="Arial"/>
          <w:b/>
          <w:color w:val="000000"/>
          <w:sz w:val="16"/>
          <w:lang w:val="es-ES_tradnl"/>
        </w:rPr>
        <w:t>Conste.</w:t>
      </w:r>
      <w:r w:rsidRPr="008826D2">
        <w:rPr>
          <w:rFonts w:ascii="Arial" w:eastAsia="Arial" w:hAnsi="Arial"/>
          <w:sz w:val="16"/>
        </w:rPr>
        <w:tab/>
      </w:r>
    </w:p>
    <w:p w14:paraId="211E857C" w14:textId="77777777" w:rsidR="00BA4F5B" w:rsidRDefault="00BA4F5B" w:rsidP="00534DE2">
      <w:pPr>
        <w:jc w:val="both"/>
        <w:rPr>
          <w:rFonts w:ascii="Arial" w:eastAsia="Arial" w:hAnsi="Arial"/>
          <w:sz w:val="16"/>
        </w:rPr>
      </w:pPr>
    </w:p>
    <w:p w14:paraId="51CEB95D" w14:textId="77777777" w:rsidR="00BA4F5B" w:rsidRDefault="00BA4F5B" w:rsidP="00BA4F5B">
      <w:pPr>
        <w:spacing w:after="160" w:line="259" w:lineRule="auto"/>
        <w:contextualSpacing/>
        <w:jc w:val="both"/>
        <w:rPr>
          <w:rFonts w:ascii="Arial" w:hAnsi="Arial" w:cs="Arial"/>
          <w:b/>
          <w:bCs/>
          <w:sz w:val="24"/>
          <w:szCs w:val="24"/>
        </w:rPr>
      </w:pPr>
    </w:p>
    <w:p w14:paraId="0BC27136" w14:textId="290577B9" w:rsidR="00BA4F5B" w:rsidRPr="00907755" w:rsidRDefault="00BA4F5B" w:rsidP="00BA4F5B">
      <w:pPr>
        <w:spacing w:after="160" w:line="259" w:lineRule="auto"/>
        <w:contextualSpacing/>
        <w:jc w:val="both"/>
        <w:rPr>
          <w:rFonts w:ascii="Arial" w:hAnsi="Arial" w:cs="Arial"/>
          <w:b/>
          <w:bCs/>
          <w:sz w:val="24"/>
          <w:szCs w:val="24"/>
        </w:rPr>
      </w:pPr>
      <w:r w:rsidRPr="00907755">
        <w:rPr>
          <w:rFonts w:ascii="Arial" w:hAnsi="Arial" w:cs="Arial"/>
          <w:b/>
          <w:bCs/>
          <w:sz w:val="24"/>
          <w:szCs w:val="24"/>
        </w:rPr>
        <w:t>En términos de lo previsto en los artículos 110 y 113 de la Ley Federal de Transparencia y Acceso a la Información Pública; así como en el Acuerdo General 11/2017, del Pleno de la Suprema Corte de Justicia de la Nación, publicado el dieciocho de septiembre de dos mil diecisiete en el Diario Oficial de la Federación, en esta versión pública se suprime la información considerada legalmente como reservada o confidencial que encuadra en esos supuestos normativos.</w:t>
      </w:r>
    </w:p>
    <w:p w14:paraId="62A269D1" w14:textId="77777777" w:rsidR="00BA4F5B" w:rsidRPr="008826D2" w:rsidRDefault="00BA4F5B" w:rsidP="00534DE2">
      <w:pPr>
        <w:jc w:val="both"/>
        <w:rPr>
          <w:rFonts w:ascii="Arial" w:hAnsi="Arial"/>
          <w:sz w:val="16"/>
        </w:rPr>
      </w:pPr>
    </w:p>
    <w:sectPr w:rsidR="00BA4F5B" w:rsidRPr="008826D2" w:rsidSect="00297A38">
      <w:pgSz w:w="12242" w:h="20163" w:code="5"/>
      <w:pgMar w:top="1701" w:right="1701" w:bottom="2268" w:left="1701" w:header="1276" w:footer="170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91BB6" w14:textId="77777777" w:rsidR="001C0310" w:rsidRDefault="001C0310" w:rsidP="00BB0223">
      <w:r>
        <w:separator/>
      </w:r>
    </w:p>
  </w:endnote>
  <w:endnote w:type="continuationSeparator" w:id="0">
    <w:p w14:paraId="1AFC4D6C" w14:textId="77777777" w:rsidR="001C0310" w:rsidRDefault="001C0310" w:rsidP="00BB0223">
      <w:r>
        <w:continuationSeparator/>
      </w:r>
    </w:p>
  </w:endnote>
  <w:endnote w:type="continuationNotice" w:id="1">
    <w:p w14:paraId="277C9746" w14:textId="77777777" w:rsidR="001C0310" w:rsidRDefault="001C03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729866"/>
      <w:docPartObj>
        <w:docPartGallery w:val="Page Numbers (Bottom of Page)"/>
        <w:docPartUnique/>
      </w:docPartObj>
    </w:sdtPr>
    <w:sdtEndPr>
      <w:rPr>
        <w:rFonts w:ascii="Arial" w:hAnsi="Arial" w:cs="Arial"/>
        <w:sz w:val="24"/>
        <w:szCs w:val="24"/>
      </w:rPr>
    </w:sdtEndPr>
    <w:sdtContent>
      <w:p w14:paraId="33A2B1BD" w14:textId="2A189457" w:rsidR="00AF14D1" w:rsidRPr="0047496D" w:rsidRDefault="00AF14D1">
        <w:pPr>
          <w:pStyle w:val="Footer"/>
          <w:jc w:val="center"/>
          <w:rPr>
            <w:rFonts w:ascii="Arial" w:hAnsi="Arial" w:cs="Arial"/>
            <w:sz w:val="24"/>
            <w:szCs w:val="24"/>
          </w:rPr>
        </w:pPr>
        <w:r w:rsidRPr="0047496D">
          <w:rPr>
            <w:rFonts w:ascii="Arial" w:hAnsi="Arial" w:cs="Arial"/>
            <w:sz w:val="24"/>
            <w:szCs w:val="24"/>
          </w:rPr>
          <w:fldChar w:fldCharType="begin"/>
        </w:r>
        <w:r w:rsidRPr="0047496D">
          <w:rPr>
            <w:rFonts w:ascii="Arial" w:hAnsi="Arial" w:cs="Arial"/>
            <w:sz w:val="24"/>
            <w:szCs w:val="24"/>
          </w:rPr>
          <w:instrText>PAGE   \* MERGEFORMAT</w:instrText>
        </w:r>
        <w:r w:rsidRPr="0047496D">
          <w:rPr>
            <w:rFonts w:ascii="Arial" w:hAnsi="Arial" w:cs="Arial"/>
            <w:sz w:val="24"/>
            <w:szCs w:val="24"/>
          </w:rPr>
          <w:fldChar w:fldCharType="separate"/>
        </w:r>
        <w:r w:rsidR="00AA404A" w:rsidRPr="00AA404A">
          <w:rPr>
            <w:rFonts w:ascii="Arial" w:hAnsi="Arial" w:cs="Arial"/>
            <w:noProof/>
            <w:sz w:val="24"/>
            <w:szCs w:val="24"/>
            <w:lang w:val="es-ES"/>
          </w:rPr>
          <w:t>IV</w:t>
        </w:r>
        <w:r w:rsidRPr="0047496D">
          <w:rPr>
            <w:rFonts w:ascii="Arial" w:hAnsi="Arial" w:cs="Arial"/>
            <w:sz w:val="24"/>
            <w:szCs w:val="24"/>
          </w:rPr>
          <w:fldChar w:fldCharType="end"/>
        </w:r>
      </w:p>
    </w:sdtContent>
  </w:sdt>
  <w:p w14:paraId="0BF8AA46" w14:textId="100607E2" w:rsidR="009143F2" w:rsidRDefault="009143F2" w:rsidP="009A6C6A">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750546520"/>
      <w:docPartObj>
        <w:docPartGallery w:val="Page Numbers (Bottom of Page)"/>
        <w:docPartUnique/>
      </w:docPartObj>
    </w:sdtPr>
    <w:sdtEndPr/>
    <w:sdtContent>
      <w:p w14:paraId="3980A71E" w14:textId="2E589B80" w:rsidR="00AF14D1" w:rsidRPr="0047496D" w:rsidRDefault="00AF14D1">
        <w:pPr>
          <w:pStyle w:val="Footer"/>
          <w:jc w:val="center"/>
          <w:rPr>
            <w:rFonts w:ascii="Arial" w:hAnsi="Arial" w:cs="Arial"/>
            <w:sz w:val="24"/>
            <w:szCs w:val="24"/>
          </w:rPr>
        </w:pPr>
        <w:r w:rsidRPr="0047496D">
          <w:rPr>
            <w:rFonts w:ascii="Arial" w:hAnsi="Arial" w:cs="Arial"/>
            <w:sz w:val="24"/>
            <w:szCs w:val="24"/>
          </w:rPr>
          <w:fldChar w:fldCharType="begin"/>
        </w:r>
        <w:r w:rsidRPr="0047496D">
          <w:rPr>
            <w:rFonts w:ascii="Arial" w:hAnsi="Arial" w:cs="Arial"/>
            <w:sz w:val="24"/>
            <w:szCs w:val="24"/>
          </w:rPr>
          <w:instrText>PAGE   \* MERGEFORMAT</w:instrText>
        </w:r>
        <w:r w:rsidRPr="0047496D">
          <w:rPr>
            <w:rFonts w:ascii="Arial" w:hAnsi="Arial" w:cs="Arial"/>
            <w:sz w:val="24"/>
            <w:szCs w:val="24"/>
          </w:rPr>
          <w:fldChar w:fldCharType="separate"/>
        </w:r>
        <w:r w:rsidR="00AA404A" w:rsidRPr="00AA404A">
          <w:rPr>
            <w:rFonts w:ascii="Arial" w:hAnsi="Arial" w:cs="Arial"/>
            <w:noProof/>
            <w:sz w:val="24"/>
            <w:szCs w:val="24"/>
            <w:lang w:val="es-ES"/>
          </w:rPr>
          <w:t>III</w:t>
        </w:r>
        <w:r w:rsidRPr="0047496D">
          <w:rPr>
            <w:rFonts w:ascii="Arial" w:hAnsi="Arial" w:cs="Arial"/>
            <w:sz w:val="24"/>
            <w:szCs w:val="24"/>
          </w:rPr>
          <w:fldChar w:fldCharType="end"/>
        </w:r>
      </w:p>
    </w:sdtContent>
  </w:sdt>
  <w:p w14:paraId="4EC03BB7" w14:textId="77777777" w:rsidR="009143F2" w:rsidRPr="00FB0EE1" w:rsidRDefault="009143F2" w:rsidP="00AF14D1">
    <w:pPr>
      <w:rPr>
        <w:rFonts w:ascii="Arial" w:hAnsi="Arial" w:cs="Arial"/>
        <w:b/>
        <w:bCs/>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bCs/>
        <w:sz w:val="24"/>
        <w:szCs w:val="24"/>
      </w:rPr>
      <w:id w:val="-277406086"/>
      <w:docPartObj>
        <w:docPartGallery w:val="Page Numbers (Bottom of Page)"/>
        <w:docPartUnique/>
      </w:docPartObj>
    </w:sdtPr>
    <w:sdtEndPr/>
    <w:sdtContent>
      <w:p w14:paraId="4C925FF9" w14:textId="77777777" w:rsidR="001B2FC1" w:rsidRPr="001B2FC1" w:rsidRDefault="001B2FC1">
        <w:pPr>
          <w:pStyle w:val="Footer"/>
          <w:jc w:val="center"/>
          <w:rPr>
            <w:rFonts w:ascii="Arial" w:hAnsi="Arial" w:cs="Arial"/>
            <w:b/>
            <w:bCs/>
            <w:sz w:val="24"/>
            <w:szCs w:val="24"/>
          </w:rPr>
        </w:pPr>
      </w:p>
      <w:p w14:paraId="2678A2A8" w14:textId="7EF68CEE" w:rsidR="00AB2105" w:rsidRPr="001B2FC1" w:rsidRDefault="00AB2105">
        <w:pPr>
          <w:pStyle w:val="Footer"/>
          <w:jc w:val="center"/>
          <w:rPr>
            <w:rFonts w:ascii="Arial" w:hAnsi="Arial" w:cs="Arial"/>
            <w:b/>
            <w:bCs/>
            <w:sz w:val="24"/>
            <w:szCs w:val="24"/>
          </w:rPr>
        </w:pPr>
        <w:r w:rsidRPr="001B2FC1">
          <w:rPr>
            <w:rFonts w:ascii="Arial" w:hAnsi="Arial" w:cs="Arial"/>
            <w:b/>
            <w:bCs/>
            <w:sz w:val="24"/>
            <w:szCs w:val="24"/>
          </w:rPr>
          <w:fldChar w:fldCharType="begin"/>
        </w:r>
        <w:r w:rsidRPr="001B2FC1">
          <w:rPr>
            <w:rFonts w:ascii="Arial" w:hAnsi="Arial" w:cs="Arial"/>
            <w:b/>
            <w:bCs/>
            <w:sz w:val="24"/>
            <w:szCs w:val="24"/>
          </w:rPr>
          <w:instrText>PAGE   \* MERGEFORMAT</w:instrText>
        </w:r>
        <w:r w:rsidRPr="001B2FC1">
          <w:rPr>
            <w:rFonts w:ascii="Arial" w:hAnsi="Arial" w:cs="Arial"/>
            <w:b/>
            <w:bCs/>
            <w:sz w:val="24"/>
            <w:szCs w:val="24"/>
          </w:rPr>
          <w:fldChar w:fldCharType="separate"/>
        </w:r>
        <w:r w:rsidR="00AA404A" w:rsidRPr="00AA404A">
          <w:rPr>
            <w:rFonts w:ascii="Arial" w:hAnsi="Arial" w:cs="Arial"/>
            <w:b/>
            <w:bCs/>
            <w:noProof/>
            <w:sz w:val="24"/>
            <w:szCs w:val="24"/>
            <w:lang w:val="es-ES"/>
          </w:rPr>
          <w:t>I</w:t>
        </w:r>
        <w:r w:rsidRPr="001B2FC1">
          <w:rPr>
            <w:rFonts w:ascii="Arial" w:hAnsi="Arial" w:cs="Arial"/>
            <w:b/>
            <w:bCs/>
            <w:sz w:val="24"/>
            <w:szCs w:val="24"/>
          </w:rPr>
          <w:fldChar w:fldCharType="end"/>
        </w:r>
      </w:p>
    </w:sdtContent>
  </w:sdt>
  <w:p w14:paraId="7D04E0A4" w14:textId="77777777" w:rsidR="00FB0EE1" w:rsidRPr="001B2FC1" w:rsidRDefault="00FB0EE1" w:rsidP="00AB2105">
    <w:pPr>
      <w:pStyle w:val="Footer"/>
      <w:jc w:val="center"/>
      <w:rPr>
        <w:rFonts w:ascii="Arial" w:hAnsi="Arial" w:cs="Arial"/>
        <w:b/>
        <w:bCs/>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339388"/>
      <w:docPartObj>
        <w:docPartGallery w:val="Page Numbers (Bottom of Page)"/>
        <w:docPartUnique/>
      </w:docPartObj>
    </w:sdtPr>
    <w:sdtEndPr>
      <w:rPr>
        <w:rFonts w:ascii="Arial" w:hAnsi="Arial" w:cs="Arial"/>
        <w:sz w:val="24"/>
        <w:szCs w:val="24"/>
      </w:rPr>
    </w:sdtEndPr>
    <w:sdtContent>
      <w:p w14:paraId="49527A30" w14:textId="5E557ADD" w:rsidR="00AF14D1" w:rsidRPr="0047496D" w:rsidRDefault="00AF14D1">
        <w:pPr>
          <w:pStyle w:val="Footer"/>
          <w:jc w:val="center"/>
          <w:rPr>
            <w:rFonts w:ascii="Arial" w:hAnsi="Arial" w:cs="Arial"/>
            <w:sz w:val="24"/>
            <w:szCs w:val="24"/>
          </w:rPr>
        </w:pPr>
        <w:r w:rsidRPr="0047496D">
          <w:rPr>
            <w:rFonts w:ascii="Arial" w:hAnsi="Arial" w:cs="Arial"/>
            <w:sz w:val="24"/>
            <w:szCs w:val="24"/>
          </w:rPr>
          <w:fldChar w:fldCharType="begin"/>
        </w:r>
        <w:r w:rsidRPr="0047496D">
          <w:rPr>
            <w:rFonts w:ascii="Arial" w:hAnsi="Arial" w:cs="Arial"/>
            <w:sz w:val="24"/>
            <w:szCs w:val="24"/>
          </w:rPr>
          <w:instrText>PAGE   \* MERGEFORMAT</w:instrText>
        </w:r>
        <w:r w:rsidRPr="0047496D">
          <w:rPr>
            <w:rFonts w:ascii="Arial" w:hAnsi="Arial" w:cs="Arial"/>
            <w:sz w:val="24"/>
            <w:szCs w:val="24"/>
          </w:rPr>
          <w:fldChar w:fldCharType="separate"/>
        </w:r>
        <w:r w:rsidRPr="0047496D">
          <w:rPr>
            <w:rFonts w:ascii="Arial" w:hAnsi="Arial" w:cs="Arial"/>
            <w:sz w:val="24"/>
            <w:szCs w:val="24"/>
            <w:lang w:val="es-ES"/>
          </w:rPr>
          <w:t>2</w:t>
        </w:r>
        <w:r w:rsidRPr="0047496D">
          <w:rPr>
            <w:rFonts w:ascii="Arial" w:hAnsi="Arial" w:cs="Arial"/>
            <w:sz w:val="24"/>
            <w:szCs w:val="24"/>
          </w:rPr>
          <w:fldChar w:fldCharType="end"/>
        </w:r>
      </w:p>
    </w:sdtContent>
  </w:sdt>
  <w:p w14:paraId="60248BF5" w14:textId="77777777" w:rsidR="00AF14D1" w:rsidRDefault="00AF14D1" w:rsidP="009A6C6A">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189985829"/>
      <w:docPartObj>
        <w:docPartGallery w:val="Page Numbers (Bottom of Page)"/>
        <w:docPartUnique/>
      </w:docPartObj>
    </w:sdtPr>
    <w:sdtEndPr/>
    <w:sdtContent>
      <w:p w14:paraId="5F2D6F93" w14:textId="6DB8906C" w:rsidR="00AF14D1" w:rsidRPr="0047496D" w:rsidRDefault="00AF14D1">
        <w:pPr>
          <w:pStyle w:val="Footer"/>
          <w:jc w:val="center"/>
          <w:rPr>
            <w:rFonts w:ascii="Arial" w:hAnsi="Arial" w:cs="Arial"/>
            <w:sz w:val="24"/>
            <w:szCs w:val="24"/>
          </w:rPr>
        </w:pPr>
        <w:r w:rsidRPr="0047496D">
          <w:rPr>
            <w:rFonts w:ascii="Arial" w:hAnsi="Arial" w:cs="Arial"/>
            <w:sz w:val="24"/>
            <w:szCs w:val="24"/>
          </w:rPr>
          <w:fldChar w:fldCharType="begin"/>
        </w:r>
        <w:r w:rsidRPr="0047496D">
          <w:rPr>
            <w:rFonts w:ascii="Arial" w:hAnsi="Arial" w:cs="Arial"/>
            <w:sz w:val="24"/>
            <w:szCs w:val="24"/>
          </w:rPr>
          <w:instrText>PAGE   \* MERGEFORMAT</w:instrText>
        </w:r>
        <w:r w:rsidRPr="0047496D">
          <w:rPr>
            <w:rFonts w:ascii="Arial" w:hAnsi="Arial" w:cs="Arial"/>
            <w:sz w:val="24"/>
            <w:szCs w:val="24"/>
          </w:rPr>
          <w:fldChar w:fldCharType="separate"/>
        </w:r>
        <w:r w:rsidRPr="0047496D">
          <w:rPr>
            <w:rFonts w:ascii="Arial" w:hAnsi="Arial" w:cs="Arial"/>
            <w:sz w:val="24"/>
            <w:szCs w:val="24"/>
            <w:lang w:val="es-ES"/>
          </w:rPr>
          <w:t>2</w:t>
        </w:r>
        <w:r w:rsidRPr="0047496D">
          <w:rPr>
            <w:rFonts w:ascii="Arial" w:hAnsi="Arial" w:cs="Arial"/>
            <w:sz w:val="24"/>
            <w:szCs w:val="24"/>
          </w:rPr>
          <w:fldChar w:fldCharType="end"/>
        </w:r>
      </w:p>
    </w:sdtContent>
  </w:sdt>
  <w:p w14:paraId="21D4002C" w14:textId="77777777" w:rsidR="00AF14D1" w:rsidRPr="00FB0EE1" w:rsidRDefault="00AF14D1" w:rsidP="00AF14D1">
    <w:pPr>
      <w:rPr>
        <w:rFonts w:ascii="Arial" w:hAnsi="Arial" w:cs="Arial"/>
        <w:b/>
        <w:bCs/>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bCs/>
        <w:sz w:val="24"/>
        <w:szCs w:val="24"/>
      </w:rPr>
      <w:id w:val="-1475057623"/>
      <w:docPartObj>
        <w:docPartGallery w:val="Page Numbers (Bottom of Page)"/>
        <w:docPartUnique/>
      </w:docPartObj>
    </w:sdtPr>
    <w:sdtEndPr/>
    <w:sdtContent>
      <w:p w14:paraId="6F3B815D" w14:textId="77777777" w:rsidR="00AB2105" w:rsidRPr="00AB2105" w:rsidRDefault="00AB2105" w:rsidP="00AB2105">
        <w:pPr>
          <w:pStyle w:val="Footer"/>
          <w:jc w:val="center"/>
          <w:rPr>
            <w:rFonts w:ascii="Arial" w:hAnsi="Arial" w:cs="Arial"/>
            <w:b/>
            <w:bCs/>
            <w:sz w:val="24"/>
            <w:szCs w:val="24"/>
          </w:rPr>
        </w:pPr>
      </w:p>
      <w:p w14:paraId="58DEC738" w14:textId="77777777" w:rsidR="00AB2105" w:rsidRPr="00AB2105" w:rsidRDefault="001C0310" w:rsidP="00AB2105">
        <w:pPr>
          <w:pStyle w:val="Footer"/>
          <w:jc w:val="center"/>
          <w:rPr>
            <w:rFonts w:ascii="Arial" w:hAnsi="Arial" w:cs="Arial"/>
            <w:b/>
            <w:bCs/>
            <w:sz w:val="24"/>
            <w:szCs w:val="24"/>
          </w:rPr>
        </w:pPr>
      </w:p>
    </w:sdtContent>
  </w:sdt>
  <w:p w14:paraId="758D81B0" w14:textId="77777777" w:rsidR="00AB2105" w:rsidRPr="00AB2105" w:rsidRDefault="00AB2105" w:rsidP="00AB2105">
    <w:pPr>
      <w:pStyle w:val="Footer"/>
      <w:jc w:val="center"/>
      <w:rPr>
        <w:rFonts w:ascii="Arial" w:hAnsi="Arial" w:cs="Arial"/>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A4E62" w14:textId="77777777" w:rsidR="001C0310" w:rsidRDefault="001C0310" w:rsidP="00BB0223">
      <w:r>
        <w:separator/>
      </w:r>
    </w:p>
  </w:footnote>
  <w:footnote w:type="continuationSeparator" w:id="0">
    <w:p w14:paraId="69AF0B68" w14:textId="77777777" w:rsidR="001C0310" w:rsidRDefault="001C0310" w:rsidP="00BB0223">
      <w:r>
        <w:continuationSeparator/>
      </w:r>
    </w:p>
  </w:footnote>
  <w:footnote w:type="continuationNotice" w:id="1">
    <w:p w14:paraId="1B027316" w14:textId="77777777" w:rsidR="001C0310" w:rsidRDefault="001C0310"/>
  </w:footnote>
  <w:footnote w:id="2">
    <w:p w14:paraId="3375E17A" w14:textId="13380F1A" w:rsidR="001C1BDB" w:rsidRPr="005822F8" w:rsidRDefault="001C1BDB"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00960BD2">
        <w:rPr>
          <w:rFonts w:ascii="Arial" w:hAnsi="Arial" w:cs="Arial"/>
          <w:sz w:val="24"/>
          <w:szCs w:val="24"/>
        </w:rPr>
        <w:t>Tesis 2a./J. 42</w:t>
      </w:r>
      <w:r w:rsidR="00960BD2" w:rsidRPr="00960BD2">
        <w:rPr>
          <w:rFonts w:ascii="Arial" w:hAnsi="Arial" w:cs="Arial"/>
          <w:sz w:val="24"/>
          <w:szCs w:val="24"/>
        </w:rPr>
        <w:t xml:space="preserve">/2010, Novena Época, publicada </w:t>
      </w:r>
      <w:r w:rsidR="00960BD2" w:rsidRPr="00EB6749">
        <w:rPr>
          <w:rFonts w:ascii="Arial" w:hAnsi="Arial" w:cs="Arial"/>
          <w:sz w:val="24"/>
          <w:szCs w:val="24"/>
        </w:rPr>
        <w:t xml:space="preserve">en </w:t>
      </w:r>
      <w:r w:rsidR="00464DCC" w:rsidRPr="00EB6749">
        <w:rPr>
          <w:rFonts w:ascii="Arial" w:hAnsi="Arial" w:cs="Arial"/>
          <w:sz w:val="24"/>
          <w:szCs w:val="24"/>
        </w:rPr>
        <w:t xml:space="preserve">el </w:t>
      </w:r>
      <w:r w:rsidR="00960BD2" w:rsidRPr="00EB6749">
        <w:rPr>
          <w:rFonts w:ascii="Arial" w:hAnsi="Arial" w:cs="Arial"/>
          <w:sz w:val="24"/>
          <w:szCs w:val="24"/>
        </w:rPr>
        <w:t>Semanario</w:t>
      </w:r>
      <w:r w:rsidR="00960BD2" w:rsidRPr="00960BD2">
        <w:rPr>
          <w:rFonts w:ascii="Arial" w:hAnsi="Arial" w:cs="Arial"/>
          <w:sz w:val="24"/>
          <w:szCs w:val="24"/>
        </w:rPr>
        <w:t xml:space="preserve"> Judicial de la Federación y su Gaceta, Abril de 2010, Tomo XXXI, página 427, registro digital</w:t>
      </w:r>
      <w:r w:rsidR="00960BD2" w:rsidRPr="00960BD2">
        <w:rPr>
          <w:rFonts w:ascii="Arial" w:hAnsi="Arial" w:cs="Arial"/>
          <w:b/>
          <w:bCs/>
          <w:sz w:val="24"/>
          <w:szCs w:val="24"/>
        </w:rPr>
        <w:t>: </w:t>
      </w:r>
      <w:r w:rsidR="00960BD2" w:rsidRPr="00960BD2">
        <w:rPr>
          <w:rFonts w:ascii="Arial" w:hAnsi="Arial" w:cs="Arial"/>
          <w:sz w:val="24"/>
          <w:szCs w:val="24"/>
        </w:rPr>
        <w:t>164779</w:t>
      </w:r>
      <w:r w:rsidRPr="00960BD2">
        <w:rPr>
          <w:rFonts w:ascii="Arial" w:hAnsi="Arial" w:cs="Arial"/>
          <w:sz w:val="24"/>
          <w:szCs w:val="24"/>
        </w:rPr>
        <w:t>.</w:t>
      </w:r>
    </w:p>
  </w:footnote>
  <w:footnote w:id="3">
    <w:p w14:paraId="61D11CCC" w14:textId="04407AA0" w:rsidR="001C1BDB" w:rsidRPr="005822F8" w:rsidRDefault="001C1BDB" w:rsidP="00060AE1">
      <w:pPr>
        <w:pStyle w:val="corte4fondo"/>
        <w:tabs>
          <w:tab w:val="center" w:pos="4420"/>
          <w:tab w:val="left" w:pos="6975"/>
        </w:tabs>
        <w:autoSpaceDE w:val="0"/>
        <w:autoSpaceDN w:val="0"/>
        <w:adjustRightInd w:val="0"/>
        <w:spacing w:line="240" w:lineRule="auto"/>
        <w:ind w:firstLine="0"/>
        <w:rPr>
          <w:rFonts w:cs="Arial"/>
          <w:sz w:val="24"/>
          <w:szCs w:val="24"/>
        </w:rPr>
      </w:pPr>
      <w:r w:rsidRPr="005822F8">
        <w:rPr>
          <w:rStyle w:val="FootnoteReference"/>
          <w:rFonts w:cs="Arial"/>
          <w:sz w:val="24"/>
          <w:szCs w:val="24"/>
        </w:rPr>
        <w:footnoteRef/>
      </w:r>
      <w:r w:rsidRPr="005822F8">
        <w:rPr>
          <w:rFonts w:cs="Arial"/>
          <w:sz w:val="24"/>
          <w:szCs w:val="24"/>
        </w:rPr>
        <w:t xml:space="preserve"> 1. Objetivo y Campo de Aplicación Esta Norma Oficial Mexicana tiene por objeto establecer la información comercial y sanitaria que debe contener el etiquetado del producto preenvasado destinado al consumidor final, de fabricación nacional o extranjera, comercializado en territorio nacional, así como determinar las características de dicha información y establecer un sistema de etiquetado frontal, el cual debe advertir de forma clara y veraz sobre el contenido de nutrimentos críticos e ingredientes que representan riesgos para su salud en un consumo excesivo. La presente Norma Oficial Mexicana no se aplica a: a) los alimentos y las bebidas no alcohólicas preenvasados que estén sujetos a disposiciones de información comercial y sanitaria contenidas en Normas Oficiales Mexicanas específicas y que no incluyan como referencia normativa a esta Norma Oficial Mexicana, o en alguna otra reglamentación federal vigente que explícitamente excluya de su cumplimiento al presente ordenamiento; b) los alimentos y las bebidas no alcohólicas a granel; c) los alimentos y las bebidas no alcohólicas envasados en punto de venta; y d) los demás productos que determine la autoridad competente, conforme a sus atribuciones.</w:t>
      </w:r>
    </w:p>
  </w:footnote>
  <w:footnote w:id="4">
    <w:p w14:paraId="2E4AB1CD" w14:textId="77777777" w:rsidR="001C1BDB" w:rsidRPr="005822F8" w:rsidRDefault="001C1BDB"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Norma reclamada. Artículo 3.42 producto preenvasado alimentos y bebidas no alcohólicas que son colocados en un envase de cualquier naturaleza, en ausencia del consumidor y la cantidad de producto contenido en él no puede ser alterada, a menos que el envase sea abierto o modificado perceptiblemente.</w:t>
      </w:r>
    </w:p>
  </w:footnote>
  <w:footnote w:id="5">
    <w:p w14:paraId="0293CA56" w14:textId="77777777" w:rsidR="001C1BDB" w:rsidRPr="005822F8" w:rsidRDefault="001C1BDB"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Norma reclamada. Artículo 3.40 producto a granel producto colocado en un envase de cualquier naturaleza y cuyo contenido puede ser variable, debiéndose pesar, contar o medir en presencia del consumidor al momento de su venta.</w:t>
      </w:r>
    </w:p>
  </w:footnote>
  <w:footnote w:id="6">
    <w:p w14:paraId="249B2FD3" w14:textId="54F3D01E" w:rsidR="0098078F" w:rsidRPr="005822F8" w:rsidRDefault="0098078F" w:rsidP="005852EB">
      <w:pPr>
        <w:pStyle w:val="NormalWeb"/>
        <w:shd w:val="clear" w:color="auto" w:fill="FFFFFF"/>
        <w:spacing w:before="0" w:beforeAutospacing="0" w:after="150" w:afterAutospacing="0"/>
        <w:jc w:val="both"/>
        <w:rPr>
          <w:rFonts w:ascii="Arial" w:hAnsi="Arial" w:cs="Arial"/>
        </w:rPr>
      </w:pPr>
      <w:r w:rsidRPr="005822F8">
        <w:rPr>
          <w:rStyle w:val="FootnoteReference"/>
          <w:rFonts w:ascii="Arial" w:hAnsi="Arial" w:cs="Arial"/>
        </w:rPr>
        <w:footnoteRef/>
      </w:r>
      <w:r w:rsidR="005852EB">
        <w:t xml:space="preserve"> </w:t>
      </w:r>
      <w:hyperlink r:id="rId1" w:history="1">
        <w:r w:rsidR="005852EB" w:rsidRPr="00B435C1">
          <w:rPr>
            <w:rStyle w:val="Hyperlink"/>
            <w:rFonts w:ascii="Arial" w:hAnsi="Arial" w:cs="Arial"/>
          </w:rPr>
          <w:t>https://www.paho.org/es/temas/etiquetado-frontal</w:t>
        </w:r>
      </w:hyperlink>
      <w:r w:rsidRPr="005822F8">
        <w:rPr>
          <w:rFonts w:ascii="Arial" w:hAnsi="Arial" w:cs="Arial"/>
        </w:rPr>
        <w:t>. La OPS tiene 35 Estados Miembros y cuatro Miembros Asociados en la región. Bajo su liderazgo, se establecen las prioridades sanitarias de la región para enfrentar juntos problemas comunes que no respetan fronteras y que, en muchos casos, pueden poner en riesgo la sostenibilidad de los sistemas de salud. La OPS viste dos sombreros institucionales: es la agencia especializada en salud del Sistema Interamericano y sirve como la oficina regional para las Américas de la Organización Mundial de la Salud (OMS).</w:t>
      </w:r>
    </w:p>
  </w:footnote>
  <w:footnote w:id="7">
    <w:p w14:paraId="56C34983" w14:textId="1C1B1F3F" w:rsidR="00720AB7" w:rsidRPr="00EB6749" w:rsidRDefault="00720AB7"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Tesis 1a. CCCXII/</w:t>
      </w:r>
      <w:r w:rsidRPr="00EB6749">
        <w:rPr>
          <w:rFonts w:ascii="Arial" w:hAnsi="Arial" w:cs="Arial"/>
          <w:sz w:val="24"/>
          <w:szCs w:val="24"/>
        </w:rPr>
        <w:t>2013</w:t>
      </w:r>
      <w:r w:rsidR="00BD55FF" w:rsidRPr="00EB6749">
        <w:rPr>
          <w:rFonts w:ascii="Arial" w:hAnsi="Arial" w:cs="Arial"/>
          <w:sz w:val="24"/>
          <w:szCs w:val="24"/>
        </w:rPr>
        <w:t xml:space="preserve"> (10a.)</w:t>
      </w:r>
      <w:r w:rsidRPr="00EB6749">
        <w:rPr>
          <w:rFonts w:ascii="Arial" w:hAnsi="Arial" w:cs="Arial"/>
          <w:sz w:val="24"/>
          <w:szCs w:val="24"/>
        </w:rPr>
        <w:t xml:space="preserve">, de rubro: </w:t>
      </w:r>
      <w:r w:rsidRPr="00EB6749">
        <w:rPr>
          <w:rFonts w:ascii="Arial" w:hAnsi="Arial" w:cs="Arial"/>
          <w:b/>
          <w:sz w:val="24"/>
          <w:szCs w:val="24"/>
        </w:rPr>
        <w:t>“INTENSIDAD DEL ANÁLISIS DE CONSTITUCIONALIDAD Y USO DEL PRINCIPIO DE PROPORCIONALIDAD. SU APLICACIÓN EN RELACIÓN CON LOS DERECHOS HUMANOS”</w:t>
      </w:r>
      <w:r w:rsidRPr="00EB6749">
        <w:rPr>
          <w:rFonts w:ascii="Arial" w:hAnsi="Arial" w:cs="Arial"/>
          <w:sz w:val="24"/>
          <w:szCs w:val="24"/>
        </w:rPr>
        <w:t>. Consultable en el Semanario Judicial de la Federación y su Gaceta, Décima Época, Libro XXV, octubre de 2013, Tomo 2. Página 1052. Registro digital 2004712.</w:t>
      </w:r>
    </w:p>
  </w:footnote>
  <w:footnote w:id="8">
    <w:p w14:paraId="29E2CDC1" w14:textId="6193686F" w:rsidR="00534BA8" w:rsidRPr="005822F8" w:rsidRDefault="00534BA8" w:rsidP="00A75C83">
      <w:pPr>
        <w:pStyle w:val="FootnoteText"/>
        <w:jc w:val="both"/>
        <w:rPr>
          <w:rFonts w:ascii="Arial" w:hAnsi="Arial" w:cs="Arial"/>
          <w:sz w:val="24"/>
          <w:szCs w:val="24"/>
        </w:rPr>
      </w:pPr>
      <w:r w:rsidRPr="00EB6749">
        <w:rPr>
          <w:rStyle w:val="FootnoteReference"/>
          <w:rFonts w:ascii="Arial" w:hAnsi="Arial" w:cs="Arial"/>
          <w:sz w:val="24"/>
          <w:szCs w:val="24"/>
        </w:rPr>
        <w:footnoteRef/>
      </w:r>
      <w:r w:rsidRPr="00EB6749">
        <w:rPr>
          <w:rFonts w:ascii="Arial" w:hAnsi="Arial" w:cs="Arial"/>
          <w:sz w:val="24"/>
          <w:szCs w:val="24"/>
        </w:rPr>
        <w:t>Tesis 1a. CCLXV/2016</w:t>
      </w:r>
      <w:r w:rsidR="00BD55FF" w:rsidRPr="00EB6749">
        <w:rPr>
          <w:rFonts w:ascii="Arial" w:hAnsi="Arial" w:cs="Arial"/>
          <w:sz w:val="24"/>
          <w:szCs w:val="24"/>
        </w:rPr>
        <w:t xml:space="preserve"> (10a.)</w:t>
      </w:r>
      <w:r w:rsidRPr="00EB6749">
        <w:rPr>
          <w:rFonts w:ascii="Arial" w:hAnsi="Arial" w:cs="Arial"/>
          <w:sz w:val="24"/>
          <w:szCs w:val="24"/>
        </w:rPr>
        <w:t>, de rubro:</w:t>
      </w:r>
      <w:r w:rsidRPr="005822F8">
        <w:rPr>
          <w:rFonts w:ascii="Arial" w:hAnsi="Arial" w:cs="Arial"/>
          <w:sz w:val="24"/>
          <w:szCs w:val="24"/>
        </w:rPr>
        <w:t xml:space="preserve"> </w:t>
      </w:r>
      <w:r w:rsidRPr="005822F8">
        <w:rPr>
          <w:rFonts w:ascii="Arial" w:hAnsi="Arial" w:cs="Arial"/>
          <w:b/>
          <w:sz w:val="24"/>
          <w:szCs w:val="24"/>
        </w:rPr>
        <w:t>“PRIMERA ETAPA DEL TEST DE PROPORCIONALIDAD. IDENTIFICACIÓN DE UNA FINALIDAD CONSTITUCIONALMENTE VÁLIDA”</w:t>
      </w:r>
      <w:r w:rsidRPr="005822F8">
        <w:rPr>
          <w:rFonts w:ascii="Arial" w:hAnsi="Arial" w:cs="Arial"/>
          <w:sz w:val="24"/>
          <w:szCs w:val="24"/>
        </w:rPr>
        <w:t>. Consultable en la Gaceta del Semanario Judicial de la Federación, Libro 36, noviembre de 2016, Tomo II. Página 902. Registro digital 2013143.</w:t>
      </w:r>
      <w:r w:rsidR="00BD55FF">
        <w:rPr>
          <w:rFonts w:ascii="Arial" w:hAnsi="Arial" w:cs="Arial"/>
          <w:sz w:val="24"/>
          <w:szCs w:val="24"/>
        </w:rPr>
        <w:t xml:space="preserve"> </w:t>
      </w:r>
    </w:p>
  </w:footnote>
  <w:footnote w:id="9">
    <w:p w14:paraId="7CFC27CC" w14:textId="1D50992C" w:rsidR="00534BA8" w:rsidRPr="004173B9" w:rsidRDefault="00534BA8"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Tesis 1a. </w:t>
      </w:r>
      <w:r w:rsidRPr="004173B9">
        <w:rPr>
          <w:rFonts w:ascii="Arial" w:hAnsi="Arial" w:cs="Arial"/>
          <w:sz w:val="24"/>
          <w:szCs w:val="24"/>
        </w:rPr>
        <w:t>CCLXVIII/2016</w:t>
      </w:r>
      <w:r w:rsidR="007D3068" w:rsidRPr="004173B9">
        <w:rPr>
          <w:rFonts w:ascii="Arial" w:hAnsi="Arial" w:cs="Arial"/>
          <w:sz w:val="24"/>
          <w:szCs w:val="24"/>
        </w:rPr>
        <w:t xml:space="preserve"> (10a.)</w:t>
      </w:r>
      <w:r w:rsidRPr="004173B9">
        <w:rPr>
          <w:rFonts w:ascii="Arial" w:hAnsi="Arial" w:cs="Arial"/>
          <w:sz w:val="24"/>
          <w:szCs w:val="24"/>
        </w:rPr>
        <w:t xml:space="preserve">, de rubro: </w:t>
      </w:r>
      <w:r w:rsidRPr="004173B9">
        <w:rPr>
          <w:rFonts w:ascii="Arial" w:hAnsi="Arial" w:cs="Arial"/>
          <w:b/>
          <w:sz w:val="24"/>
          <w:szCs w:val="24"/>
        </w:rPr>
        <w:t>“SEGUNDA ETAPA DEL TEST DE PROPORCIONALIDAD. EXAMEN DE LA IDONEIDAD DE LA MEDIDA LEGISLATIVA”.</w:t>
      </w:r>
      <w:r w:rsidRPr="004173B9">
        <w:rPr>
          <w:rFonts w:ascii="Arial" w:hAnsi="Arial" w:cs="Arial"/>
          <w:sz w:val="24"/>
          <w:szCs w:val="24"/>
        </w:rPr>
        <w:t xml:space="preserve"> Consultable en la Gaceta del Semanario Judicial de la Federación, </w:t>
      </w:r>
      <w:r w:rsidR="007D3068" w:rsidRPr="004173B9">
        <w:rPr>
          <w:rFonts w:ascii="Arial" w:hAnsi="Arial" w:cs="Arial"/>
          <w:sz w:val="24"/>
          <w:szCs w:val="24"/>
        </w:rPr>
        <w:t xml:space="preserve">Décima Época, </w:t>
      </w:r>
      <w:r w:rsidRPr="004173B9">
        <w:rPr>
          <w:rFonts w:ascii="Arial" w:hAnsi="Arial" w:cs="Arial"/>
          <w:sz w:val="24"/>
          <w:szCs w:val="24"/>
        </w:rPr>
        <w:t>Libro 36, noviembre de 2016, Tomo II, página 911. Registro digital 2013152, así como la tesis 1a. CCLXX/2016</w:t>
      </w:r>
      <w:r w:rsidR="007D3068" w:rsidRPr="004173B9">
        <w:rPr>
          <w:rFonts w:ascii="Arial" w:hAnsi="Arial" w:cs="Arial"/>
          <w:sz w:val="24"/>
          <w:szCs w:val="24"/>
        </w:rPr>
        <w:t xml:space="preserve"> (10a.)</w:t>
      </w:r>
      <w:r w:rsidRPr="004173B9">
        <w:rPr>
          <w:rFonts w:ascii="Arial" w:hAnsi="Arial" w:cs="Arial"/>
          <w:sz w:val="24"/>
          <w:szCs w:val="24"/>
        </w:rPr>
        <w:t xml:space="preserve">, de rubro: </w:t>
      </w:r>
      <w:r w:rsidRPr="004173B9">
        <w:rPr>
          <w:rFonts w:ascii="Arial" w:hAnsi="Arial" w:cs="Arial"/>
          <w:b/>
          <w:sz w:val="24"/>
          <w:szCs w:val="24"/>
        </w:rPr>
        <w:t>“TERCERA ETAPA DEL TEST DE PROPORCIONALIDAD. EXAMEN DE LA NECESIDAD DE LA MEDIDA LEGISLATIVA”.</w:t>
      </w:r>
      <w:r w:rsidRPr="004173B9">
        <w:rPr>
          <w:rFonts w:ascii="Arial" w:hAnsi="Arial" w:cs="Arial"/>
          <w:sz w:val="24"/>
          <w:szCs w:val="24"/>
        </w:rPr>
        <w:t xml:space="preserve"> Consultable en la Gaceta del Semanario Judicial de la Federación, </w:t>
      </w:r>
      <w:r w:rsidR="007D3068" w:rsidRPr="004173B9">
        <w:rPr>
          <w:rFonts w:ascii="Arial" w:hAnsi="Arial" w:cs="Arial"/>
          <w:sz w:val="24"/>
          <w:szCs w:val="24"/>
        </w:rPr>
        <w:t xml:space="preserve">Décima Época, </w:t>
      </w:r>
      <w:r w:rsidRPr="004173B9">
        <w:rPr>
          <w:rFonts w:ascii="Arial" w:hAnsi="Arial" w:cs="Arial"/>
          <w:sz w:val="24"/>
          <w:szCs w:val="24"/>
        </w:rPr>
        <w:t>Libro 36, noviembre de 2016, Tomo II. Página 914. Registro digital 2013154.</w:t>
      </w:r>
      <w:r w:rsidR="007D3068" w:rsidRPr="004173B9">
        <w:rPr>
          <w:rFonts w:ascii="Arial" w:hAnsi="Arial" w:cs="Arial"/>
          <w:sz w:val="24"/>
          <w:szCs w:val="24"/>
        </w:rPr>
        <w:t xml:space="preserve"> </w:t>
      </w:r>
    </w:p>
  </w:footnote>
  <w:footnote w:id="10">
    <w:p w14:paraId="708FB046" w14:textId="45B71185" w:rsidR="00534BA8" w:rsidRPr="004173B9" w:rsidRDefault="00534BA8" w:rsidP="00A75C83">
      <w:pPr>
        <w:pStyle w:val="FootnoteText"/>
        <w:jc w:val="both"/>
        <w:rPr>
          <w:rFonts w:ascii="Arial" w:hAnsi="Arial" w:cs="Arial"/>
          <w:sz w:val="24"/>
          <w:szCs w:val="24"/>
        </w:rPr>
      </w:pPr>
      <w:r w:rsidRPr="004173B9">
        <w:rPr>
          <w:rStyle w:val="FootnoteReference"/>
          <w:rFonts w:ascii="Arial" w:hAnsi="Arial" w:cs="Arial"/>
          <w:sz w:val="24"/>
          <w:szCs w:val="24"/>
        </w:rPr>
        <w:footnoteRef/>
      </w:r>
      <w:r w:rsidRPr="004173B9">
        <w:rPr>
          <w:rFonts w:ascii="Arial" w:hAnsi="Arial" w:cs="Arial"/>
          <w:sz w:val="24"/>
          <w:szCs w:val="24"/>
        </w:rPr>
        <w:t>Tesis 1a. CCLXXII/2016</w:t>
      </w:r>
      <w:r w:rsidR="007D3068" w:rsidRPr="004173B9">
        <w:rPr>
          <w:rFonts w:ascii="Arial" w:hAnsi="Arial" w:cs="Arial"/>
          <w:sz w:val="24"/>
          <w:szCs w:val="24"/>
        </w:rPr>
        <w:t xml:space="preserve"> (10a.),</w:t>
      </w:r>
      <w:r w:rsidRPr="004173B9">
        <w:rPr>
          <w:rFonts w:ascii="Arial" w:hAnsi="Arial" w:cs="Arial"/>
          <w:sz w:val="24"/>
          <w:szCs w:val="24"/>
        </w:rPr>
        <w:t xml:space="preserve"> de rubro: </w:t>
      </w:r>
      <w:r w:rsidRPr="004173B9">
        <w:rPr>
          <w:rFonts w:ascii="Arial" w:hAnsi="Arial" w:cs="Arial"/>
          <w:b/>
          <w:sz w:val="24"/>
          <w:szCs w:val="24"/>
        </w:rPr>
        <w:t>“CUARTA ETAPA DEL TEST DE PROPORCIONALIDAD. EXAMEN DE LA PROPORCIONALIDAD EN SENTIDO ESTRICTO DE LA MEDIDA LEGISLATIVA”.</w:t>
      </w:r>
      <w:r w:rsidRPr="004173B9">
        <w:rPr>
          <w:rFonts w:ascii="Arial" w:hAnsi="Arial" w:cs="Arial"/>
          <w:sz w:val="24"/>
          <w:szCs w:val="24"/>
        </w:rPr>
        <w:t xml:space="preserve"> Consultable en la Gaceta del Semanario Judicial de la Federación, </w:t>
      </w:r>
      <w:r w:rsidR="007D3068" w:rsidRPr="004173B9">
        <w:rPr>
          <w:rFonts w:ascii="Arial" w:hAnsi="Arial" w:cs="Arial"/>
          <w:sz w:val="24"/>
          <w:szCs w:val="24"/>
        </w:rPr>
        <w:t xml:space="preserve"> Décima Época, </w:t>
      </w:r>
      <w:r w:rsidRPr="004173B9">
        <w:rPr>
          <w:rFonts w:ascii="Arial" w:hAnsi="Arial" w:cs="Arial"/>
          <w:sz w:val="24"/>
          <w:szCs w:val="24"/>
        </w:rPr>
        <w:t>Libro 36, noviembre de 2016, Tomo II. Página 894. Registro digital 2013136.</w:t>
      </w:r>
    </w:p>
  </w:footnote>
  <w:footnote w:id="11">
    <w:p w14:paraId="3259AE8B" w14:textId="4451D80E" w:rsidR="00720AB7" w:rsidRPr="005822F8" w:rsidRDefault="00720AB7" w:rsidP="00A75C83">
      <w:pPr>
        <w:pStyle w:val="FootnoteText"/>
        <w:jc w:val="both"/>
        <w:rPr>
          <w:rFonts w:ascii="Arial" w:hAnsi="Arial" w:cs="Arial"/>
          <w:sz w:val="24"/>
          <w:szCs w:val="24"/>
        </w:rPr>
      </w:pPr>
      <w:r w:rsidRPr="004173B9">
        <w:rPr>
          <w:rStyle w:val="FootnoteReference"/>
          <w:rFonts w:ascii="Arial" w:hAnsi="Arial" w:cs="Arial"/>
          <w:sz w:val="24"/>
          <w:szCs w:val="24"/>
        </w:rPr>
        <w:footnoteRef/>
      </w:r>
      <w:r w:rsidRPr="004173B9">
        <w:rPr>
          <w:rFonts w:ascii="Arial" w:hAnsi="Arial" w:cs="Arial"/>
          <w:sz w:val="24"/>
          <w:szCs w:val="24"/>
        </w:rPr>
        <w:t xml:space="preserve"> Tesis 1</w:t>
      </w:r>
      <w:r w:rsidR="007D3068" w:rsidRPr="004173B9">
        <w:rPr>
          <w:rFonts w:ascii="Arial" w:hAnsi="Arial" w:cs="Arial"/>
          <w:sz w:val="24"/>
          <w:szCs w:val="24"/>
        </w:rPr>
        <w:t>a</w:t>
      </w:r>
      <w:r w:rsidRPr="004173B9">
        <w:rPr>
          <w:rFonts w:ascii="Arial" w:hAnsi="Arial" w:cs="Arial"/>
          <w:sz w:val="24"/>
          <w:szCs w:val="24"/>
        </w:rPr>
        <w:t xml:space="preserve">. LIII/2012 (10a), de rubro: </w:t>
      </w:r>
      <w:r w:rsidRPr="004173B9">
        <w:rPr>
          <w:rFonts w:ascii="Arial" w:hAnsi="Arial" w:cs="Arial"/>
          <w:b/>
          <w:bCs/>
          <w:sz w:val="24"/>
          <w:szCs w:val="24"/>
        </w:rPr>
        <w:t>“TEST DE PROPORCIONALIDAD DE LAS LEYES FISCALES. EN ATENCIÓN A LA</w:t>
      </w:r>
      <w:r w:rsidRPr="005822F8">
        <w:rPr>
          <w:rFonts w:ascii="Arial" w:hAnsi="Arial" w:cs="Arial"/>
          <w:b/>
          <w:bCs/>
          <w:sz w:val="24"/>
          <w:szCs w:val="24"/>
        </w:rPr>
        <w:t xml:space="preserve"> INTENSIDAD DEL CONTROL CONSTITUCIONAL DE LAS MISMAS, SU APLICACIÓN POR PARTE DE LA SUPREMA CORTE REQUIERE DE UN MÍNIMO Y NO DE UN MÁXIMO DE JUSTIFICACIÓN DE LOS ELEMENTOS QUE LO CONFORMAN”.</w:t>
      </w:r>
      <w:r w:rsidRPr="005822F8">
        <w:rPr>
          <w:rFonts w:ascii="Arial" w:hAnsi="Arial" w:cs="Arial"/>
          <w:sz w:val="24"/>
          <w:szCs w:val="24"/>
        </w:rPr>
        <w:t xml:space="preserve"> Consultable en el Semanario Judicial de la Federación y su Gaceta, Libro VII, de abril de 2012, Tomo 1, Página 882, de la Décima Época.</w:t>
      </w:r>
    </w:p>
  </w:footnote>
  <w:footnote w:id="12">
    <w:p w14:paraId="2BC32292" w14:textId="77777777" w:rsidR="00FA2893" w:rsidRPr="005822F8" w:rsidRDefault="00FA2893"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hAnsi="Arial" w:cs="Arial"/>
          <w:b/>
          <w:sz w:val="24"/>
          <w:szCs w:val="24"/>
        </w:rPr>
        <w:t>Artículo 4.</w:t>
      </w:r>
      <w:r w:rsidRPr="005822F8">
        <w:rPr>
          <w:rFonts w:ascii="Arial" w:hAnsi="Arial" w:cs="Arial"/>
          <w:sz w:val="24"/>
          <w:szCs w:val="24"/>
        </w:rPr>
        <w:t xml:space="preserve"> </w:t>
      </w:r>
    </w:p>
    <w:p w14:paraId="7811F5B4" w14:textId="77777777" w:rsidR="00FA2893" w:rsidRPr="005822F8" w:rsidRDefault="00FA2893" w:rsidP="00A75C83">
      <w:pPr>
        <w:pStyle w:val="FootnoteText"/>
        <w:jc w:val="both"/>
        <w:rPr>
          <w:rFonts w:ascii="Arial" w:hAnsi="Arial" w:cs="Arial"/>
          <w:b/>
          <w:sz w:val="24"/>
          <w:szCs w:val="24"/>
        </w:rPr>
      </w:pPr>
      <w:r w:rsidRPr="005822F8">
        <w:rPr>
          <w:rFonts w:ascii="Arial" w:hAnsi="Arial" w:cs="Arial"/>
          <w:sz w:val="24"/>
          <w:szCs w:val="24"/>
        </w:rPr>
        <w:t>[…]</w:t>
      </w:r>
    </w:p>
    <w:p w14:paraId="640C0335" w14:textId="77777777" w:rsidR="00FA2893" w:rsidRPr="005822F8" w:rsidRDefault="00FA2893" w:rsidP="00A75C83">
      <w:pPr>
        <w:pStyle w:val="FootnoteText"/>
        <w:jc w:val="both"/>
        <w:rPr>
          <w:rFonts w:ascii="Arial" w:hAnsi="Arial" w:cs="Arial"/>
          <w:b/>
          <w:sz w:val="24"/>
          <w:szCs w:val="24"/>
        </w:rPr>
      </w:pPr>
      <w:r w:rsidRPr="005822F8">
        <w:rPr>
          <w:rFonts w:ascii="Arial" w:hAnsi="Arial" w:cs="Arial"/>
          <w:sz w:val="24"/>
          <w:szCs w:val="24"/>
        </w:rPr>
        <w:t xml:space="preserve">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w:t>
      </w:r>
    </w:p>
  </w:footnote>
  <w:footnote w:id="13">
    <w:p w14:paraId="3BE3FC2B" w14:textId="77777777" w:rsidR="00FA2893" w:rsidRPr="005822F8" w:rsidRDefault="00FA2893"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Tesis P. LXVIII/2009, de rubro: “</w:t>
      </w:r>
      <w:r w:rsidRPr="005822F8">
        <w:rPr>
          <w:rFonts w:ascii="Arial" w:hAnsi="Arial" w:cs="Arial"/>
          <w:b/>
          <w:sz w:val="24"/>
          <w:szCs w:val="24"/>
        </w:rPr>
        <w:t>DERECHO A LA SALUD. NO SE LIMITA AL ASPECTO FÍSICO, SINO QUE SE TRADUCE EN LA OBTENCIÓN DE UN DETERMINADO BIENESTAR GENERAL</w:t>
      </w:r>
      <w:r w:rsidRPr="005822F8">
        <w:rPr>
          <w:rFonts w:ascii="Arial" w:hAnsi="Arial" w:cs="Arial"/>
          <w:sz w:val="24"/>
          <w:szCs w:val="24"/>
        </w:rPr>
        <w:t>”. Consultable en la Novena Época del Semanario Judicial de la Federación y su Gaceta, tomo XXX, Diciembre de 2009, Página 6.</w:t>
      </w:r>
    </w:p>
  </w:footnote>
  <w:footnote w:id="14">
    <w:p w14:paraId="344DD763" w14:textId="256E6ADA" w:rsidR="00FA2893" w:rsidRPr="004173B9" w:rsidRDefault="00FA2893"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Tesis P./J. 136/2008, de rubro: “</w:t>
      </w:r>
      <w:r w:rsidRPr="005822F8">
        <w:rPr>
          <w:rFonts w:ascii="Arial" w:hAnsi="Arial" w:cs="Arial"/>
          <w:b/>
          <w:sz w:val="24"/>
          <w:szCs w:val="24"/>
        </w:rPr>
        <w:t xml:space="preserve">SALUD. EL DERECHO A SU PROTECCIÓN CONFORME AL ARTÍCULO 4o., TERCER PÁRRAFO, DE LA CONSTITUCIÓN POLÍTICA DE LOS ESTADOS UNIDOS MEXICANOS, ES UNA RESPONSABILIDAD </w:t>
      </w:r>
      <w:r w:rsidRPr="004173B9">
        <w:rPr>
          <w:rFonts w:ascii="Arial" w:hAnsi="Arial" w:cs="Arial"/>
          <w:b/>
          <w:sz w:val="24"/>
          <w:szCs w:val="24"/>
        </w:rPr>
        <w:t>SOCIAL</w:t>
      </w:r>
      <w:r w:rsidRPr="004173B9">
        <w:rPr>
          <w:rFonts w:ascii="Arial" w:hAnsi="Arial" w:cs="Arial"/>
          <w:sz w:val="24"/>
          <w:szCs w:val="24"/>
        </w:rPr>
        <w:t>”. Consultable en el Semanario Judicial de la Federación y su Gaceta,</w:t>
      </w:r>
      <w:r w:rsidR="00B95F4C" w:rsidRPr="004173B9">
        <w:rPr>
          <w:rFonts w:ascii="Arial" w:hAnsi="Arial" w:cs="Arial"/>
          <w:sz w:val="24"/>
          <w:szCs w:val="24"/>
        </w:rPr>
        <w:t xml:space="preserve"> Novena Época,</w:t>
      </w:r>
      <w:r w:rsidRPr="004173B9">
        <w:rPr>
          <w:rFonts w:ascii="Arial" w:hAnsi="Arial" w:cs="Arial"/>
          <w:sz w:val="24"/>
          <w:szCs w:val="24"/>
        </w:rPr>
        <w:t xml:space="preserve"> tomo XXVIII, octubre de 2008, Página 61.</w:t>
      </w:r>
    </w:p>
  </w:footnote>
  <w:footnote w:id="15">
    <w:p w14:paraId="294CBBAC" w14:textId="058E5D52" w:rsidR="00FA2893" w:rsidRPr="005822F8" w:rsidRDefault="00FA2893" w:rsidP="00A75C83">
      <w:pPr>
        <w:pStyle w:val="FootnoteText"/>
        <w:jc w:val="both"/>
        <w:rPr>
          <w:rFonts w:ascii="Arial" w:hAnsi="Arial" w:cs="Arial"/>
          <w:sz w:val="24"/>
          <w:szCs w:val="24"/>
        </w:rPr>
      </w:pPr>
      <w:r w:rsidRPr="004173B9">
        <w:rPr>
          <w:rStyle w:val="FootnoteReference"/>
          <w:rFonts w:ascii="Arial" w:hAnsi="Arial" w:cs="Arial"/>
          <w:sz w:val="24"/>
          <w:szCs w:val="24"/>
        </w:rPr>
        <w:footnoteRef/>
      </w:r>
      <w:r w:rsidRPr="004173B9">
        <w:rPr>
          <w:rFonts w:ascii="Arial" w:hAnsi="Arial" w:cs="Arial"/>
          <w:sz w:val="24"/>
          <w:szCs w:val="24"/>
        </w:rPr>
        <w:t xml:space="preserve"> Sentencia de </w:t>
      </w:r>
      <w:r w:rsidR="00D3671F">
        <w:rPr>
          <w:rFonts w:ascii="Arial" w:hAnsi="Arial" w:cs="Arial"/>
          <w:sz w:val="24"/>
          <w:szCs w:val="24"/>
        </w:rPr>
        <w:t>diez</w:t>
      </w:r>
      <w:r w:rsidRPr="004173B9">
        <w:rPr>
          <w:rFonts w:ascii="Arial" w:hAnsi="Arial" w:cs="Arial"/>
          <w:sz w:val="24"/>
          <w:szCs w:val="24"/>
        </w:rPr>
        <w:t xml:space="preserve"> de junio de </w:t>
      </w:r>
      <w:r w:rsidR="00D3671F">
        <w:rPr>
          <w:rFonts w:ascii="Arial" w:hAnsi="Arial" w:cs="Arial"/>
          <w:sz w:val="24"/>
          <w:szCs w:val="24"/>
        </w:rPr>
        <w:t>dos mil quince</w:t>
      </w:r>
      <w:r w:rsidRPr="004173B9">
        <w:rPr>
          <w:rFonts w:ascii="Arial" w:hAnsi="Arial" w:cs="Arial"/>
          <w:sz w:val="24"/>
          <w:szCs w:val="24"/>
        </w:rPr>
        <w:t>, resuelt</w:t>
      </w:r>
      <w:r w:rsidR="00B95F4C" w:rsidRPr="004173B9">
        <w:rPr>
          <w:rFonts w:ascii="Arial" w:hAnsi="Arial" w:cs="Arial"/>
          <w:sz w:val="24"/>
          <w:szCs w:val="24"/>
        </w:rPr>
        <w:t>o</w:t>
      </w:r>
      <w:r w:rsidRPr="005822F8">
        <w:rPr>
          <w:rFonts w:ascii="Arial" w:hAnsi="Arial" w:cs="Arial"/>
          <w:sz w:val="24"/>
          <w:szCs w:val="24"/>
        </w:rPr>
        <w:t xml:space="preserve"> por mayoría</w:t>
      </w:r>
      <w:r w:rsidRPr="005822F8">
        <w:rPr>
          <w:rFonts w:ascii="Arial" w:hAnsi="Arial" w:cs="Arial"/>
          <w:i/>
          <w:sz w:val="24"/>
          <w:szCs w:val="24"/>
        </w:rPr>
        <w:t xml:space="preserve"> </w:t>
      </w:r>
      <w:r w:rsidRPr="005822F8">
        <w:rPr>
          <w:rFonts w:ascii="Arial" w:hAnsi="Arial" w:cs="Arial"/>
          <w:sz w:val="24"/>
          <w:szCs w:val="24"/>
        </w:rPr>
        <w:t>de</w:t>
      </w:r>
      <w:r w:rsidRPr="005822F8">
        <w:rPr>
          <w:rFonts w:ascii="Arial" w:hAnsi="Arial" w:cs="Arial"/>
          <w:i/>
          <w:sz w:val="24"/>
          <w:szCs w:val="24"/>
        </w:rPr>
        <w:t xml:space="preserve"> </w:t>
      </w:r>
      <w:r w:rsidRPr="005822F8">
        <w:rPr>
          <w:rFonts w:ascii="Arial" w:hAnsi="Arial" w:cs="Arial"/>
          <w:sz w:val="24"/>
          <w:szCs w:val="24"/>
        </w:rPr>
        <w:t xml:space="preserve">cuatro votos de los </w:t>
      </w:r>
      <w:r w:rsidR="00D3671F">
        <w:rPr>
          <w:rFonts w:ascii="Arial" w:hAnsi="Arial" w:cs="Arial"/>
          <w:sz w:val="24"/>
          <w:szCs w:val="24"/>
        </w:rPr>
        <w:t>s</w:t>
      </w:r>
      <w:r w:rsidRPr="005822F8">
        <w:rPr>
          <w:rFonts w:ascii="Arial" w:hAnsi="Arial" w:cs="Arial"/>
          <w:sz w:val="24"/>
          <w:szCs w:val="24"/>
        </w:rPr>
        <w:t>eñores Ministros: José Ramón Cossío Díaz, Jorge Mario Pardo Rebolledo (Ponente), Olga Sánchez Cordero de García Villegas y Presidente Alfredo Gutiérrez Ortiz Mena, en contra del emitido por el Ministro Arturo Zaldívar Lelo de Larrea, quien manifestó que se reserva el derecho de formular voto particular.</w:t>
      </w:r>
    </w:p>
  </w:footnote>
  <w:footnote w:id="16">
    <w:p w14:paraId="7FC86CA1" w14:textId="77777777" w:rsidR="00FA2893" w:rsidRPr="005822F8" w:rsidRDefault="00FA2893"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Ley General de Salud.</w:t>
      </w:r>
    </w:p>
    <w:p w14:paraId="46FC50B4" w14:textId="77777777" w:rsidR="00FA2893" w:rsidRPr="005822F8" w:rsidRDefault="00FA2893" w:rsidP="00A75C83">
      <w:pPr>
        <w:pStyle w:val="Estilo"/>
        <w:rPr>
          <w:rFonts w:cs="Arial"/>
          <w:szCs w:val="24"/>
        </w:rPr>
      </w:pPr>
      <w:r w:rsidRPr="005822F8">
        <w:rPr>
          <w:rFonts w:cs="Arial"/>
          <w:szCs w:val="24"/>
        </w:rPr>
        <w:t>Artículo 3.- En los términos de esta Ley, es materia de salubridad general:</w:t>
      </w:r>
    </w:p>
    <w:p w14:paraId="58B0D8BD" w14:textId="77777777" w:rsidR="00FA2893" w:rsidRPr="005822F8" w:rsidRDefault="00FA2893" w:rsidP="00A75C83">
      <w:pPr>
        <w:pStyle w:val="Estilo"/>
        <w:rPr>
          <w:rFonts w:cs="Arial"/>
          <w:szCs w:val="24"/>
        </w:rPr>
      </w:pPr>
      <w:r w:rsidRPr="005822F8">
        <w:rPr>
          <w:rFonts w:cs="Arial"/>
          <w:szCs w:val="24"/>
        </w:rPr>
        <w:t xml:space="preserve">XII.- </w:t>
      </w:r>
      <w:bookmarkStart w:id="3" w:name="_Hlk120189787"/>
      <w:r w:rsidRPr="005822F8">
        <w:rPr>
          <w:rFonts w:cs="Arial"/>
          <w:szCs w:val="24"/>
        </w:rPr>
        <w:t xml:space="preserve">La prevención, orientación, control y vigilancia en materia de nutrición, </w:t>
      </w:r>
      <w:bookmarkStart w:id="4" w:name="_Hlk120271699"/>
      <w:r w:rsidRPr="005822F8">
        <w:rPr>
          <w:rFonts w:cs="Arial"/>
          <w:b/>
          <w:bCs/>
          <w:szCs w:val="24"/>
        </w:rPr>
        <w:t>sobrepeso, obesidad y otros trastornos de la conducta alimentaria,</w:t>
      </w:r>
      <w:r w:rsidRPr="005822F8">
        <w:rPr>
          <w:rFonts w:cs="Arial"/>
          <w:szCs w:val="24"/>
        </w:rPr>
        <w:t xml:space="preserve"> </w:t>
      </w:r>
      <w:bookmarkEnd w:id="4"/>
      <w:r w:rsidRPr="005822F8">
        <w:rPr>
          <w:rFonts w:cs="Arial"/>
          <w:szCs w:val="24"/>
        </w:rPr>
        <w:t>enfermedades respiratorias, enfermedades cardiovasculares y aquellas atribuibles al tabaquismo;</w:t>
      </w:r>
      <w:bookmarkEnd w:id="3"/>
    </w:p>
  </w:footnote>
  <w:footnote w:id="17">
    <w:p w14:paraId="1377B237" w14:textId="77777777" w:rsidR="00FA2893" w:rsidRPr="005822F8" w:rsidRDefault="00FA2893" w:rsidP="00A75C83">
      <w:pPr>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El principio de orden público se encuentra reconocido en la Constitución en los artículos 6, párrafo primero; 16, párrafo primero; 94, párrafo octavo; 115, fracción VII; 122, BASE QUINTA, inciso F); y 130, párrafo segundo.</w:t>
      </w:r>
    </w:p>
  </w:footnote>
  <w:footnote w:id="18">
    <w:p w14:paraId="71FC9C81" w14:textId="43D6CF29" w:rsidR="00FA2893" w:rsidRPr="004173B9" w:rsidRDefault="00FA2893"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Tesis XCIV/2016 (</w:t>
      </w:r>
      <w:r w:rsidRPr="004173B9">
        <w:rPr>
          <w:rFonts w:ascii="Arial" w:hAnsi="Arial" w:cs="Arial"/>
          <w:sz w:val="24"/>
          <w:szCs w:val="24"/>
        </w:rPr>
        <w:t>10</w:t>
      </w:r>
      <w:r w:rsidR="00B95F4C" w:rsidRPr="004173B9">
        <w:rPr>
          <w:rFonts w:ascii="Arial" w:hAnsi="Arial" w:cs="Arial"/>
          <w:sz w:val="24"/>
          <w:szCs w:val="24"/>
        </w:rPr>
        <w:t>a.</w:t>
      </w:r>
      <w:r w:rsidRPr="004173B9">
        <w:rPr>
          <w:rFonts w:ascii="Arial" w:hAnsi="Arial" w:cs="Arial"/>
          <w:sz w:val="24"/>
          <w:szCs w:val="24"/>
        </w:rPr>
        <w:t xml:space="preserve">) de rubro: </w:t>
      </w:r>
      <w:r w:rsidRPr="004173B9">
        <w:rPr>
          <w:rFonts w:ascii="Arial" w:hAnsi="Arial" w:cs="Arial"/>
          <w:b/>
          <w:bCs/>
          <w:sz w:val="24"/>
          <w:szCs w:val="24"/>
        </w:rPr>
        <w:t>“DERECHO A LA ALIMENTACIÓN. ELEMENTOS Y FORMA DE GARANTIZAR SU NÚCLEO ESENCIAL”.</w:t>
      </w:r>
      <w:r w:rsidRPr="004173B9">
        <w:rPr>
          <w:rFonts w:ascii="Arial" w:hAnsi="Arial" w:cs="Arial"/>
          <w:sz w:val="24"/>
          <w:szCs w:val="24"/>
        </w:rPr>
        <w:t xml:space="preserve"> Consultable en la Gaceta del Semanario Judicial de la Federación, Libro 34, Septiembre de 2016, Tomo I, Página 836, de la Décima Época. Registro digital 2012521.</w:t>
      </w:r>
    </w:p>
  </w:footnote>
  <w:footnote w:id="19">
    <w:p w14:paraId="030CE75F" w14:textId="22D63D20" w:rsidR="00FA2893" w:rsidRPr="005822F8" w:rsidRDefault="00FA2893" w:rsidP="00A75C83">
      <w:pPr>
        <w:pStyle w:val="FootnoteText"/>
        <w:jc w:val="both"/>
        <w:rPr>
          <w:rFonts w:ascii="Arial" w:hAnsi="Arial" w:cs="Arial"/>
          <w:sz w:val="24"/>
          <w:szCs w:val="24"/>
        </w:rPr>
      </w:pPr>
      <w:r w:rsidRPr="004173B9">
        <w:rPr>
          <w:rStyle w:val="FootnoteReference"/>
          <w:rFonts w:ascii="Arial" w:hAnsi="Arial" w:cs="Arial"/>
          <w:sz w:val="24"/>
          <w:szCs w:val="24"/>
        </w:rPr>
        <w:footnoteRef/>
      </w:r>
      <w:r w:rsidRPr="004173B9">
        <w:rPr>
          <w:rFonts w:ascii="Arial" w:hAnsi="Arial" w:cs="Arial"/>
          <w:sz w:val="24"/>
          <w:szCs w:val="24"/>
        </w:rPr>
        <w:t xml:space="preserve"> Tesis XCV/2016 (10</w:t>
      </w:r>
      <w:r w:rsidR="00B95F4C" w:rsidRPr="004173B9">
        <w:rPr>
          <w:rFonts w:ascii="Arial" w:hAnsi="Arial" w:cs="Arial"/>
          <w:sz w:val="24"/>
          <w:szCs w:val="24"/>
        </w:rPr>
        <w:t>a.</w:t>
      </w:r>
      <w:r w:rsidRPr="004173B9">
        <w:rPr>
          <w:rFonts w:ascii="Arial" w:hAnsi="Arial" w:cs="Arial"/>
          <w:sz w:val="24"/>
          <w:szCs w:val="24"/>
        </w:rPr>
        <w:t xml:space="preserve">) de rubro: </w:t>
      </w:r>
      <w:r w:rsidRPr="004173B9">
        <w:rPr>
          <w:rFonts w:ascii="Arial" w:hAnsi="Arial" w:cs="Arial"/>
          <w:b/>
          <w:bCs/>
          <w:sz w:val="24"/>
          <w:szCs w:val="24"/>
        </w:rPr>
        <w:t>“DERECHO A LA ALIMENTACIÓN. GARANTIAS PARA SU PROTECCIÓN</w:t>
      </w:r>
      <w:r w:rsidRPr="005822F8">
        <w:rPr>
          <w:rFonts w:ascii="Arial" w:hAnsi="Arial" w:cs="Arial"/>
          <w:b/>
          <w:bCs/>
          <w:sz w:val="24"/>
          <w:szCs w:val="24"/>
        </w:rPr>
        <w:t>”.</w:t>
      </w:r>
      <w:r w:rsidRPr="005822F8">
        <w:rPr>
          <w:rFonts w:ascii="Arial" w:hAnsi="Arial" w:cs="Arial"/>
          <w:sz w:val="24"/>
          <w:szCs w:val="24"/>
        </w:rPr>
        <w:t xml:space="preserve"> Consultable en la Gaceta del Semanario Judicial de la Federación, Libro 34, Septiembre de 2016, Tomo I, Página 838, de la Décima Época. Registro digital 2012523.  </w:t>
      </w:r>
    </w:p>
  </w:footnote>
  <w:footnote w:id="20">
    <w:p w14:paraId="2114C735" w14:textId="4A0BAE17" w:rsidR="00FA2893" w:rsidRPr="005822F8" w:rsidRDefault="00FA2893" w:rsidP="00A75C83">
      <w:pPr>
        <w:pStyle w:val="ListParagraph"/>
        <w:ind w:left="0"/>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Tesis 1a. XCVII/2015 (10a.), de rubro: </w:t>
      </w:r>
      <w:r w:rsidRPr="005822F8">
        <w:rPr>
          <w:rFonts w:ascii="Arial" w:hAnsi="Arial" w:cs="Arial"/>
          <w:b/>
          <w:bCs/>
          <w:sz w:val="24"/>
          <w:szCs w:val="24"/>
        </w:rPr>
        <w:t>“CONSUMIDOR. EL DERECHO A SU PROTECCIÓN TIENE RANGO CONSTITUCIONAL”.</w:t>
      </w:r>
      <w:r w:rsidRPr="005822F8">
        <w:rPr>
          <w:rFonts w:ascii="Arial" w:hAnsi="Arial" w:cs="Arial"/>
          <w:sz w:val="24"/>
          <w:szCs w:val="24"/>
        </w:rPr>
        <w:t xml:space="preserve"> Consultable en la Gaceta del Semanario Judicial de la Federación. Libro 16, Marzo de 2015, Tomo II, Página 1094, de la Décima </w:t>
      </w:r>
      <w:r w:rsidRPr="004173B9">
        <w:rPr>
          <w:rFonts w:ascii="Arial" w:hAnsi="Arial" w:cs="Arial"/>
          <w:sz w:val="24"/>
          <w:szCs w:val="24"/>
        </w:rPr>
        <w:t xml:space="preserve">Época. Registro digital 2008636. Así como la tesis </w:t>
      </w:r>
      <w:r w:rsidRPr="004173B9">
        <w:rPr>
          <w:rStyle w:val="Heading1Char"/>
          <w:rFonts w:ascii="Arial" w:hAnsi="Arial" w:cs="Arial"/>
          <w:color w:val="auto"/>
          <w:sz w:val="24"/>
          <w:szCs w:val="24"/>
          <w:lang w:val="es-ES"/>
        </w:rPr>
        <w:t xml:space="preserve">1a. CIII/2015 (10a.), de rubro: </w:t>
      </w:r>
      <w:r w:rsidRPr="004173B9">
        <w:rPr>
          <w:rStyle w:val="Heading1Char"/>
          <w:rFonts w:ascii="Arial" w:hAnsi="Arial" w:cs="Arial"/>
          <w:bCs/>
          <w:color w:val="auto"/>
          <w:sz w:val="24"/>
          <w:szCs w:val="24"/>
          <w:lang w:val="es-ES"/>
        </w:rPr>
        <w:t>“PROTECCIÓN AL CONSUMIDOR. RÉGIMEN JURÍDICO SINGULAR QUE REGULA A LA LEY FEDERAL RELATIVA”.</w:t>
      </w:r>
      <w:r w:rsidRPr="004173B9">
        <w:rPr>
          <w:rFonts w:ascii="Arial" w:hAnsi="Arial" w:cs="Arial"/>
          <w:sz w:val="24"/>
          <w:szCs w:val="24"/>
        </w:rPr>
        <w:t xml:space="preserve"> Consultable en la </w:t>
      </w:r>
      <w:r w:rsidRPr="004173B9">
        <w:rPr>
          <w:rStyle w:val="Heading1Char"/>
          <w:rFonts w:ascii="Arial" w:hAnsi="Arial" w:cs="Arial"/>
          <w:color w:val="auto"/>
          <w:sz w:val="24"/>
          <w:szCs w:val="24"/>
          <w:lang w:val="es-ES"/>
        </w:rPr>
        <w:t xml:space="preserve">Gaceta del Semanario Judicial de la Federación. Libro 16, </w:t>
      </w:r>
      <w:r w:rsidRPr="004173B9">
        <w:rPr>
          <w:rStyle w:val="Heading1Char"/>
          <w:rFonts w:ascii="Arial" w:hAnsi="Arial" w:cs="Arial"/>
          <w:color w:val="auto"/>
          <w:sz w:val="24"/>
          <w:szCs w:val="24"/>
          <w:lang w:val="es-ES"/>
        </w:rPr>
        <w:t>Marzo de</w:t>
      </w:r>
      <w:r w:rsidRPr="005822F8">
        <w:rPr>
          <w:rStyle w:val="Heading1Char"/>
          <w:rFonts w:ascii="Arial" w:hAnsi="Arial" w:cs="Arial"/>
          <w:color w:val="auto"/>
          <w:sz w:val="24"/>
          <w:szCs w:val="24"/>
          <w:lang w:val="es-ES"/>
        </w:rPr>
        <w:t xml:space="preserve"> 2015, Tomo II, Página 1109, de la Décima Época. Registro digital2008650.</w:t>
      </w:r>
    </w:p>
  </w:footnote>
  <w:footnote w:id="21">
    <w:p w14:paraId="12E9E523" w14:textId="77777777" w:rsidR="00FA2893" w:rsidRPr="005822F8" w:rsidRDefault="00FA2893" w:rsidP="00A75C83">
      <w:pPr>
        <w:pStyle w:val="Estilo"/>
        <w:rPr>
          <w:rFonts w:cs="Arial"/>
          <w:szCs w:val="24"/>
        </w:rPr>
      </w:pPr>
      <w:r w:rsidRPr="005822F8">
        <w:rPr>
          <w:rStyle w:val="FootnoteReference"/>
          <w:rFonts w:cs="Arial"/>
          <w:szCs w:val="24"/>
        </w:rPr>
        <w:footnoteRef/>
      </w:r>
      <w:r w:rsidRPr="005822F8">
        <w:rPr>
          <w:rFonts w:cs="Arial"/>
          <w:szCs w:val="24"/>
        </w:rPr>
        <w:t xml:space="preserve"> I. La protección de la vida, salud y seguridad del consumidor contra los riesgos provocados por productos, prácticas en el abastecimiento de productos y servicios considerados peligrosos o nocivos;</w:t>
      </w:r>
    </w:p>
  </w:footnote>
  <w:footnote w:id="22">
    <w:p w14:paraId="32083879" w14:textId="77777777" w:rsidR="00FA2893" w:rsidRPr="005822F8" w:rsidRDefault="00FA2893" w:rsidP="00A75C83">
      <w:pPr>
        <w:pStyle w:val="Estilo"/>
        <w:rPr>
          <w:rFonts w:cs="Arial"/>
          <w:szCs w:val="24"/>
        </w:rPr>
      </w:pPr>
      <w:r w:rsidRPr="005822F8">
        <w:rPr>
          <w:rStyle w:val="FootnoteReference"/>
          <w:rFonts w:cs="Arial"/>
          <w:szCs w:val="24"/>
        </w:rPr>
        <w:footnoteRef/>
      </w:r>
      <w:r w:rsidRPr="005822F8">
        <w:rPr>
          <w:rFonts w:cs="Arial"/>
          <w:szCs w:val="24"/>
        </w:rPr>
        <w:t xml:space="preserve"> II. La educación y divulgación sobre el consumo adecuado de los productos y servicios, que garanticen la libertad para escoger y la equidad en las contrataciones;</w:t>
      </w:r>
    </w:p>
  </w:footnote>
  <w:footnote w:id="23">
    <w:p w14:paraId="0529C545" w14:textId="4DF14C78" w:rsidR="00FA2893" w:rsidRPr="005822F8" w:rsidRDefault="00FA2893" w:rsidP="006D52E1">
      <w:pPr>
        <w:pStyle w:val="corte4fondo"/>
        <w:spacing w:line="240" w:lineRule="auto"/>
        <w:ind w:right="51" w:firstLine="0"/>
        <w:rPr>
          <w:rFonts w:cs="Arial"/>
          <w:sz w:val="24"/>
          <w:szCs w:val="24"/>
        </w:rPr>
      </w:pPr>
      <w:r w:rsidRPr="005822F8">
        <w:rPr>
          <w:rStyle w:val="FootnoteReference"/>
          <w:rFonts w:cs="Arial"/>
          <w:sz w:val="24"/>
          <w:szCs w:val="24"/>
        </w:rPr>
        <w:footnoteRef/>
      </w:r>
      <w:r w:rsidRPr="005822F8">
        <w:rPr>
          <w:rFonts w:cs="Arial"/>
          <w:sz w:val="24"/>
          <w:szCs w:val="24"/>
        </w:rPr>
        <w:t xml:space="preserve"> Jurisprudencia 2a./J. 113/2019 (10a.), de rubro: </w:t>
      </w:r>
      <w:r w:rsidRPr="005822F8">
        <w:rPr>
          <w:rFonts w:cs="Arial"/>
          <w:b/>
          <w:bCs/>
          <w:sz w:val="24"/>
          <w:szCs w:val="24"/>
        </w:rPr>
        <w:t>“DERECHOS DE LAS NIÑAS, NIÑOS Y ADOLESCENTES. EL INTERÉS SUPERIOR DEL MENOR SE ERIGE COMO LA CONSIDERACIÓN PRIMORDIAL QUE DEBE DE ATENDERSE EN CUALQUIER DECISIÓN QUE LES AFECTE”</w:t>
      </w:r>
      <w:r w:rsidRPr="005822F8">
        <w:rPr>
          <w:rFonts w:cs="Arial"/>
          <w:sz w:val="24"/>
          <w:szCs w:val="24"/>
        </w:rPr>
        <w:t xml:space="preserve">. Consultable en la Gaceta del Semanario Judicial de la Federación. Libro 69, </w:t>
      </w:r>
      <w:r w:rsidRPr="005822F8">
        <w:rPr>
          <w:rFonts w:cs="Arial"/>
          <w:sz w:val="24"/>
          <w:szCs w:val="24"/>
        </w:rPr>
        <w:t>Agosto de 2019, Tomo III, Página 2328, de la Décima Época. Registro Digital 2020401.</w:t>
      </w:r>
    </w:p>
  </w:footnote>
  <w:footnote w:id="24">
    <w:p w14:paraId="1E88AD47" w14:textId="1F76F95D" w:rsidR="00A3660A" w:rsidRPr="00BF7488" w:rsidRDefault="00A3660A" w:rsidP="00A3660A">
      <w:pPr>
        <w:pStyle w:val="FootnoteText"/>
        <w:jc w:val="both"/>
        <w:rPr>
          <w:rFonts w:ascii="Arial" w:hAnsi="Arial"/>
          <w:sz w:val="24"/>
          <w:szCs w:val="24"/>
        </w:rPr>
      </w:pPr>
      <w:r w:rsidRPr="00BF7488">
        <w:rPr>
          <w:rStyle w:val="FootnoteReference"/>
          <w:rFonts w:ascii="Arial" w:hAnsi="Arial"/>
          <w:sz w:val="24"/>
          <w:szCs w:val="24"/>
        </w:rPr>
        <w:footnoteRef/>
      </w:r>
      <w:r w:rsidRPr="00BF7488">
        <w:rPr>
          <w:rFonts w:ascii="Arial" w:hAnsi="Arial"/>
          <w:sz w:val="24"/>
          <w:szCs w:val="24"/>
        </w:rPr>
        <w:t xml:space="preserve"> </w:t>
      </w:r>
      <w:r w:rsidRPr="00BF7488">
        <w:rPr>
          <w:rFonts w:ascii="Arial" w:hAnsi="Arial"/>
          <w:bCs/>
          <w:sz w:val="24"/>
          <w:szCs w:val="24"/>
          <w:lang w:val="es-ES"/>
        </w:rPr>
        <w:t xml:space="preserve">Tesis aislada </w:t>
      </w:r>
      <w:r w:rsidRPr="00DD6453">
        <w:rPr>
          <w:rFonts w:ascii="Arial" w:hAnsi="Arial"/>
          <w:bCs/>
          <w:sz w:val="24"/>
          <w:szCs w:val="24"/>
          <w:lang w:val="es-ES"/>
        </w:rPr>
        <w:t>1</w:t>
      </w:r>
      <w:r w:rsidR="00E860CD" w:rsidRPr="00DD6453">
        <w:rPr>
          <w:rFonts w:ascii="Arial" w:hAnsi="Arial"/>
          <w:bCs/>
          <w:sz w:val="24"/>
          <w:szCs w:val="24"/>
          <w:lang w:val="es-ES"/>
        </w:rPr>
        <w:t xml:space="preserve">a. </w:t>
      </w:r>
      <w:r w:rsidRPr="00DD6453">
        <w:rPr>
          <w:rFonts w:ascii="Arial" w:hAnsi="Arial"/>
          <w:bCs/>
          <w:sz w:val="24"/>
          <w:szCs w:val="24"/>
          <w:lang w:val="es-ES"/>
        </w:rPr>
        <w:t xml:space="preserve">XLVII/2011, de rubro: </w:t>
      </w:r>
      <w:r w:rsidRPr="00DD6453">
        <w:rPr>
          <w:rFonts w:ascii="Arial" w:hAnsi="Arial"/>
          <w:b/>
          <w:sz w:val="24"/>
          <w:szCs w:val="24"/>
          <w:lang w:val="es-ES"/>
        </w:rPr>
        <w:t>“</w:t>
      </w:r>
      <w:r w:rsidRPr="00DD6453">
        <w:rPr>
          <w:rFonts w:ascii="Arial" w:hAnsi="Arial"/>
          <w:b/>
          <w:sz w:val="24"/>
          <w:szCs w:val="24"/>
          <w:lang w:eastAsia="es-ES"/>
        </w:rPr>
        <w:t>INTERÉS SUPERIOR DEL NIÑO. ES UN PRINCIPIO DE RANGO CONSTITUCIONAL IMPLÍCITO EN LA REGULACIÓN DE LOS DERECHOS DE LOS MENORES PREVISTOS EN EL ARTÍCULO 4o. CONSTITUCIONAL”.</w:t>
      </w:r>
      <w:r w:rsidRPr="00DD6453">
        <w:rPr>
          <w:rFonts w:ascii="Arial" w:hAnsi="Arial"/>
          <w:sz w:val="24"/>
          <w:szCs w:val="24"/>
          <w:lang w:eastAsia="es-ES"/>
        </w:rPr>
        <w:t xml:space="preserve"> Publicada</w:t>
      </w:r>
      <w:r w:rsidRPr="00BF7488">
        <w:rPr>
          <w:rFonts w:ascii="Arial" w:hAnsi="Arial"/>
          <w:sz w:val="24"/>
          <w:szCs w:val="24"/>
          <w:lang w:eastAsia="es-ES"/>
        </w:rPr>
        <w:t xml:space="preserve"> en </w:t>
      </w:r>
      <w:r>
        <w:rPr>
          <w:rFonts w:ascii="Arial" w:hAnsi="Arial"/>
          <w:sz w:val="24"/>
          <w:szCs w:val="24"/>
          <w:lang w:eastAsia="es-ES"/>
        </w:rPr>
        <w:t xml:space="preserve">el </w:t>
      </w:r>
      <w:r w:rsidRPr="000252D7">
        <w:rPr>
          <w:rFonts w:ascii="Arial" w:hAnsi="Arial"/>
          <w:bCs/>
          <w:sz w:val="24"/>
          <w:szCs w:val="24"/>
          <w:lang w:val="es-ES"/>
        </w:rPr>
        <w:t>Semanario Judicial de la Federación y su Gaceta</w:t>
      </w:r>
      <w:r>
        <w:rPr>
          <w:rFonts w:ascii="Arial" w:hAnsi="Arial"/>
          <w:bCs/>
          <w:sz w:val="24"/>
          <w:szCs w:val="24"/>
          <w:lang w:val="es-ES"/>
        </w:rPr>
        <w:t xml:space="preserve">, Novena Época, </w:t>
      </w:r>
      <w:r w:rsidRPr="000252D7">
        <w:rPr>
          <w:rFonts w:ascii="Arial" w:hAnsi="Arial"/>
          <w:bCs/>
          <w:sz w:val="24"/>
          <w:szCs w:val="24"/>
          <w:lang w:val="es-ES"/>
        </w:rPr>
        <w:t>Tomo XXXIII, Abril de 2011, página 310</w:t>
      </w:r>
      <w:r w:rsidRPr="00BF7488">
        <w:rPr>
          <w:rFonts w:ascii="Arial" w:hAnsi="Arial"/>
          <w:bCs/>
          <w:sz w:val="24"/>
          <w:szCs w:val="24"/>
          <w:lang w:val="es-ES"/>
        </w:rPr>
        <w:t>, Registro</w:t>
      </w:r>
      <w:r>
        <w:rPr>
          <w:rFonts w:ascii="Arial" w:hAnsi="Arial"/>
          <w:bCs/>
          <w:sz w:val="24"/>
          <w:szCs w:val="24"/>
          <w:lang w:val="es-ES"/>
        </w:rPr>
        <w:t xml:space="preserve"> Digital</w:t>
      </w:r>
      <w:r w:rsidRPr="00BF7488">
        <w:rPr>
          <w:rFonts w:ascii="Arial" w:hAnsi="Arial"/>
          <w:bCs/>
          <w:sz w:val="24"/>
          <w:szCs w:val="24"/>
          <w:lang w:val="es-ES"/>
        </w:rPr>
        <w:t xml:space="preserve"> 162354</w:t>
      </w:r>
      <w:r>
        <w:rPr>
          <w:rFonts w:ascii="Arial" w:hAnsi="Arial"/>
          <w:bCs/>
          <w:sz w:val="24"/>
          <w:szCs w:val="24"/>
          <w:lang w:val="es-ES"/>
        </w:rPr>
        <w:t>.</w:t>
      </w:r>
    </w:p>
  </w:footnote>
  <w:footnote w:id="25">
    <w:p w14:paraId="7C6C2DB8" w14:textId="3D0F65F8" w:rsidR="00A3660A" w:rsidRPr="00BF7488" w:rsidRDefault="00A3660A" w:rsidP="00A3660A">
      <w:pPr>
        <w:pStyle w:val="FootnoteText"/>
        <w:jc w:val="both"/>
        <w:rPr>
          <w:rFonts w:ascii="Arial" w:hAnsi="Arial"/>
          <w:sz w:val="24"/>
          <w:szCs w:val="24"/>
          <w:lang w:val="es-ES_tradnl"/>
        </w:rPr>
      </w:pPr>
      <w:r w:rsidRPr="00BF7488">
        <w:rPr>
          <w:rStyle w:val="FootnoteReference"/>
          <w:rFonts w:ascii="Arial" w:hAnsi="Arial"/>
          <w:sz w:val="24"/>
          <w:szCs w:val="24"/>
        </w:rPr>
        <w:footnoteRef/>
      </w:r>
      <w:r w:rsidRPr="00BF7488">
        <w:rPr>
          <w:rFonts w:ascii="Arial" w:hAnsi="Arial"/>
          <w:sz w:val="24"/>
          <w:szCs w:val="24"/>
        </w:rPr>
        <w:t xml:space="preserve"> </w:t>
      </w:r>
      <w:r w:rsidRPr="00BF7488">
        <w:rPr>
          <w:rFonts w:ascii="Arial" w:hAnsi="Arial"/>
          <w:sz w:val="24"/>
          <w:szCs w:val="24"/>
          <w:lang w:val="es-ES_tradnl"/>
        </w:rPr>
        <w:t>Artículo 3</w:t>
      </w:r>
      <w:r w:rsidR="006D52E1">
        <w:rPr>
          <w:rFonts w:ascii="Arial" w:hAnsi="Arial"/>
          <w:sz w:val="24"/>
          <w:szCs w:val="24"/>
          <w:lang w:val="es-ES_tradnl"/>
        </w:rPr>
        <w:t>.</w:t>
      </w:r>
    </w:p>
    <w:p w14:paraId="5D22DD22" w14:textId="77777777" w:rsidR="00A3660A" w:rsidRPr="00F53C90" w:rsidRDefault="00A3660A" w:rsidP="00A3660A">
      <w:pPr>
        <w:pStyle w:val="FootnoteText"/>
        <w:tabs>
          <w:tab w:val="left" w:pos="142"/>
        </w:tabs>
        <w:jc w:val="both"/>
        <w:rPr>
          <w:rFonts w:ascii="Arial" w:hAnsi="Arial"/>
        </w:rPr>
      </w:pPr>
      <w:r w:rsidRPr="00BF7488">
        <w:rPr>
          <w:rFonts w:ascii="Arial" w:hAnsi="Arial"/>
          <w:sz w:val="24"/>
          <w:szCs w:val="24"/>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footnote>
  <w:footnote w:id="26">
    <w:p w14:paraId="1D8A53C5" w14:textId="77777777" w:rsidR="00A3660A" w:rsidRPr="009A6F3B" w:rsidRDefault="00A3660A" w:rsidP="00A3660A">
      <w:pPr>
        <w:pStyle w:val="FootnoteText"/>
        <w:jc w:val="both"/>
        <w:rPr>
          <w:rFonts w:ascii="Arial" w:hAnsi="Arial"/>
          <w:sz w:val="24"/>
          <w:szCs w:val="24"/>
        </w:rPr>
      </w:pPr>
      <w:r w:rsidRPr="009A6F3B">
        <w:rPr>
          <w:rStyle w:val="FootnoteReference"/>
          <w:rFonts w:ascii="Arial" w:hAnsi="Arial"/>
          <w:sz w:val="24"/>
          <w:szCs w:val="24"/>
        </w:rPr>
        <w:footnoteRef/>
      </w:r>
      <w:r w:rsidRPr="009A6F3B">
        <w:rPr>
          <w:rFonts w:ascii="Arial" w:hAnsi="Arial"/>
          <w:sz w:val="24"/>
          <w:szCs w:val="24"/>
        </w:rPr>
        <w:t xml:space="preserve"> Observación General Nº 7 (2005), párrafo 13.</w:t>
      </w:r>
    </w:p>
  </w:footnote>
  <w:footnote w:id="27">
    <w:p w14:paraId="5EBC6E0D" w14:textId="42DBBEF3" w:rsidR="00A3660A" w:rsidRPr="009A6F3B" w:rsidRDefault="00A3660A" w:rsidP="00A3660A">
      <w:pPr>
        <w:pStyle w:val="FootnoteText"/>
        <w:jc w:val="both"/>
        <w:rPr>
          <w:rFonts w:ascii="Arial" w:hAnsi="Arial"/>
          <w:sz w:val="24"/>
          <w:szCs w:val="24"/>
        </w:rPr>
      </w:pPr>
      <w:r w:rsidRPr="009A6F3B">
        <w:rPr>
          <w:rStyle w:val="FootnoteReference"/>
          <w:rFonts w:ascii="Arial" w:hAnsi="Arial"/>
          <w:sz w:val="24"/>
          <w:szCs w:val="24"/>
        </w:rPr>
        <w:footnoteRef/>
      </w:r>
      <w:r w:rsidRPr="009A6F3B">
        <w:rPr>
          <w:rFonts w:ascii="Arial" w:hAnsi="Arial"/>
          <w:sz w:val="24"/>
          <w:szCs w:val="24"/>
        </w:rPr>
        <w:t xml:space="preserve"> Artículo 24</w:t>
      </w:r>
      <w:r w:rsidR="00E03184">
        <w:rPr>
          <w:rFonts w:ascii="Arial" w:hAnsi="Arial"/>
          <w:sz w:val="24"/>
          <w:szCs w:val="24"/>
        </w:rPr>
        <w:t>.</w:t>
      </w:r>
    </w:p>
    <w:p w14:paraId="7DD6DF7B" w14:textId="77777777" w:rsidR="00A3660A" w:rsidRPr="009A6F3B" w:rsidRDefault="00A3660A" w:rsidP="00A3660A">
      <w:pPr>
        <w:pStyle w:val="FootnoteText"/>
        <w:jc w:val="both"/>
        <w:rPr>
          <w:rFonts w:ascii="Arial" w:hAnsi="Arial"/>
          <w:sz w:val="24"/>
          <w:szCs w:val="24"/>
        </w:rPr>
      </w:pPr>
      <w:r w:rsidRPr="009A6F3B">
        <w:rPr>
          <w:rFonts w:ascii="Arial" w:hAnsi="Arial"/>
          <w:sz w:val="24"/>
          <w:szCs w:val="24"/>
        </w:rPr>
        <w:t>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w:t>
      </w:r>
    </w:p>
    <w:p w14:paraId="37486E11" w14:textId="77777777" w:rsidR="00A3660A" w:rsidRPr="00C8731C" w:rsidRDefault="00A3660A" w:rsidP="00A3660A">
      <w:pPr>
        <w:pStyle w:val="FootnoteText"/>
        <w:jc w:val="both"/>
        <w:rPr>
          <w:rFonts w:ascii="Arial" w:hAnsi="Arial"/>
          <w:sz w:val="24"/>
          <w:szCs w:val="24"/>
        </w:rPr>
      </w:pPr>
      <w:r w:rsidRPr="009A6F3B">
        <w:rPr>
          <w:rFonts w:ascii="Arial" w:hAnsi="Arial"/>
          <w:sz w:val="24"/>
          <w:szCs w:val="24"/>
        </w:rPr>
        <w:t xml:space="preserve">2. Los Estados Partes asegurarán la plena aplicación de este derecho y, en </w:t>
      </w:r>
      <w:r w:rsidRPr="00C8731C">
        <w:rPr>
          <w:rFonts w:ascii="Arial" w:hAnsi="Arial"/>
          <w:sz w:val="24"/>
          <w:szCs w:val="24"/>
        </w:rPr>
        <w:t>particular, adoptarán las medidas apropiadas para:</w:t>
      </w:r>
    </w:p>
    <w:p w14:paraId="70B349BB" w14:textId="77777777" w:rsidR="00A3660A" w:rsidRPr="00C8731C" w:rsidRDefault="00A3660A" w:rsidP="00A3660A">
      <w:pPr>
        <w:pStyle w:val="FootnoteText"/>
        <w:jc w:val="both"/>
        <w:rPr>
          <w:rFonts w:ascii="Arial" w:hAnsi="Arial"/>
          <w:sz w:val="24"/>
          <w:szCs w:val="24"/>
        </w:rPr>
      </w:pPr>
      <w:r w:rsidRPr="00C8731C">
        <w:rPr>
          <w:rFonts w:ascii="Arial" w:hAnsi="Arial"/>
          <w:sz w:val="24"/>
          <w:szCs w:val="24"/>
        </w:rPr>
        <w:t>(…)</w:t>
      </w:r>
    </w:p>
    <w:p w14:paraId="292076AF" w14:textId="77777777" w:rsidR="00A3660A" w:rsidRDefault="00A3660A" w:rsidP="00A3660A">
      <w:pPr>
        <w:pStyle w:val="FootnoteText"/>
        <w:jc w:val="both"/>
        <w:rPr>
          <w:rFonts w:ascii="Arial" w:hAnsi="Arial"/>
          <w:sz w:val="24"/>
          <w:szCs w:val="24"/>
        </w:rPr>
      </w:pPr>
      <w:r w:rsidRPr="00704B02">
        <w:rPr>
          <w:rFonts w:ascii="Arial" w:hAnsi="Arial"/>
          <w:sz w:val="24"/>
          <w:szCs w:val="24"/>
        </w:rPr>
        <w:t>c) 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w:t>
      </w:r>
    </w:p>
    <w:p w14:paraId="5D75D2D7" w14:textId="77777777" w:rsidR="00A3660A" w:rsidRDefault="00A3660A" w:rsidP="00A3660A">
      <w:pPr>
        <w:pStyle w:val="FootnoteText"/>
        <w:jc w:val="both"/>
        <w:rPr>
          <w:rFonts w:ascii="Arial" w:hAnsi="Arial"/>
          <w:sz w:val="24"/>
          <w:szCs w:val="24"/>
        </w:rPr>
      </w:pPr>
      <w:r>
        <w:rPr>
          <w:rFonts w:ascii="Arial" w:hAnsi="Arial"/>
          <w:sz w:val="24"/>
          <w:szCs w:val="24"/>
        </w:rPr>
        <w:t>(…)</w:t>
      </w:r>
    </w:p>
    <w:p w14:paraId="0C2675F3" w14:textId="77777777" w:rsidR="00A3660A" w:rsidRDefault="00A3660A" w:rsidP="00A3660A">
      <w:pPr>
        <w:pStyle w:val="FootnoteText"/>
        <w:jc w:val="both"/>
        <w:rPr>
          <w:rFonts w:ascii="Arial" w:hAnsi="Arial"/>
          <w:sz w:val="24"/>
          <w:szCs w:val="24"/>
        </w:rPr>
      </w:pPr>
      <w:r w:rsidRPr="00C8731C">
        <w:rPr>
          <w:rFonts w:ascii="Arial" w:hAnsi="Arial"/>
          <w:sz w:val="24"/>
          <w:szCs w:val="24"/>
        </w:rPr>
        <w:t>e) Asegurar que todos los sectores de la sociedad, y en particular los padres y los niños, conozcan los principios básicos de la salud y la nutrición de los niños, las ventajas de la lactancia materna, la higiene y el saneamiento ambiental y las medidas de prevención de accidentes, tengan acceso a la educación pertinente y reciban apoyo en la aplicación de esos conocimientos;</w:t>
      </w:r>
    </w:p>
    <w:p w14:paraId="3A8797B6" w14:textId="77777777" w:rsidR="00A3660A" w:rsidRPr="00CD767A" w:rsidRDefault="00A3660A" w:rsidP="00A3660A">
      <w:pPr>
        <w:pStyle w:val="FootnoteText"/>
        <w:jc w:val="both"/>
        <w:rPr>
          <w:rFonts w:ascii="Arial" w:hAnsi="Arial"/>
        </w:rPr>
      </w:pPr>
      <w:r w:rsidRPr="00CD767A">
        <w:rPr>
          <w:rFonts w:ascii="Arial" w:hAnsi="Arial"/>
          <w:sz w:val="24"/>
          <w:szCs w:val="24"/>
        </w:rPr>
        <w:t>(…).</w:t>
      </w:r>
    </w:p>
  </w:footnote>
  <w:footnote w:id="28">
    <w:p w14:paraId="7ED3EFF0" w14:textId="77777777" w:rsidR="00A3660A" w:rsidRPr="006A60C9" w:rsidRDefault="00A3660A" w:rsidP="00A3660A">
      <w:pPr>
        <w:pStyle w:val="FootnoteText"/>
        <w:jc w:val="both"/>
        <w:rPr>
          <w:rFonts w:ascii="Arial" w:hAnsi="Arial"/>
          <w:sz w:val="24"/>
          <w:szCs w:val="24"/>
        </w:rPr>
      </w:pPr>
      <w:r w:rsidRPr="006A60C9">
        <w:rPr>
          <w:rStyle w:val="FootnoteReference"/>
          <w:rFonts w:ascii="Arial" w:hAnsi="Arial"/>
          <w:sz w:val="24"/>
          <w:szCs w:val="24"/>
        </w:rPr>
        <w:footnoteRef/>
      </w:r>
      <w:r w:rsidRPr="006A60C9">
        <w:rPr>
          <w:rFonts w:ascii="Arial" w:hAnsi="Arial"/>
          <w:sz w:val="24"/>
          <w:szCs w:val="24"/>
        </w:rPr>
        <w:t xml:space="preserve"> Comité de los Derechos del Niño de la Organización de las Naciones Unidas, Observación General No. 15, sobre el derecho del niño al disfrute del más alto nivel posible de salud (artículo 24), publicada el diecisiete de abril de dos mil trece, párrafo </w:t>
      </w:r>
      <w:r>
        <w:rPr>
          <w:rFonts w:ascii="Arial" w:hAnsi="Arial"/>
          <w:sz w:val="24"/>
          <w:szCs w:val="24"/>
        </w:rPr>
        <w:t>43</w:t>
      </w:r>
      <w:r w:rsidRPr="006A60C9">
        <w:rPr>
          <w:rFonts w:ascii="Arial" w:hAnsi="Arial"/>
          <w:sz w:val="24"/>
          <w:szCs w:val="24"/>
        </w:rPr>
        <w:t>.</w:t>
      </w:r>
    </w:p>
  </w:footnote>
  <w:footnote w:id="29">
    <w:p w14:paraId="23A8CDB0" w14:textId="77777777" w:rsidR="00A3660A" w:rsidRPr="00807A41" w:rsidRDefault="00A3660A" w:rsidP="00A3660A">
      <w:pPr>
        <w:pStyle w:val="FootnoteText"/>
        <w:jc w:val="both"/>
        <w:rPr>
          <w:rFonts w:ascii="Arial" w:hAnsi="Arial"/>
          <w:sz w:val="24"/>
          <w:szCs w:val="24"/>
          <w:lang w:val="pt-PT"/>
        </w:rPr>
      </w:pPr>
      <w:r w:rsidRPr="006A60C9">
        <w:rPr>
          <w:rStyle w:val="FootnoteReference"/>
          <w:rFonts w:ascii="Arial" w:hAnsi="Arial"/>
          <w:sz w:val="24"/>
          <w:szCs w:val="24"/>
        </w:rPr>
        <w:footnoteRef/>
      </w:r>
      <w:r w:rsidRPr="00807A41">
        <w:rPr>
          <w:rFonts w:ascii="Arial" w:hAnsi="Arial"/>
          <w:sz w:val="24"/>
          <w:szCs w:val="24"/>
          <w:lang w:val="pt-PT"/>
        </w:rPr>
        <w:t xml:space="preserve"> </w:t>
      </w:r>
      <w:r w:rsidRPr="00807A41">
        <w:rPr>
          <w:rFonts w:ascii="Arial" w:hAnsi="Arial"/>
          <w:i/>
          <w:iCs/>
          <w:sz w:val="24"/>
          <w:szCs w:val="24"/>
          <w:lang w:val="pt-PT"/>
        </w:rPr>
        <w:t>Ibídem</w:t>
      </w:r>
      <w:r w:rsidRPr="00807A41">
        <w:rPr>
          <w:rFonts w:ascii="Arial" w:hAnsi="Arial"/>
          <w:sz w:val="24"/>
          <w:szCs w:val="24"/>
          <w:lang w:val="pt-PT"/>
        </w:rPr>
        <w:t>, párrafo 45.</w:t>
      </w:r>
    </w:p>
  </w:footnote>
  <w:footnote w:id="30">
    <w:p w14:paraId="1DE7AA63" w14:textId="77777777" w:rsidR="00A3660A" w:rsidRPr="00807A41" w:rsidRDefault="00A3660A" w:rsidP="00A3660A">
      <w:pPr>
        <w:pStyle w:val="FootnoteText"/>
        <w:jc w:val="both"/>
        <w:rPr>
          <w:rFonts w:ascii="Arial" w:hAnsi="Arial"/>
          <w:sz w:val="24"/>
          <w:szCs w:val="24"/>
          <w:lang w:val="pt-PT"/>
        </w:rPr>
      </w:pPr>
      <w:r w:rsidRPr="00D66ECD">
        <w:rPr>
          <w:rStyle w:val="FootnoteReference"/>
          <w:rFonts w:ascii="Arial" w:hAnsi="Arial"/>
          <w:sz w:val="24"/>
          <w:szCs w:val="24"/>
        </w:rPr>
        <w:footnoteRef/>
      </w:r>
      <w:r w:rsidRPr="00807A41">
        <w:rPr>
          <w:rFonts w:ascii="Arial" w:hAnsi="Arial"/>
          <w:sz w:val="24"/>
          <w:szCs w:val="24"/>
          <w:lang w:val="pt-PT"/>
        </w:rPr>
        <w:t xml:space="preserve"> </w:t>
      </w:r>
      <w:r w:rsidRPr="00807A41">
        <w:rPr>
          <w:rFonts w:ascii="Arial" w:hAnsi="Arial"/>
          <w:i/>
          <w:iCs/>
          <w:sz w:val="24"/>
          <w:szCs w:val="24"/>
          <w:lang w:val="pt-PT"/>
        </w:rPr>
        <w:t>Ibídem,</w:t>
      </w:r>
      <w:r w:rsidRPr="00807A41">
        <w:rPr>
          <w:rFonts w:ascii="Arial" w:hAnsi="Arial"/>
          <w:sz w:val="24"/>
          <w:szCs w:val="24"/>
          <w:lang w:val="pt-PT"/>
        </w:rPr>
        <w:t xml:space="preserve"> párrafo 47.</w:t>
      </w:r>
    </w:p>
  </w:footnote>
  <w:footnote w:id="31">
    <w:p w14:paraId="5B805C73" w14:textId="77777777" w:rsidR="00A3660A" w:rsidRPr="00807A41" w:rsidRDefault="00A3660A" w:rsidP="00A3660A">
      <w:pPr>
        <w:pStyle w:val="FootnoteText"/>
        <w:rPr>
          <w:rFonts w:ascii="Arial" w:hAnsi="Arial"/>
          <w:sz w:val="24"/>
          <w:szCs w:val="24"/>
          <w:lang w:val="pt-PT"/>
        </w:rPr>
      </w:pPr>
      <w:r w:rsidRPr="00D66ECD">
        <w:rPr>
          <w:rStyle w:val="FootnoteReference"/>
          <w:rFonts w:ascii="Arial" w:hAnsi="Arial"/>
          <w:sz w:val="24"/>
          <w:szCs w:val="24"/>
        </w:rPr>
        <w:footnoteRef/>
      </w:r>
      <w:r w:rsidRPr="00807A41">
        <w:rPr>
          <w:rFonts w:ascii="Arial" w:hAnsi="Arial"/>
          <w:sz w:val="24"/>
          <w:szCs w:val="24"/>
          <w:lang w:val="pt-PT"/>
        </w:rPr>
        <w:t xml:space="preserve"> </w:t>
      </w:r>
      <w:r w:rsidRPr="00807A41">
        <w:rPr>
          <w:rFonts w:ascii="Arial" w:hAnsi="Arial"/>
          <w:i/>
          <w:iCs/>
          <w:sz w:val="24"/>
          <w:szCs w:val="24"/>
          <w:lang w:val="pt-PT"/>
        </w:rPr>
        <w:t>Ibídem,</w:t>
      </w:r>
      <w:r w:rsidRPr="00807A41">
        <w:rPr>
          <w:rFonts w:ascii="Arial" w:hAnsi="Arial"/>
          <w:sz w:val="24"/>
          <w:szCs w:val="24"/>
          <w:lang w:val="pt-PT"/>
        </w:rPr>
        <w:t xml:space="preserve"> párrafo 76.</w:t>
      </w:r>
    </w:p>
  </w:footnote>
  <w:footnote w:id="32">
    <w:p w14:paraId="6667825D" w14:textId="77777777" w:rsidR="00A3660A" w:rsidRPr="00807A41" w:rsidRDefault="00A3660A" w:rsidP="00A3660A">
      <w:pPr>
        <w:pStyle w:val="FootnoteText"/>
        <w:rPr>
          <w:rFonts w:ascii="Arial" w:hAnsi="Arial"/>
          <w:sz w:val="24"/>
          <w:szCs w:val="24"/>
          <w:lang w:val="pt-PT"/>
        </w:rPr>
      </w:pPr>
      <w:r w:rsidRPr="00E176BC">
        <w:rPr>
          <w:rStyle w:val="FootnoteReference"/>
          <w:rFonts w:ascii="Arial" w:hAnsi="Arial"/>
          <w:sz w:val="24"/>
          <w:szCs w:val="24"/>
        </w:rPr>
        <w:footnoteRef/>
      </w:r>
      <w:r w:rsidRPr="00807A41">
        <w:rPr>
          <w:rFonts w:ascii="Arial" w:hAnsi="Arial"/>
          <w:sz w:val="24"/>
          <w:szCs w:val="24"/>
          <w:lang w:val="pt-PT"/>
        </w:rPr>
        <w:t xml:space="preserve"> </w:t>
      </w:r>
      <w:r w:rsidRPr="00807A41">
        <w:rPr>
          <w:rFonts w:ascii="Arial" w:hAnsi="Arial"/>
          <w:i/>
          <w:iCs/>
          <w:sz w:val="24"/>
          <w:szCs w:val="24"/>
          <w:lang w:val="pt-PT"/>
        </w:rPr>
        <w:t xml:space="preserve">Ibídem, </w:t>
      </w:r>
      <w:r w:rsidRPr="00807A41">
        <w:rPr>
          <w:rFonts w:ascii="Arial" w:hAnsi="Arial"/>
          <w:sz w:val="24"/>
          <w:szCs w:val="24"/>
          <w:lang w:val="pt-PT"/>
        </w:rPr>
        <w:t>párrafo 80.</w:t>
      </w:r>
    </w:p>
  </w:footnote>
  <w:footnote w:id="33">
    <w:p w14:paraId="2C011AC7" w14:textId="77777777" w:rsidR="00A3660A" w:rsidRPr="00807A41" w:rsidRDefault="00A3660A" w:rsidP="00A3660A">
      <w:pPr>
        <w:pStyle w:val="FootnoteText"/>
        <w:rPr>
          <w:sz w:val="24"/>
          <w:szCs w:val="24"/>
          <w:lang w:val="pt-PT"/>
        </w:rPr>
      </w:pPr>
      <w:r w:rsidRPr="00E176BC">
        <w:rPr>
          <w:rStyle w:val="FootnoteReference"/>
          <w:sz w:val="24"/>
          <w:szCs w:val="24"/>
        </w:rPr>
        <w:footnoteRef/>
      </w:r>
      <w:r w:rsidRPr="00807A41">
        <w:rPr>
          <w:sz w:val="24"/>
          <w:szCs w:val="24"/>
          <w:lang w:val="pt-PT"/>
        </w:rPr>
        <w:t xml:space="preserve"> </w:t>
      </w:r>
      <w:r w:rsidRPr="00807A41">
        <w:rPr>
          <w:rFonts w:ascii="Arial" w:hAnsi="Arial"/>
          <w:i/>
          <w:iCs/>
          <w:sz w:val="24"/>
          <w:szCs w:val="24"/>
          <w:lang w:val="pt-PT"/>
        </w:rPr>
        <w:t xml:space="preserve">Ibídem, </w:t>
      </w:r>
      <w:r w:rsidRPr="00807A41">
        <w:rPr>
          <w:rFonts w:ascii="Arial" w:hAnsi="Arial"/>
          <w:sz w:val="24"/>
          <w:szCs w:val="24"/>
          <w:lang w:val="pt-PT"/>
        </w:rPr>
        <w:t>párrafo 81.</w:t>
      </w:r>
    </w:p>
  </w:footnote>
  <w:footnote w:id="34">
    <w:p w14:paraId="416D1AD6" w14:textId="77777777" w:rsidR="00A3660A" w:rsidRPr="00807A41" w:rsidRDefault="00A3660A" w:rsidP="00A3660A">
      <w:pPr>
        <w:pStyle w:val="FootnoteText"/>
        <w:rPr>
          <w:lang w:val="pt-PT"/>
        </w:rPr>
      </w:pPr>
      <w:r w:rsidRPr="00E176BC">
        <w:rPr>
          <w:rStyle w:val="FootnoteReference"/>
          <w:rFonts w:ascii="Arial" w:hAnsi="Arial"/>
          <w:sz w:val="24"/>
          <w:szCs w:val="24"/>
        </w:rPr>
        <w:footnoteRef/>
      </w:r>
      <w:r w:rsidRPr="00807A41">
        <w:rPr>
          <w:rFonts w:ascii="Arial" w:hAnsi="Arial"/>
          <w:sz w:val="24"/>
          <w:szCs w:val="24"/>
          <w:lang w:val="pt-PT"/>
        </w:rPr>
        <w:t xml:space="preserve"> </w:t>
      </w:r>
      <w:r w:rsidRPr="00807A41">
        <w:rPr>
          <w:rFonts w:ascii="Arial" w:hAnsi="Arial"/>
          <w:i/>
          <w:iCs/>
          <w:sz w:val="24"/>
          <w:szCs w:val="24"/>
          <w:lang w:val="pt-PT"/>
        </w:rPr>
        <w:t>Ibídem,</w:t>
      </w:r>
      <w:r w:rsidRPr="00807A41">
        <w:rPr>
          <w:rFonts w:ascii="Arial" w:hAnsi="Arial"/>
          <w:sz w:val="24"/>
          <w:szCs w:val="24"/>
          <w:lang w:val="pt-PT"/>
        </w:rPr>
        <w:t xml:space="preserve"> párrafos 58 y 59.</w:t>
      </w:r>
    </w:p>
  </w:footnote>
  <w:footnote w:id="35">
    <w:p w14:paraId="6878282B" w14:textId="77777777" w:rsidR="000D2A66" w:rsidRPr="005822F8" w:rsidRDefault="000D2A66" w:rsidP="00A75C83">
      <w:pPr>
        <w:pStyle w:val="Estilo"/>
        <w:rPr>
          <w:rFonts w:cs="Arial"/>
          <w:szCs w:val="24"/>
        </w:rPr>
      </w:pPr>
      <w:r w:rsidRPr="005822F8">
        <w:rPr>
          <w:rStyle w:val="FootnoteReference"/>
          <w:rFonts w:cs="Arial"/>
          <w:szCs w:val="24"/>
        </w:rPr>
        <w:footnoteRef/>
      </w:r>
      <w:r w:rsidRPr="005822F8">
        <w:rPr>
          <w:rFonts w:cs="Arial"/>
          <w:szCs w:val="24"/>
        </w:rPr>
        <w:t xml:space="preserve"> REFORMADO PRIMER PÁRRAFO, D.O.F. 8 DE NOVIEMBRE DE 2019)</w:t>
      </w:r>
    </w:p>
    <w:p w14:paraId="64A9F4A7" w14:textId="77777777" w:rsidR="000D2A66" w:rsidRPr="005822F8" w:rsidRDefault="000D2A66" w:rsidP="00A75C83">
      <w:pPr>
        <w:pStyle w:val="Estilo"/>
        <w:rPr>
          <w:rFonts w:cs="Arial"/>
          <w:szCs w:val="24"/>
        </w:rPr>
      </w:pPr>
      <w:r w:rsidRPr="005822F8">
        <w:rPr>
          <w:rFonts w:cs="Arial"/>
          <w:b/>
          <w:bCs/>
          <w:szCs w:val="24"/>
        </w:rPr>
        <w:t>Artículo 212.-</w:t>
      </w:r>
      <w:r w:rsidRPr="005822F8">
        <w:rPr>
          <w:rFonts w:cs="Arial"/>
          <w:szCs w:val="24"/>
        </w:rPr>
        <w:t xml:space="preserve"> La naturaleza del producto, la fórmula, la composición, calidad, denominación distintiva o marca, denominación genérica y específica, información de las etiquetas y contra etiquetas, deberán corresponder a las especificaciones establecidas por la Secretaría de Salud, de conformidad con las disposiciones aplicables, y responderán exactamente a la naturaleza del producto que se consume, sin modificarse; para tal efecto se observará lo señalado en la fracción VI del artículo 115.</w:t>
      </w:r>
    </w:p>
    <w:p w14:paraId="671B8E3F" w14:textId="77777777" w:rsidR="000D2A66" w:rsidRPr="005822F8" w:rsidRDefault="000D2A66" w:rsidP="00A75C83">
      <w:pPr>
        <w:pStyle w:val="Estilo"/>
        <w:rPr>
          <w:rFonts w:cs="Arial"/>
          <w:szCs w:val="24"/>
        </w:rPr>
      </w:pPr>
      <w:r w:rsidRPr="005822F8">
        <w:rPr>
          <w:rFonts w:cs="Arial"/>
          <w:szCs w:val="24"/>
        </w:rPr>
        <w:t>[…]</w:t>
      </w:r>
    </w:p>
    <w:p w14:paraId="272CF016" w14:textId="77777777" w:rsidR="000D2A66" w:rsidRPr="005822F8" w:rsidRDefault="000D2A66" w:rsidP="00A75C83">
      <w:pPr>
        <w:pStyle w:val="Estilo"/>
        <w:rPr>
          <w:rFonts w:cs="Arial"/>
          <w:szCs w:val="24"/>
        </w:rPr>
      </w:pPr>
      <w:r w:rsidRPr="005822F8">
        <w:rPr>
          <w:rFonts w:cs="Arial"/>
          <w:szCs w:val="24"/>
        </w:rPr>
        <w:t>(REFORMADO, D.O.F. 8 DE NOVIEMBRE DE 2019)</w:t>
      </w:r>
    </w:p>
    <w:p w14:paraId="55231C7F" w14:textId="03394C12" w:rsidR="000D2A66" w:rsidRPr="005822F8" w:rsidRDefault="000D2A66" w:rsidP="00A75C83">
      <w:pPr>
        <w:pStyle w:val="Estilo"/>
        <w:rPr>
          <w:rFonts w:cs="Arial"/>
          <w:szCs w:val="24"/>
        </w:rPr>
      </w:pPr>
      <w:r w:rsidRPr="005822F8">
        <w:rPr>
          <w:rFonts w:cs="Arial"/>
          <w:szCs w:val="24"/>
        </w:rPr>
        <w:t>Las etiquetas o contra etiquetas para los alimentos y bebidas no alcohólicas, deberán incluir información nutrimental de fácil comprensión, veraz, directa, sencilla y visible.</w:t>
      </w:r>
    </w:p>
    <w:p w14:paraId="3F0928CE" w14:textId="77777777" w:rsidR="000D2A66" w:rsidRPr="005822F8" w:rsidRDefault="000D2A66" w:rsidP="00A75C83">
      <w:pPr>
        <w:pStyle w:val="Estilo"/>
        <w:rPr>
          <w:rFonts w:cs="Arial"/>
          <w:b/>
          <w:bCs/>
          <w:szCs w:val="24"/>
        </w:rPr>
      </w:pPr>
      <w:r w:rsidRPr="005822F8">
        <w:rPr>
          <w:rFonts w:cs="Arial"/>
          <w:b/>
          <w:bCs/>
          <w:szCs w:val="24"/>
        </w:rPr>
        <w:t>(ADICIONADO, D.O.F. 8 DE NOVIEMBRE DE 2019)</w:t>
      </w:r>
    </w:p>
    <w:p w14:paraId="5D6F2A32" w14:textId="77777777" w:rsidR="000D2A66" w:rsidRPr="005822F8" w:rsidRDefault="000D2A66" w:rsidP="00A75C83">
      <w:pPr>
        <w:pStyle w:val="Estilo"/>
        <w:rPr>
          <w:rFonts w:cs="Arial"/>
          <w:b/>
          <w:bCs/>
          <w:szCs w:val="24"/>
        </w:rPr>
      </w:pPr>
      <w:r w:rsidRPr="005822F8">
        <w:rPr>
          <w:rFonts w:cs="Arial"/>
          <w:b/>
          <w:bCs/>
          <w:szCs w:val="24"/>
        </w:rPr>
        <w:t xml:space="preserve">Además de lo dispuesto en el párrafo anterior, el </w:t>
      </w:r>
      <w:r w:rsidRPr="005822F8">
        <w:rPr>
          <w:rFonts w:cs="Arial"/>
          <w:b/>
          <w:bCs/>
          <w:szCs w:val="24"/>
          <w:u w:val="single"/>
        </w:rPr>
        <w:t>etiquetado frontal de advertencia</w:t>
      </w:r>
      <w:r w:rsidRPr="005822F8">
        <w:rPr>
          <w:rFonts w:cs="Arial"/>
          <w:b/>
          <w:bCs/>
          <w:szCs w:val="24"/>
        </w:rPr>
        <w:t xml:space="preserve"> deberá hacerse en forma separada e independiente a la declaración de ingredientes e información nutrimental, </w:t>
      </w:r>
      <w:r w:rsidRPr="005822F8">
        <w:rPr>
          <w:rFonts w:cs="Arial"/>
          <w:b/>
          <w:bCs/>
          <w:szCs w:val="24"/>
          <w:u w:val="single"/>
        </w:rPr>
        <w:t>para indicar los productos que excedan los límites máximos de contenido energético, azúcares añadidos, grasas saturadas, sodio y los demás nutrimentos críticos e ingredientes que establezcan las disposiciones normativas competentes</w:t>
      </w:r>
      <w:r w:rsidRPr="005822F8">
        <w:rPr>
          <w:rFonts w:cs="Arial"/>
          <w:b/>
          <w:bCs/>
          <w:szCs w:val="24"/>
        </w:rPr>
        <w:t>.</w:t>
      </w:r>
    </w:p>
    <w:p w14:paraId="3C7CF682" w14:textId="77777777" w:rsidR="000D2A66" w:rsidRPr="005822F8" w:rsidRDefault="000D2A66" w:rsidP="00A75C83">
      <w:pPr>
        <w:pStyle w:val="Estilo"/>
        <w:rPr>
          <w:rFonts w:cs="Arial"/>
          <w:b/>
          <w:bCs/>
          <w:szCs w:val="24"/>
        </w:rPr>
      </w:pPr>
      <w:r w:rsidRPr="005822F8">
        <w:rPr>
          <w:rFonts w:cs="Arial"/>
          <w:b/>
          <w:bCs/>
          <w:szCs w:val="24"/>
        </w:rPr>
        <w:t>(ADICIONADO, D.O.F. 8 DE NOVIEMBRE DE 2019)</w:t>
      </w:r>
    </w:p>
    <w:p w14:paraId="2109AA27" w14:textId="77777777" w:rsidR="000D2A66" w:rsidRPr="005822F8" w:rsidRDefault="000D2A66" w:rsidP="00A75C83">
      <w:pPr>
        <w:pStyle w:val="Estilo"/>
        <w:rPr>
          <w:rFonts w:cs="Arial"/>
          <w:b/>
          <w:bCs/>
          <w:szCs w:val="24"/>
        </w:rPr>
      </w:pPr>
      <w:r w:rsidRPr="005822F8">
        <w:rPr>
          <w:rFonts w:cs="Arial"/>
          <w:b/>
          <w:bCs/>
          <w:szCs w:val="24"/>
        </w:rPr>
        <w:t>La Secretaría de Salud podrá ordenar la inclusión de leyendas o pictogramas cuando lo considere necesario.</w:t>
      </w:r>
    </w:p>
    <w:p w14:paraId="0AD1543E" w14:textId="77777777" w:rsidR="000D2A66" w:rsidRPr="005822F8" w:rsidRDefault="000D2A66" w:rsidP="00A75C83">
      <w:pPr>
        <w:pStyle w:val="Estilo"/>
        <w:rPr>
          <w:rFonts w:cs="Arial"/>
          <w:b/>
          <w:bCs/>
          <w:szCs w:val="24"/>
        </w:rPr>
      </w:pPr>
    </w:p>
    <w:p w14:paraId="1B99793C" w14:textId="77777777" w:rsidR="000D2A66" w:rsidRPr="005822F8" w:rsidRDefault="000D2A66" w:rsidP="00A75C83">
      <w:pPr>
        <w:pStyle w:val="Estilo"/>
        <w:rPr>
          <w:rFonts w:cs="Arial"/>
          <w:szCs w:val="24"/>
        </w:rPr>
      </w:pPr>
      <w:r w:rsidRPr="005822F8">
        <w:rPr>
          <w:rFonts w:cs="Arial"/>
          <w:b/>
          <w:bCs/>
          <w:szCs w:val="24"/>
        </w:rPr>
        <w:t>Artículo 215.-</w:t>
      </w:r>
      <w:r w:rsidRPr="005822F8">
        <w:rPr>
          <w:rFonts w:cs="Arial"/>
          <w:szCs w:val="24"/>
        </w:rPr>
        <w:t xml:space="preserve"> Para los efectos de esta Ley, se entiende por:</w:t>
      </w:r>
    </w:p>
    <w:p w14:paraId="69CCBACD" w14:textId="77777777" w:rsidR="000D2A66" w:rsidRPr="005822F8" w:rsidRDefault="000D2A66" w:rsidP="00A75C83">
      <w:pPr>
        <w:pStyle w:val="Estilo"/>
        <w:rPr>
          <w:rFonts w:cs="Arial"/>
          <w:szCs w:val="24"/>
        </w:rPr>
      </w:pPr>
      <w:r w:rsidRPr="005822F8">
        <w:rPr>
          <w:rFonts w:cs="Arial"/>
          <w:szCs w:val="24"/>
        </w:rPr>
        <w:t>(ADICIONADA, D.O.F. 8 DE NOVIEMBRE DE 2019)</w:t>
      </w:r>
    </w:p>
    <w:p w14:paraId="6E2739AA" w14:textId="77777777" w:rsidR="000D2A66" w:rsidRPr="005822F8" w:rsidRDefault="000D2A66" w:rsidP="00A75C83">
      <w:pPr>
        <w:pStyle w:val="Estilo"/>
        <w:rPr>
          <w:rFonts w:cs="Arial"/>
          <w:b/>
          <w:bCs/>
          <w:szCs w:val="24"/>
        </w:rPr>
      </w:pPr>
      <w:r w:rsidRPr="005822F8">
        <w:rPr>
          <w:rFonts w:cs="Arial"/>
          <w:szCs w:val="24"/>
        </w:rPr>
        <w:t xml:space="preserve">VI.- </w:t>
      </w:r>
      <w:r w:rsidRPr="005822F8">
        <w:rPr>
          <w:rFonts w:cs="Arial"/>
          <w:b/>
          <w:bCs/>
          <w:szCs w:val="24"/>
        </w:rPr>
        <w:t>Etiquetado frontal de advertencia de alimentos y bebidas no alcohólicas</w:t>
      </w:r>
      <w:r w:rsidRPr="005822F8">
        <w:rPr>
          <w:rFonts w:cs="Arial"/>
          <w:szCs w:val="24"/>
        </w:rPr>
        <w:t xml:space="preserve">: Sistema de </w:t>
      </w:r>
      <w:r w:rsidRPr="005822F8">
        <w:rPr>
          <w:rFonts w:cs="Arial"/>
          <w:szCs w:val="24"/>
          <w:u w:val="single"/>
        </w:rPr>
        <w:t>información simplificada</w:t>
      </w:r>
      <w:r w:rsidRPr="005822F8">
        <w:rPr>
          <w:rFonts w:cs="Arial"/>
          <w:szCs w:val="24"/>
        </w:rPr>
        <w:t xml:space="preserve"> en el área frontal de exhibición del envase, el cual debe advertir de manera veraz, clara, rápida y simple sobre el contenido que </w:t>
      </w:r>
      <w:r w:rsidRPr="005822F8">
        <w:rPr>
          <w:rFonts w:cs="Arial"/>
          <w:b/>
          <w:bCs/>
          <w:szCs w:val="24"/>
        </w:rPr>
        <w:t xml:space="preserve">exceda los </w:t>
      </w:r>
      <w:r w:rsidRPr="005822F8">
        <w:rPr>
          <w:rFonts w:cs="Arial"/>
          <w:b/>
          <w:bCs/>
          <w:szCs w:val="24"/>
          <w:u w:val="single"/>
        </w:rPr>
        <w:t>niveles máximos</w:t>
      </w:r>
      <w:r w:rsidRPr="005822F8">
        <w:rPr>
          <w:rFonts w:cs="Arial"/>
          <w:b/>
          <w:bCs/>
          <w:szCs w:val="24"/>
        </w:rPr>
        <w:t xml:space="preserve"> de contenido energético, azúcares añadidos, grasas saturadas, grasas, sodio y los </w:t>
      </w:r>
      <w:r w:rsidRPr="005822F8">
        <w:rPr>
          <w:rFonts w:cs="Arial"/>
          <w:b/>
          <w:bCs/>
          <w:szCs w:val="24"/>
          <w:u w:val="single"/>
        </w:rPr>
        <w:t>nutrimentos críticos</w:t>
      </w:r>
      <w:r w:rsidRPr="005822F8">
        <w:rPr>
          <w:rFonts w:cs="Arial"/>
          <w:b/>
          <w:bCs/>
          <w:szCs w:val="24"/>
        </w:rPr>
        <w:t>, ingredientes y las demás que determine la Secretaría.</w:t>
      </w:r>
    </w:p>
    <w:p w14:paraId="2473029A" w14:textId="77777777" w:rsidR="000D2A66" w:rsidRPr="005822F8" w:rsidRDefault="000D2A66" w:rsidP="00A75C83">
      <w:pPr>
        <w:pStyle w:val="Estilo"/>
        <w:rPr>
          <w:rFonts w:cs="Arial"/>
          <w:szCs w:val="24"/>
        </w:rPr>
      </w:pPr>
      <w:r w:rsidRPr="005822F8">
        <w:rPr>
          <w:rFonts w:cs="Arial"/>
          <w:szCs w:val="24"/>
        </w:rPr>
        <w:t>(ADICIONADA, D.O.F. 8 DE NOVIEMBRE DE 2019)</w:t>
      </w:r>
    </w:p>
    <w:p w14:paraId="6B379AE5" w14:textId="77777777" w:rsidR="000D2A66" w:rsidRPr="005822F8" w:rsidRDefault="000D2A66" w:rsidP="00A75C83">
      <w:pPr>
        <w:pStyle w:val="Estilo"/>
        <w:rPr>
          <w:rFonts w:cs="Arial"/>
          <w:b/>
          <w:bCs/>
          <w:szCs w:val="24"/>
        </w:rPr>
      </w:pPr>
      <w:r w:rsidRPr="005822F8">
        <w:rPr>
          <w:rFonts w:cs="Arial"/>
          <w:szCs w:val="24"/>
        </w:rPr>
        <w:t xml:space="preserve">VII.- </w:t>
      </w:r>
      <w:r w:rsidRPr="005822F8">
        <w:rPr>
          <w:rFonts w:cs="Arial"/>
          <w:b/>
          <w:bCs/>
          <w:szCs w:val="24"/>
        </w:rPr>
        <w:t>Nutrimentos críticos</w:t>
      </w:r>
      <w:r w:rsidRPr="005822F8">
        <w:rPr>
          <w:rFonts w:cs="Arial"/>
          <w:szCs w:val="24"/>
        </w:rPr>
        <w:t xml:space="preserve">: Aquellos </w:t>
      </w:r>
      <w:r w:rsidRPr="005822F8">
        <w:rPr>
          <w:rFonts w:cs="Arial"/>
          <w:b/>
          <w:bCs/>
          <w:szCs w:val="24"/>
        </w:rPr>
        <w:t>componentes de la alimentación que pueden ser un factor de riesgo de las enfermedades crónicas no transmisibles</w:t>
      </w:r>
      <w:r w:rsidRPr="005822F8">
        <w:rPr>
          <w:rFonts w:cs="Arial"/>
          <w:szCs w:val="24"/>
        </w:rPr>
        <w:t>, serán determinados por la Secretaría de Salud.</w:t>
      </w:r>
    </w:p>
  </w:footnote>
  <w:footnote w:id="36">
    <w:p w14:paraId="4F3E31EF" w14:textId="77777777" w:rsidR="000D2A66" w:rsidRPr="005822F8" w:rsidRDefault="000D2A66"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Organización Panamericana de la Salud, El etiquetado frontal, como instrumento de política para prevenir enfermedades no transmisibles en la Región de las Américas, Washington, D.C., 2020, OPS-OMS.</w:t>
      </w:r>
    </w:p>
  </w:footnote>
  <w:footnote w:id="37">
    <w:p w14:paraId="200E89A6" w14:textId="77777777" w:rsidR="000D2A66" w:rsidRPr="005822F8" w:rsidRDefault="000D2A66"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hAnsi="Arial" w:cs="Arial"/>
          <w:i/>
          <w:iCs/>
          <w:sz w:val="24"/>
          <w:szCs w:val="24"/>
        </w:rPr>
        <w:t>Idem</w:t>
      </w:r>
      <w:r w:rsidRPr="005822F8">
        <w:rPr>
          <w:rFonts w:ascii="Arial" w:hAnsi="Arial" w:cs="Arial"/>
          <w:sz w:val="24"/>
          <w:szCs w:val="24"/>
        </w:rPr>
        <w:t>.</w:t>
      </w:r>
    </w:p>
  </w:footnote>
  <w:footnote w:id="38">
    <w:p w14:paraId="68C36764" w14:textId="77777777" w:rsidR="000D2A66" w:rsidRPr="005822F8" w:rsidRDefault="000D2A66"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hAnsi="Arial" w:cs="Arial"/>
          <w:i/>
          <w:iCs/>
          <w:sz w:val="24"/>
          <w:szCs w:val="24"/>
        </w:rPr>
        <w:t>Idem</w:t>
      </w:r>
      <w:r w:rsidRPr="005822F8">
        <w:rPr>
          <w:rFonts w:ascii="Arial" w:hAnsi="Arial" w:cs="Arial"/>
          <w:sz w:val="24"/>
          <w:szCs w:val="24"/>
        </w:rPr>
        <w:t>.</w:t>
      </w:r>
    </w:p>
  </w:footnote>
  <w:footnote w:id="39">
    <w:p w14:paraId="2B62491C" w14:textId="77777777" w:rsidR="000D2A66" w:rsidRPr="005822F8" w:rsidRDefault="000D2A66"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hAnsi="Arial" w:cs="Arial"/>
          <w:i/>
          <w:iCs/>
          <w:sz w:val="24"/>
          <w:szCs w:val="24"/>
        </w:rPr>
        <w:t>Idem</w:t>
      </w:r>
      <w:r w:rsidRPr="005822F8">
        <w:rPr>
          <w:rFonts w:ascii="Arial" w:hAnsi="Arial" w:cs="Arial"/>
          <w:sz w:val="24"/>
          <w:szCs w:val="24"/>
        </w:rPr>
        <w:t>.</w:t>
      </w:r>
    </w:p>
  </w:footnote>
  <w:footnote w:id="40">
    <w:p w14:paraId="749B9295" w14:textId="77777777" w:rsidR="000D2A66" w:rsidRPr="005822F8" w:rsidRDefault="000D2A66"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Cuya metodología consistió en la elaboración de un cuestionario compuesto por 33 preguntas. La primera está relacionada con el conocimiento que tiene la población sobre la cantidad de calorías que debe consumir una persona al día. Posteriormente, se realizan preguntas relacionadas con el etiquetado frontal de advertencia y su uso para identificar la calidad nutrimental de un producto, el tipo de etiquetas que utilizan al momento de la compra y su opinión sobre esta medida de salud pública. Para la aplicación de ese cuestionario, fue necesario mostrar a las personas entrevistadas algunas figuras a manera de ejemplos. En ocasiones, se requirió mostrar la misma imagen para distintas preguntas. </w:t>
      </w:r>
    </w:p>
  </w:footnote>
  <w:footnote w:id="41">
    <w:p w14:paraId="0F534F0D" w14:textId="77777777" w:rsidR="000D2A66" w:rsidRPr="00807A41" w:rsidRDefault="000D2A66" w:rsidP="00A75C83">
      <w:pPr>
        <w:pStyle w:val="FootnoteText"/>
        <w:jc w:val="both"/>
        <w:rPr>
          <w:rFonts w:ascii="Arial" w:hAnsi="Arial" w:cs="Arial"/>
          <w:sz w:val="24"/>
          <w:szCs w:val="24"/>
          <w:lang w:val="pt-PT"/>
        </w:rPr>
      </w:pPr>
      <w:r w:rsidRPr="005822F8">
        <w:rPr>
          <w:rStyle w:val="FootnoteReference"/>
          <w:rFonts w:ascii="Arial" w:hAnsi="Arial" w:cs="Arial"/>
          <w:sz w:val="24"/>
          <w:szCs w:val="24"/>
        </w:rPr>
        <w:footnoteRef/>
      </w:r>
      <w:r w:rsidRPr="005822F8">
        <w:rPr>
          <w:rFonts w:ascii="Arial" w:hAnsi="Arial" w:cs="Arial"/>
          <w:sz w:val="24"/>
          <w:szCs w:val="24"/>
        </w:rPr>
        <w:t xml:space="preserve"> Shamah-Levy T, Romero-Martínez M, Barrientos-Gutiérrez T, Cuevas-Nasu L, Bautista-Arredondo S, Colchero MA, Gaona-Pineda EB, Lazcano-Ponce E, Martínez-Barnetche J, Alpuche-Arana C, Rivera-Dommarco J. Encuesta Nacional de Salud y Nutrición 2021 sobre Covid-19. </w:t>
      </w:r>
      <w:r w:rsidRPr="00807A41">
        <w:rPr>
          <w:rFonts w:ascii="Arial" w:hAnsi="Arial" w:cs="Arial"/>
          <w:sz w:val="24"/>
          <w:szCs w:val="24"/>
          <w:lang w:val="pt-PT"/>
        </w:rPr>
        <w:t xml:space="preserve">Resultados </w:t>
      </w:r>
      <w:r w:rsidRPr="00807A41">
        <w:rPr>
          <w:rFonts w:ascii="Arial" w:hAnsi="Arial" w:cs="Arial"/>
          <w:sz w:val="24"/>
          <w:szCs w:val="24"/>
          <w:lang w:val="pt-PT"/>
        </w:rPr>
        <w:t>nacionales. Cuernavaca, México: Instituto Nacional de Salud Pública, 2022.</w:t>
      </w:r>
    </w:p>
  </w:footnote>
  <w:footnote w:id="42">
    <w:p w14:paraId="0A0C4F03" w14:textId="77777777" w:rsidR="000D2A66" w:rsidRPr="00807A41" w:rsidRDefault="000D2A66" w:rsidP="00A75C83">
      <w:pPr>
        <w:pStyle w:val="FootnoteText"/>
        <w:jc w:val="both"/>
        <w:rPr>
          <w:rFonts w:ascii="Arial" w:hAnsi="Arial" w:cs="Arial"/>
          <w:sz w:val="24"/>
          <w:szCs w:val="24"/>
          <w:lang w:val="pt-PT"/>
        </w:rPr>
      </w:pPr>
      <w:r w:rsidRPr="005822F8">
        <w:rPr>
          <w:rStyle w:val="FootnoteReference"/>
          <w:rFonts w:ascii="Arial" w:hAnsi="Arial" w:cs="Arial"/>
          <w:sz w:val="24"/>
          <w:szCs w:val="24"/>
        </w:rPr>
        <w:footnoteRef/>
      </w:r>
      <w:r w:rsidRPr="00807A41">
        <w:rPr>
          <w:rFonts w:ascii="Arial" w:hAnsi="Arial" w:cs="Arial"/>
          <w:sz w:val="24"/>
          <w:szCs w:val="24"/>
          <w:lang w:val="pt-PT"/>
        </w:rPr>
        <w:t xml:space="preserve"> </w:t>
      </w:r>
      <w:r w:rsidRPr="00807A41">
        <w:rPr>
          <w:rFonts w:ascii="Arial" w:hAnsi="Arial" w:cs="Arial"/>
          <w:i/>
          <w:iCs/>
          <w:sz w:val="24"/>
          <w:szCs w:val="24"/>
          <w:lang w:val="pt-PT"/>
        </w:rPr>
        <w:t>Idem</w:t>
      </w:r>
      <w:r w:rsidRPr="00807A41">
        <w:rPr>
          <w:rFonts w:ascii="Arial" w:hAnsi="Arial" w:cs="Arial"/>
          <w:sz w:val="24"/>
          <w:szCs w:val="24"/>
          <w:lang w:val="pt-PT"/>
        </w:rPr>
        <w:t>.</w:t>
      </w:r>
    </w:p>
  </w:footnote>
  <w:footnote w:id="43">
    <w:p w14:paraId="153FDCCA"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44">
    <w:p w14:paraId="4E05FBC9"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45">
    <w:p w14:paraId="56993605"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46">
    <w:p w14:paraId="4EBA3C27"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47">
    <w:p w14:paraId="59A271F1"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48">
    <w:p w14:paraId="47FA1938"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49">
    <w:p w14:paraId="60A65E0C"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50">
    <w:p w14:paraId="6972D0FE"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51">
    <w:p w14:paraId="74C889EB"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52">
    <w:p w14:paraId="4C6000EB" w14:textId="77777777" w:rsidR="000D2A66" w:rsidRPr="005822F8" w:rsidRDefault="000D2A66" w:rsidP="00A75C83">
      <w:pPr>
        <w:pStyle w:val="FootnoteText"/>
        <w:jc w:val="both"/>
        <w:rPr>
          <w:rFonts w:ascii="Arial" w:hAnsi="Arial" w:cs="Arial"/>
          <w:sz w:val="24"/>
          <w:szCs w:val="24"/>
          <w:lang w:val="en-US"/>
        </w:rPr>
      </w:pPr>
      <w:r w:rsidRPr="005822F8">
        <w:rPr>
          <w:rStyle w:val="FootnoteReference"/>
          <w:rFonts w:ascii="Arial" w:hAnsi="Arial" w:cs="Arial"/>
          <w:sz w:val="24"/>
          <w:szCs w:val="24"/>
        </w:rPr>
        <w:footnoteRef/>
      </w:r>
      <w:r w:rsidRPr="005822F8">
        <w:rPr>
          <w:rFonts w:ascii="Arial" w:hAnsi="Arial" w:cs="Arial"/>
          <w:sz w:val="24"/>
          <w:szCs w:val="24"/>
          <w:lang w:val="en-US"/>
        </w:rPr>
        <w:t xml:space="preserve"> </w:t>
      </w:r>
      <w:r w:rsidRPr="005822F8">
        <w:rPr>
          <w:rFonts w:ascii="Arial" w:hAnsi="Arial" w:cs="Arial"/>
          <w:i/>
          <w:iCs/>
          <w:sz w:val="24"/>
          <w:szCs w:val="24"/>
          <w:lang w:val="en-US"/>
        </w:rPr>
        <w:t>Idem</w:t>
      </w:r>
      <w:r w:rsidRPr="005822F8">
        <w:rPr>
          <w:rFonts w:ascii="Arial" w:hAnsi="Arial" w:cs="Arial"/>
          <w:sz w:val="24"/>
          <w:szCs w:val="24"/>
          <w:lang w:val="en-US"/>
        </w:rPr>
        <w:t>.</w:t>
      </w:r>
    </w:p>
  </w:footnote>
  <w:footnote w:id="53">
    <w:p w14:paraId="1A101DA7" w14:textId="77777777" w:rsidR="000D2A66" w:rsidRPr="005822F8" w:rsidRDefault="000D2A66"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hAnsi="Arial" w:cs="Arial"/>
          <w:i/>
          <w:iCs/>
          <w:sz w:val="24"/>
          <w:szCs w:val="24"/>
        </w:rPr>
        <w:t>Idem</w:t>
      </w:r>
      <w:r w:rsidRPr="005822F8">
        <w:rPr>
          <w:rFonts w:ascii="Arial" w:hAnsi="Arial" w:cs="Arial"/>
          <w:sz w:val="24"/>
          <w:szCs w:val="24"/>
        </w:rPr>
        <w:t>.</w:t>
      </w:r>
    </w:p>
  </w:footnote>
  <w:footnote w:id="54">
    <w:p w14:paraId="774E40D1" w14:textId="02DA57AF" w:rsidR="000D2A66" w:rsidRPr="005822F8" w:rsidRDefault="000D2A66"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Fallado en sesión de </w:t>
      </w:r>
      <w:r w:rsidR="008E4259">
        <w:rPr>
          <w:rFonts w:ascii="Arial" w:hAnsi="Arial" w:cs="Arial"/>
          <w:sz w:val="24"/>
          <w:szCs w:val="24"/>
        </w:rPr>
        <w:t>cinco</w:t>
      </w:r>
      <w:r w:rsidRPr="005822F8">
        <w:rPr>
          <w:rFonts w:ascii="Arial" w:hAnsi="Arial" w:cs="Arial"/>
          <w:sz w:val="24"/>
          <w:szCs w:val="24"/>
        </w:rPr>
        <w:t xml:space="preserve"> de octubre de </w:t>
      </w:r>
      <w:r w:rsidR="008E4259">
        <w:rPr>
          <w:rFonts w:ascii="Arial" w:hAnsi="Arial" w:cs="Arial"/>
          <w:sz w:val="24"/>
          <w:szCs w:val="24"/>
        </w:rPr>
        <w:t>dos mil quince</w:t>
      </w:r>
      <w:r w:rsidRPr="005822F8">
        <w:rPr>
          <w:rFonts w:ascii="Arial" w:hAnsi="Arial" w:cs="Arial"/>
          <w:sz w:val="24"/>
          <w:szCs w:val="24"/>
        </w:rPr>
        <w:t>, por unanimidad de cinco votos.</w:t>
      </w:r>
    </w:p>
  </w:footnote>
  <w:footnote w:id="55">
    <w:p w14:paraId="3286C652" w14:textId="7F99107F" w:rsidR="00901BE7" w:rsidRPr="005822F8" w:rsidRDefault="00901BE7"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Tesis 1a. CCLXX/2016 (10</w:t>
      </w:r>
      <w:r w:rsidR="0041726B">
        <w:rPr>
          <w:rFonts w:ascii="Arial" w:hAnsi="Arial" w:cs="Arial"/>
          <w:sz w:val="24"/>
          <w:szCs w:val="24"/>
        </w:rPr>
        <w:t>ª)</w:t>
      </w:r>
      <w:r w:rsidRPr="005822F8">
        <w:rPr>
          <w:rFonts w:ascii="Arial" w:hAnsi="Arial" w:cs="Arial"/>
          <w:sz w:val="24"/>
          <w:szCs w:val="24"/>
        </w:rPr>
        <w:t>, de rubro</w:t>
      </w:r>
      <w:r w:rsidRPr="005822F8">
        <w:rPr>
          <w:rFonts w:ascii="Arial" w:hAnsi="Arial" w:cs="Arial"/>
          <w:b/>
          <w:bCs/>
          <w:sz w:val="24"/>
          <w:szCs w:val="24"/>
        </w:rPr>
        <w:t>: “TERCERA ETAPA DEL TEST DE PROPORCIONALIDAD. EXAMEN DE LA NECESIDAD DE LA MEDIDA LEGISLATIVA”.</w:t>
      </w:r>
      <w:r w:rsidRPr="005822F8">
        <w:rPr>
          <w:rFonts w:ascii="Arial" w:hAnsi="Arial" w:cs="Arial"/>
          <w:sz w:val="24"/>
          <w:szCs w:val="24"/>
        </w:rPr>
        <w:t xml:space="preserve"> Consultable en la Gaceta del Semanario Judicial de la Federación, Libro 36, Noviembre de 2016, Tomo II, Página 914 de la Décima Época. Registro digital 2013154.</w:t>
      </w:r>
    </w:p>
  </w:footnote>
  <w:footnote w:id="56">
    <w:p w14:paraId="25A9AB3F" w14:textId="77777777" w:rsidR="00901BE7" w:rsidRPr="005822F8" w:rsidRDefault="00901BE7"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Organización Panamericana de la Salud, </w:t>
      </w:r>
      <w:r w:rsidRPr="005822F8">
        <w:rPr>
          <w:rFonts w:ascii="Arial" w:hAnsi="Arial" w:cs="Arial"/>
          <w:i/>
          <w:iCs/>
          <w:sz w:val="24"/>
          <w:szCs w:val="24"/>
        </w:rPr>
        <w:t>Op. cit</w:t>
      </w:r>
      <w:r w:rsidRPr="005822F8">
        <w:rPr>
          <w:rFonts w:ascii="Arial" w:hAnsi="Arial" w:cs="Arial"/>
          <w:sz w:val="24"/>
          <w:szCs w:val="24"/>
        </w:rPr>
        <w:t>.</w:t>
      </w:r>
    </w:p>
    <w:p w14:paraId="791B5950" w14:textId="77777777" w:rsidR="00901BE7" w:rsidRPr="005822F8" w:rsidRDefault="00901BE7" w:rsidP="00A75C83">
      <w:pPr>
        <w:pStyle w:val="FootnoteText"/>
        <w:jc w:val="both"/>
        <w:rPr>
          <w:rFonts w:ascii="Arial" w:hAnsi="Arial" w:cs="Arial"/>
          <w:sz w:val="24"/>
          <w:szCs w:val="24"/>
        </w:rPr>
      </w:pPr>
    </w:p>
  </w:footnote>
  <w:footnote w:id="57">
    <w:p w14:paraId="73B30072" w14:textId="77777777" w:rsidR="00901BE7" w:rsidRPr="005822F8" w:rsidRDefault="00901BE7"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hAnsi="Arial" w:cs="Arial"/>
          <w:i/>
          <w:iCs/>
          <w:sz w:val="24"/>
          <w:szCs w:val="24"/>
        </w:rPr>
        <w:t>Idem</w:t>
      </w:r>
      <w:r w:rsidRPr="005822F8">
        <w:rPr>
          <w:rFonts w:ascii="Arial" w:hAnsi="Arial" w:cs="Arial"/>
          <w:sz w:val="24"/>
          <w:szCs w:val="24"/>
        </w:rPr>
        <w:t xml:space="preserve">. </w:t>
      </w:r>
    </w:p>
  </w:footnote>
  <w:footnote w:id="58">
    <w:p w14:paraId="5D0DA100" w14:textId="1FFD1ADF" w:rsidR="00882C9C" w:rsidRPr="005822F8" w:rsidRDefault="00882C9C" w:rsidP="00A75C83">
      <w:pPr>
        <w:pStyle w:val="corte4fondoCarCarCar"/>
        <w:spacing w:line="240" w:lineRule="auto"/>
        <w:ind w:firstLine="0"/>
        <w:rPr>
          <w:sz w:val="24"/>
          <w:szCs w:val="24"/>
        </w:rPr>
      </w:pPr>
      <w:r w:rsidRPr="005822F8">
        <w:rPr>
          <w:rStyle w:val="FootnoteReference"/>
          <w:sz w:val="24"/>
          <w:szCs w:val="24"/>
        </w:rPr>
        <w:footnoteRef/>
      </w:r>
      <w:r w:rsidR="00233C1F" w:rsidRPr="005822F8">
        <w:rPr>
          <w:sz w:val="24"/>
          <w:szCs w:val="24"/>
        </w:rPr>
        <w:t xml:space="preserve">Sentencia recaída al </w:t>
      </w:r>
      <w:r w:rsidR="00DA1AE9" w:rsidRPr="005822F8">
        <w:rPr>
          <w:sz w:val="24"/>
          <w:szCs w:val="24"/>
        </w:rPr>
        <w:t>Contradicción de Tesis</w:t>
      </w:r>
      <w:r w:rsidR="00233C1F" w:rsidRPr="005822F8">
        <w:rPr>
          <w:sz w:val="24"/>
          <w:szCs w:val="24"/>
        </w:rPr>
        <w:t xml:space="preserve"> </w:t>
      </w:r>
      <w:r w:rsidR="00DA1AE9" w:rsidRPr="005822F8">
        <w:rPr>
          <w:sz w:val="24"/>
          <w:szCs w:val="24"/>
        </w:rPr>
        <w:t>84/2001-SS</w:t>
      </w:r>
      <w:r w:rsidR="00233C1F" w:rsidRPr="005822F8">
        <w:rPr>
          <w:sz w:val="24"/>
          <w:szCs w:val="24"/>
        </w:rPr>
        <w:t xml:space="preserve">, </w:t>
      </w:r>
      <w:r w:rsidR="00F42E34" w:rsidRPr="005822F8">
        <w:rPr>
          <w:sz w:val="24"/>
          <w:szCs w:val="24"/>
        </w:rPr>
        <w:t>Segunda</w:t>
      </w:r>
      <w:r w:rsidR="00233C1F" w:rsidRPr="005822F8">
        <w:rPr>
          <w:sz w:val="24"/>
          <w:szCs w:val="24"/>
        </w:rPr>
        <w:t xml:space="preserve"> Sala de la Suprema Corte de Justicia de la Nación, Ponente: </w:t>
      </w:r>
      <w:r w:rsidR="00F42E34" w:rsidRPr="005822F8">
        <w:rPr>
          <w:sz w:val="24"/>
          <w:szCs w:val="24"/>
          <w:lang w:val="es-ES_tradnl"/>
        </w:rPr>
        <w:t xml:space="preserve">Guillermo I. Ortiz </w:t>
      </w:r>
      <w:r w:rsidR="00F42E34" w:rsidRPr="005822F8">
        <w:rPr>
          <w:sz w:val="24"/>
          <w:szCs w:val="24"/>
          <w:lang w:val="es-ES_tradnl"/>
        </w:rPr>
        <w:t>Mayagoitia</w:t>
      </w:r>
      <w:r w:rsidR="00233C1F" w:rsidRPr="005822F8">
        <w:rPr>
          <w:sz w:val="24"/>
          <w:szCs w:val="24"/>
        </w:rPr>
        <w:t xml:space="preserve">, </w:t>
      </w:r>
      <w:r w:rsidR="00F42E34" w:rsidRPr="005822F8">
        <w:rPr>
          <w:sz w:val="24"/>
          <w:szCs w:val="24"/>
        </w:rPr>
        <w:t>seis de agosto de dos mil cuatro</w:t>
      </w:r>
      <w:r w:rsidR="00A47587" w:rsidRPr="005822F8">
        <w:rPr>
          <w:sz w:val="24"/>
          <w:szCs w:val="24"/>
        </w:rPr>
        <w:t xml:space="preserve">, por unanimidad de cinco votos de los señores </w:t>
      </w:r>
      <w:r w:rsidR="00A47587" w:rsidRPr="005822F8">
        <w:rPr>
          <w:sz w:val="24"/>
          <w:szCs w:val="24"/>
        </w:rPr>
        <w:t>Ministros Margarita Beatriz Luna Ramos, Genaro David Góngora Pimentel, Sergio Salvador Aguirre Anguiano, Guillermo I. Ortiz Mayagoitia y Presidente Juan Díaz Romero.</w:t>
      </w:r>
    </w:p>
  </w:footnote>
  <w:footnote w:id="59">
    <w:p w14:paraId="70B34D54" w14:textId="77777777" w:rsidR="009C52A2" w:rsidRPr="005822F8" w:rsidRDefault="009C52A2" w:rsidP="00A75C83">
      <w:pPr>
        <w:tabs>
          <w:tab w:val="left" w:pos="0"/>
        </w:tabs>
        <w:jc w:val="both"/>
        <w:rPr>
          <w:rFonts w:ascii="Arial" w:hAnsi="Arial" w:cs="Arial"/>
          <w:bCs/>
          <w:sz w:val="24"/>
          <w:szCs w:val="24"/>
          <w:lang w:eastAsia="es-ES"/>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hAnsi="Arial" w:cs="Arial"/>
          <w:bCs/>
          <w:sz w:val="24"/>
          <w:szCs w:val="24"/>
          <w:lang w:eastAsia="es-ES"/>
        </w:rPr>
        <w:t>Jurisprudencia 2a./J. 143/2002, visible en el Semanario Judicial de la Federación y su Gaceta. Novena Época. Tomo XVI, Diciembre de 2002, página 239. Registro digital: 185404.</w:t>
      </w:r>
    </w:p>
    <w:p w14:paraId="29AA7233" w14:textId="77777777" w:rsidR="009C52A2" w:rsidRPr="005822F8" w:rsidRDefault="009C52A2" w:rsidP="00A75C83">
      <w:pPr>
        <w:pStyle w:val="FootnoteText"/>
        <w:jc w:val="both"/>
        <w:rPr>
          <w:rFonts w:ascii="Arial" w:hAnsi="Arial" w:cs="Arial"/>
          <w:sz w:val="24"/>
          <w:szCs w:val="24"/>
        </w:rPr>
      </w:pPr>
    </w:p>
  </w:footnote>
  <w:footnote w:id="60">
    <w:p w14:paraId="67C7B49A" w14:textId="77777777" w:rsidR="00ED63B1" w:rsidRPr="005822F8" w:rsidRDefault="00ED63B1" w:rsidP="00A75C83">
      <w:pPr>
        <w:pStyle w:val="FootnoteText"/>
        <w:jc w:val="both"/>
        <w:rPr>
          <w:rFonts w:ascii="Arial" w:hAnsi="Arial" w:cs="Arial"/>
          <w:sz w:val="24"/>
          <w:szCs w:val="24"/>
        </w:rPr>
      </w:pPr>
      <w:r w:rsidRPr="005822F8">
        <w:rPr>
          <w:rStyle w:val="FootnoteReference"/>
          <w:rFonts w:ascii="Arial" w:hAnsi="Arial" w:cs="Arial"/>
          <w:sz w:val="24"/>
          <w:szCs w:val="24"/>
        </w:rPr>
        <w:footnoteRef/>
      </w:r>
      <w:r w:rsidRPr="005822F8">
        <w:rPr>
          <w:rFonts w:ascii="Arial" w:hAnsi="Arial" w:cs="Arial"/>
          <w:sz w:val="24"/>
          <w:szCs w:val="24"/>
        </w:rPr>
        <w:t xml:space="preserve"> Tesis: P. LXII/98. Consultable en el Semanario Judicial de la Federación y su Gaceta. Novena Época. Tomo VIII, Septiembre de 1998, página 56. Registro digital: 195530.</w:t>
      </w:r>
    </w:p>
  </w:footnote>
  <w:footnote w:id="61">
    <w:p w14:paraId="24055DBE" w14:textId="3124DFD5" w:rsidR="00B111D5" w:rsidRPr="005822F8" w:rsidRDefault="00B111D5" w:rsidP="00A75C83">
      <w:pPr>
        <w:tabs>
          <w:tab w:val="left" w:pos="142"/>
        </w:tabs>
        <w:spacing w:after="200"/>
        <w:jc w:val="both"/>
        <w:rPr>
          <w:rFonts w:ascii="Arial" w:eastAsiaTheme="minorHAnsi" w:hAnsi="Arial" w:cs="Arial"/>
          <w:sz w:val="24"/>
          <w:szCs w:val="24"/>
          <w:lang w:eastAsia="en-US"/>
        </w:rPr>
      </w:pPr>
      <w:r w:rsidRPr="005822F8">
        <w:rPr>
          <w:rStyle w:val="FootnoteReference"/>
          <w:rFonts w:ascii="Arial" w:hAnsi="Arial" w:cs="Arial"/>
          <w:sz w:val="24"/>
          <w:szCs w:val="24"/>
        </w:rPr>
        <w:footnoteRef/>
      </w:r>
      <w:r w:rsidRPr="005822F8">
        <w:rPr>
          <w:rFonts w:ascii="Arial" w:hAnsi="Arial" w:cs="Arial"/>
          <w:sz w:val="24"/>
          <w:szCs w:val="24"/>
        </w:rPr>
        <w:t xml:space="preserve"> </w:t>
      </w:r>
      <w:r w:rsidRPr="005822F8">
        <w:rPr>
          <w:rFonts w:ascii="Arial" w:eastAsiaTheme="minorHAnsi" w:hAnsi="Arial" w:cs="Arial"/>
          <w:sz w:val="24"/>
          <w:szCs w:val="24"/>
          <w:lang w:eastAsia="en-US"/>
        </w:rPr>
        <w:t xml:space="preserve">Fuente: Semanario Judicial de la Federación y su Gaceta. Novena Época. Tomo XXVI, Septiembre de 2007, página 552. Registro digital: 171304. Texto: El artículo 83, fracción IV, de la Ley de Amparo prevé la procedencia del recurso de revisión contra las sentencias pronunciadas por los Jueces de Distrito, y en su último párrafo establece que en todos los casos a que se refiere ese precepto, la parte que obtuvo resolución favorable a sus intereses puede adherirse a la revisión principal. Ahora bien, si se toma en cuenta que el recurso de revisión adhesiva carece de autonomía, al señalar el párrafo indicado que la adhesión al recurso sigue la suerte procesal de éste, es evidente </w:t>
      </w:r>
      <w:r w:rsidR="00DB548E" w:rsidRPr="005822F8">
        <w:rPr>
          <w:rFonts w:ascii="Arial" w:eastAsiaTheme="minorHAnsi" w:hAnsi="Arial" w:cs="Arial"/>
          <w:sz w:val="24"/>
          <w:szCs w:val="24"/>
          <w:lang w:eastAsia="en-US"/>
        </w:rPr>
        <w:t>que,</w:t>
      </w:r>
      <w:r w:rsidRPr="005822F8">
        <w:rPr>
          <w:rFonts w:ascii="Arial" w:eastAsiaTheme="minorHAnsi" w:hAnsi="Arial" w:cs="Arial"/>
          <w:sz w:val="24"/>
          <w:szCs w:val="24"/>
          <w:lang w:eastAsia="en-US"/>
        </w:rPr>
        <w:t xml:space="preserve"> si la revisión principal resulta infundada, aquél debe declararse sin materia, por su naturaleza accesoria.</w:t>
      </w:r>
    </w:p>
    <w:p w14:paraId="310E7DBD" w14:textId="7CE9F7EE" w:rsidR="00B111D5" w:rsidRPr="005822F8" w:rsidRDefault="00B111D5" w:rsidP="00A75C83">
      <w:pPr>
        <w:pStyle w:val="FootnoteText"/>
        <w:jc w:val="both"/>
        <w:rPr>
          <w:rFonts w:ascii="Arial" w:hAnsi="Arial" w:cs="Arial"/>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09675" w14:textId="647F54F3" w:rsidR="009143F2" w:rsidRPr="00465D38" w:rsidRDefault="00465D38" w:rsidP="00465D38">
    <w:pPr>
      <w:pStyle w:val="Header"/>
      <w:jc w:val="center"/>
    </w:pPr>
    <w:r w:rsidRPr="001B2FC1">
      <w:rPr>
        <w:rFonts w:ascii="Arial" w:hAnsi="Arial" w:cs="Arial"/>
        <w:b/>
        <w:sz w:val="28"/>
        <w:szCs w:val="28"/>
      </w:rPr>
      <w:t xml:space="preserve">AMPARO EN REVISIÓN </w:t>
    </w:r>
    <w:r>
      <w:rPr>
        <w:rFonts w:ascii="Arial" w:hAnsi="Arial" w:cs="Arial"/>
        <w:b/>
        <w:sz w:val="28"/>
        <w:szCs w:val="28"/>
      </w:rPr>
      <w:t>358/2022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C725" w14:textId="2DA0FF7D" w:rsidR="009143F2" w:rsidRPr="001B2FC1" w:rsidRDefault="009143F2" w:rsidP="001B2FC1">
    <w:pPr>
      <w:pStyle w:val="Header"/>
      <w:tabs>
        <w:tab w:val="clear" w:pos="8504"/>
      </w:tabs>
      <w:ind w:right="252"/>
      <w:jc w:val="center"/>
      <w:rPr>
        <w:rFonts w:ascii="Arial" w:hAnsi="Arial" w:cs="Arial"/>
        <w:b/>
        <w:bCs/>
        <w:sz w:val="28"/>
        <w:szCs w:val="28"/>
      </w:rPr>
    </w:pPr>
  </w:p>
  <w:p w14:paraId="0981B5AE" w14:textId="77777777" w:rsidR="009143F2" w:rsidRPr="001B2FC1" w:rsidRDefault="009143F2" w:rsidP="001B2FC1">
    <w:pPr>
      <w:pStyle w:val="Header"/>
      <w:tabs>
        <w:tab w:val="clear" w:pos="8504"/>
      </w:tabs>
      <w:ind w:right="252"/>
      <w:jc w:val="center"/>
      <w:rPr>
        <w:rFonts w:ascii="Arial" w:hAnsi="Arial" w:cs="Arial"/>
        <w:b/>
        <w:bCs/>
        <w:sz w:val="28"/>
        <w:szCs w:val="28"/>
      </w:rPr>
    </w:pPr>
  </w:p>
  <w:p w14:paraId="50238284" w14:textId="3CDB2AF7" w:rsidR="009143F2" w:rsidRPr="001B2FC1" w:rsidRDefault="009143F2" w:rsidP="001B2FC1">
    <w:pPr>
      <w:pStyle w:val="Header"/>
      <w:tabs>
        <w:tab w:val="clear" w:pos="8504"/>
      </w:tabs>
      <w:ind w:right="252"/>
      <w:jc w:val="center"/>
      <w:rPr>
        <w:rFonts w:ascii="Arial" w:hAnsi="Arial" w:cs="Arial"/>
        <w:b/>
        <w:bCs/>
        <w:sz w:val="28"/>
        <w:szCs w:val="28"/>
      </w:rPr>
    </w:pPr>
    <w:r w:rsidRPr="001B2FC1">
      <w:rPr>
        <w:rFonts w:ascii="Arial" w:hAnsi="Arial" w:cs="Arial"/>
        <w:b/>
        <w:sz w:val="28"/>
        <w:szCs w:val="28"/>
      </w:rPr>
      <w:t xml:space="preserve">AMPARO EN REVISIÓN </w:t>
    </w:r>
    <w:r w:rsidR="00774B16">
      <w:rPr>
        <w:rFonts w:ascii="Arial" w:hAnsi="Arial" w:cs="Arial"/>
        <w:b/>
        <w:sz w:val="28"/>
        <w:szCs w:val="28"/>
      </w:rPr>
      <w:t>358/2022</w:t>
    </w:r>
  </w:p>
  <w:p w14:paraId="7D52E588" w14:textId="77777777" w:rsidR="009143F2" w:rsidRPr="001B2FC1" w:rsidRDefault="009143F2" w:rsidP="001B2FC1">
    <w:pPr>
      <w:pStyle w:val="Header"/>
      <w:tabs>
        <w:tab w:val="clear" w:pos="8504"/>
      </w:tabs>
      <w:ind w:right="252"/>
      <w:jc w:val="center"/>
      <w:rPr>
        <w:rFonts w:ascii="Arial" w:hAnsi="Arial" w:cs="Arial"/>
        <w:b/>
        <w:bCs/>
        <w:sz w:val="28"/>
        <w:szCs w:val="28"/>
      </w:rPr>
    </w:pPr>
  </w:p>
  <w:p w14:paraId="703C7B9A" w14:textId="0153EEF7" w:rsidR="009143F2" w:rsidRPr="001B2FC1" w:rsidRDefault="00465D38" w:rsidP="001B2FC1">
    <w:pPr>
      <w:pStyle w:val="Header"/>
      <w:tabs>
        <w:tab w:val="clear" w:pos="8504"/>
      </w:tabs>
      <w:ind w:right="252"/>
      <w:jc w:val="center"/>
      <w:rPr>
        <w:rFonts w:ascii="Arial" w:hAnsi="Arial" w:cs="Arial"/>
        <w:b/>
        <w:bCs/>
        <w:sz w:val="28"/>
        <w:szCs w:val="28"/>
      </w:rPr>
    </w:pPr>
    <w:r w:rsidRPr="00465D38">
      <w:rPr>
        <w:rFonts w:ascii="Arial" w:hAnsi="Arial" w:cs="Arial"/>
        <w:b/>
        <w:noProof/>
        <w:sz w:val="28"/>
        <w:szCs w:val="28"/>
      </w:rPr>
      <mc:AlternateContent>
        <mc:Choice Requires="wps">
          <w:drawing>
            <wp:anchor distT="45720" distB="45720" distL="114300" distR="114300" simplePos="0" relativeHeight="251658242" behindDoc="0" locked="0" layoutInCell="1" allowOverlap="1" wp14:anchorId="55013BDE" wp14:editId="70DBBC92">
              <wp:simplePos x="0" y="0"/>
              <wp:positionH relativeFrom="column">
                <wp:posOffset>-28637</wp:posOffset>
              </wp:positionH>
              <wp:positionV relativeFrom="paragraph">
                <wp:posOffset>233718</wp:posOffset>
              </wp:positionV>
              <wp:extent cx="2030207" cy="11049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07" cy="1104900"/>
                      </a:xfrm>
                      <a:prstGeom prst="rect">
                        <a:avLst/>
                      </a:prstGeom>
                      <a:noFill/>
                      <a:ln w="9525">
                        <a:noFill/>
                        <a:miter lim="800000"/>
                        <a:headEnd/>
                        <a:tailEnd/>
                      </a:ln>
                    </wps:spPr>
                    <wps:txbx>
                      <w:txbxContent>
                        <w:p w14:paraId="24FB9F09" w14:textId="4AAD4042" w:rsidR="00465D38" w:rsidRDefault="00465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013BDE" id="_x0000_t202" coordsize="21600,21600" o:spt="202" path="m,l,21600r21600,l21600,xe">
              <v:stroke joinstyle="miter"/>
              <v:path gradientshapeok="t" o:connecttype="rect"/>
            </v:shapetype>
            <v:shape id="Cuadro de texto 217" o:spid="_x0000_s1026" type="#_x0000_t202" style="position:absolute;left:0;text-align:left;margin-left:-2.25pt;margin-top:18.4pt;width:159.85pt;height:8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" filled="f" stroked="f">
              <v:textbox>
                <w:txbxContent>
                  <w:p w14:paraId="24FB9F09" w14:textId="4AAD4042" w:rsidR="00465D38" w:rsidRDefault="00465D38"/>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C01D2" w14:textId="59F88206" w:rsidR="003C5D4F" w:rsidRPr="003C5D4F" w:rsidRDefault="003C5D4F" w:rsidP="003C5D4F">
    <w:pPr>
      <w:pStyle w:val="Header"/>
      <w:jc w:val="center"/>
      <w:rPr>
        <w:rFonts w:ascii="Arial" w:hAnsi="Arial" w:cs="Arial"/>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3CC6"/>
    <w:multiLevelType w:val="hybridMultilevel"/>
    <w:tmpl w:val="960CA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8078E"/>
    <w:multiLevelType w:val="hybridMultilevel"/>
    <w:tmpl w:val="4D9486E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DA94ED0"/>
    <w:multiLevelType w:val="hybridMultilevel"/>
    <w:tmpl w:val="7FD0E21E"/>
    <w:lvl w:ilvl="0" w:tplc="080A000B">
      <w:start w:val="1"/>
      <w:numFmt w:val="bullet"/>
      <w:lvlText w:val=""/>
      <w:lvlJc w:val="left"/>
      <w:pPr>
        <w:ind w:left="153" w:hanging="360"/>
      </w:pPr>
      <w:rPr>
        <w:rFonts w:ascii="Wingdings" w:hAnsi="Wingdings" w:hint="default"/>
      </w:rPr>
    </w:lvl>
    <w:lvl w:ilvl="1" w:tplc="39C83882">
      <w:start w:val="14"/>
      <w:numFmt w:val="bullet"/>
      <w:lvlText w:val="•"/>
      <w:lvlJc w:val="left"/>
      <w:pPr>
        <w:ind w:left="873" w:hanging="360"/>
      </w:pPr>
      <w:rPr>
        <w:rFonts w:ascii="Arial" w:eastAsiaTheme="minorHAnsi" w:hAnsi="Arial" w:cs="Arial" w:hint="default"/>
        <w:b/>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15:restartNumberingAfterBreak="0">
    <w:nsid w:val="0E161DE2"/>
    <w:multiLevelType w:val="hybridMultilevel"/>
    <w:tmpl w:val="44967F60"/>
    <w:lvl w:ilvl="0" w:tplc="1D780DC2">
      <w:start w:val="1"/>
      <w:numFmt w:val="decimal"/>
      <w:lvlText w:val="%1)"/>
      <w:lvlJc w:val="left"/>
      <w:pPr>
        <w:ind w:left="342" w:hanging="286"/>
      </w:pPr>
      <w:rPr>
        <w:rFonts w:ascii="Arial" w:eastAsia="Arial" w:hAnsi="Arial" w:cs="Arial" w:hint="default"/>
        <w:w w:val="99"/>
        <w:sz w:val="24"/>
        <w:szCs w:val="24"/>
        <w:lang w:val="es-MX" w:eastAsia="es-MX" w:bidi="es-MX"/>
      </w:rPr>
    </w:lvl>
    <w:lvl w:ilvl="1" w:tplc="2BACE8F6">
      <w:numFmt w:val="bullet"/>
      <w:lvlText w:val="•"/>
      <w:lvlJc w:val="left"/>
      <w:pPr>
        <w:ind w:left="1212" w:hanging="286"/>
      </w:pPr>
      <w:rPr>
        <w:rFonts w:hint="default"/>
        <w:lang w:val="es-MX" w:eastAsia="es-MX" w:bidi="es-MX"/>
      </w:rPr>
    </w:lvl>
    <w:lvl w:ilvl="2" w:tplc="CB6CA7A6">
      <w:numFmt w:val="bullet"/>
      <w:lvlText w:val="•"/>
      <w:lvlJc w:val="left"/>
      <w:pPr>
        <w:ind w:left="2084" w:hanging="286"/>
      </w:pPr>
      <w:rPr>
        <w:rFonts w:hint="default"/>
        <w:lang w:val="es-MX" w:eastAsia="es-MX" w:bidi="es-MX"/>
      </w:rPr>
    </w:lvl>
    <w:lvl w:ilvl="3" w:tplc="1958A982">
      <w:numFmt w:val="bullet"/>
      <w:lvlText w:val="•"/>
      <w:lvlJc w:val="left"/>
      <w:pPr>
        <w:ind w:left="2956" w:hanging="286"/>
      </w:pPr>
      <w:rPr>
        <w:rFonts w:hint="default"/>
        <w:lang w:val="es-MX" w:eastAsia="es-MX" w:bidi="es-MX"/>
      </w:rPr>
    </w:lvl>
    <w:lvl w:ilvl="4" w:tplc="5A98FCE0">
      <w:numFmt w:val="bullet"/>
      <w:lvlText w:val="•"/>
      <w:lvlJc w:val="left"/>
      <w:pPr>
        <w:ind w:left="3828" w:hanging="286"/>
      </w:pPr>
      <w:rPr>
        <w:rFonts w:hint="default"/>
        <w:lang w:val="es-MX" w:eastAsia="es-MX" w:bidi="es-MX"/>
      </w:rPr>
    </w:lvl>
    <w:lvl w:ilvl="5" w:tplc="9FE46BEA">
      <w:numFmt w:val="bullet"/>
      <w:lvlText w:val="•"/>
      <w:lvlJc w:val="left"/>
      <w:pPr>
        <w:ind w:left="4700" w:hanging="286"/>
      </w:pPr>
      <w:rPr>
        <w:rFonts w:hint="default"/>
        <w:lang w:val="es-MX" w:eastAsia="es-MX" w:bidi="es-MX"/>
      </w:rPr>
    </w:lvl>
    <w:lvl w:ilvl="6" w:tplc="58A88D5E">
      <w:numFmt w:val="bullet"/>
      <w:lvlText w:val="•"/>
      <w:lvlJc w:val="left"/>
      <w:pPr>
        <w:ind w:left="5572" w:hanging="286"/>
      </w:pPr>
      <w:rPr>
        <w:rFonts w:hint="default"/>
        <w:lang w:val="es-MX" w:eastAsia="es-MX" w:bidi="es-MX"/>
      </w:rPr>
    </w:lvl>
    <w:lvl w:ilvl="7" w:tplc="F208B41C">
      <w:numFmt w:val="bullet"/>
      <w:lvlText w:val="•"/>
      <w:lvlJc w:val="left"/>
      <w:pPr>
        <w:ind w:left="6444" w:hanging="286"/>
      </w:pPr>
      <w:rPr>
        <w:rFonts w:hint="default"/>
        <w:lang w:val="es-MX" w:eastAsia="es-MX" w:bidi="es-MX"/>
      </w:rPr>
    </w:lvl>
    <w:lvl w:ilvl="8" w:tplc="42C6065A">
      <w:numFmt w:val="bullet"/>
      <w:lvlText w:val="•"/>
      <w:lvlJc w:val="left"/>
      <w:pPr>
        <w:ind w:left="7316" w:hanging="286"/>
      </w:pPr>
      <w:rPr>
        <w:rFonts w:hint="default"/>
        <w:lang w:val="es-MX" w:eastAsia="es-MX" w:bidi="es-MX"/>
      </w:rPr>
    </w:lvl>
  </w:abstractNum>
  <w:abstractNum w:abstractNumId="4" w15:restartNumberingAfterBreak="0">
    <w:nsid w:val="14400E6F"/>
    <w:multiLevelType w:val="hybridMultilevel"/>
    <w:tmpl w:val="F418FC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C3E2077"/>
    <w:multiLevelType w:val="hybridMultilevel"/>
    <w:tmpl w:val="8A9E4238"/>
    <w:lvl w:ilvl="0" w:tplc="0908E96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2612560"/>
    <w:multiLevelType w:val="hybridMultilevel"/>
    <w:tmpl w:val="0C6A9B72"/>
    <w:lvl w:ilvl="0" w:tplc="080A000B">
      <w:start w:val="1"/>
      <w:numFmt w:val="bullet"/>
      <w:lvlText w:val=""/>
      <w:lvlJc w:val="left"/>
      <w:pPr>
        <w:ind w:left="1365" w:hanging="360"/>
      </w:pPr>
      <w:rPr>
        <w:rFonts w:ascii="Wingdings" w:hAnsi="Wingdings" w:hint="default"/>
      </w:rPr>
    </w:lvl>
    <w:lvl w:ilvl="1" w:tplc="080A0003" w:tentative="1">
      <w:start w:val="1"/>
      <w:numFmt w:val="bullet"/>
      <w:lvlText w:val="o"/>
      <w:lvlJc w:val="left"/>
      <w:pPr>
        <w:ind w:left="2085" w:hanging="360"/>
      </w:pPr>
      <w:rPr>
        <w:rFonts w:ascii="Courier New" w:hAnsi="Courier New" w:cs="Courier New" w:hint="default"/>
      </w:rPr>
    </w:lvl>
    <w:lvl w:ilvl="2" w:tplc="080A0005" w:tentative="1">
      <w:start w:val="1"/>
      <w:numFmt w:val="bullet"/>
      <w:lvlText w:val=""/>
      <w:lvlJc w:val="left"/>
      <w:pPr>
        <w:ind w:left="2805" w:hanging="360"/>
      </w:pPr>
      <w:rPr>
        <w:rFonts w:ascii="Wingdings" w:hAnsi="Wingdings" w:hint="default"/>
      </w:rPr>
    </w:lvl>
    <w:lvl w:ilvl="3" w:tplc="080A0001" w:tentative="1">
      <w:start w:val="1"/>
      <w:numFmt w:val="bullet"/>
      <w:lvlText w:val=""/>
      <w:lvlJc w:val="left"/>
      <w:pPr>
        <w:ind w:left="3525" w:hanging="360"/>
      </w:pPr>
      <w:rPr>
        <w:rFonts w:ascii="Symbol" w:hAnsi="Symbol" w:hint="default"/>
      </w:rPr>
    </w:lvl>
    <w:lvl w:ilvl="4" w:tplc="080A0003" w:tentative="1">
      <w:start w:val="1"/>
      <w:numFmt w:val="bullet"/>
      <w:lvlText w:val="o"/>
      <w:lvlJc w:val="left"/>
      <w:pPr>
        <w:ind w:left="4245" w:hanging="360"/>
      </w:pPr>
      <w:rPr>
        <w:rFonts w:ascii="Courier New" w:hAnsi="Courier New" w:cs="Courier New" w:hint="default"/>
      </w:rPr>
    </w:lvl>
    <w:lvl w:ilvl="5" w:tplc="080A0005" w:tentative="1">
      <w:start w:val="1"/>
      <w:numFmt w:val="bullet"/>
      <w:lvlText w:val=""/>
      <w:lvlJc w:val="left"/>
      <w:pPr>
        <w:ind w:left="4965" w:hanging="360"/>
      </w:pPr>
      <w:rPr>
        <w:rFonts w:ascii="Wingdings" w:hAnsi="Wingdings" w:hint="default"/>
      </w:rPr>
    </w:lvl>
    <w:lvl w:ilvl="6" w:tplc="080A0001" w:tentative="1">
      <w:start w:val="1"/>
      <w:numFmt w:val="bullet"/>
      <w:lvlText w:val=""/>
      <w:lvlJc w:val="left"/>
      <w:pPr>
        <w:ind w:left="5685" w:hanging="360"/>
      </w:pPr>
      <w:rPr>
        <w:rFonts w:ascii="Symbol" w:hAnsi="Symbol" w:hint="default"/>
      </w:rPr>
    </w:lvl>
    <w:lvl w:ilvl="7" w:tplc="080A0003" w:tentative="1">
      <w:start w:val="1"/>
      <w:numFmt w:val="bullet"/>
      <w:lvlText w:val="o"/>
      <w:lvlJc w:val="left"/>
      <w:pPr>
        <w:ind w:left="6405" w:hanging="360"/>
      </w:pPr>
      <w:rPr>
        <w:rFonts w:ascii="Courier New" w:hAnsi="Courier New" w:cs="Courier New" w:hint="default"/>
      </w:rPr>
    </w:lvl>
    <w:lvl w:ilvl="8" w:tplc="080A0005" w:tentative="1">
      <w:start w:val="1"/>
      <w:numFmt w:val="bullet"/>
      <w:lvlText w:val=""/>
      <w:lvlJc w:val="left"/>
      <w:pPr>
        <w:ind w:left="7125" w:hanging="360"/>
      </w:pPr>
      <w:rPr>
        <w:rFonts w:ascii="Wingdings" w:hAnsi="Wingdings" w:hint="default"/>
      </w:rPr>
    </w:lvl>
  </w:abstractNum>
  <w:abstractNum w:abstractNumId="7" w15:restartNumberingAfterBreak="0">
    <w:nsid w:val="296B2160"/>
    <w:multiLevelType w:val="hybridMultilevel"/>
    <w:tmpl w:val="100AD5B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416202A7"/>
    <w:multiLevelType w:val="hybridMultilevel"/>
    <w:tmpl w:val="BD28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B40E49"/>
    <w:multiLevelType w:val="hybridMultilevel"/>
    <w:tmpl w:val="9790E580"/>
    <w:lvl w:ilvl="0" w:tplc="1750963E">
      <w:start w:val="1"/>
      <w:numFmt w:val="decimal"/>
      <w:lvlText w:val="%1."/>
      <w:lvlJc w:val="left"/>
      <w:pPr>
        <w:ind w:left="342" w:hanging="396"/>
      </w:pPr>
      <w:rPr>
        <w:rFonts w:ascii="Arial" w:eastAsia="Arial" w:hAnsi="Arial" w:cs="Arial" w:hint="default"/>
        <w:w w:val="99"/>
        <w:sz w:val="24"/>
        <w:szCs w:val="24"/>
        <w:lang w:val="es-MX" w:eastAsia="es-MX" w:bidi="es-MX"/>
      </w:rPr>
    </w:lvl>
    <w:lvl w:ilvl="1" w:tplc="53763444">
      <w:numFmt w:val="bullet"/>
      <w:lvlText w:val="•"/>
      <w:lvlJc w:val="left"/>
      <w:pPr>
        <w:ind w:left="522" w:hanging="151"/>
      </w:pPr>
      <w:rPr>
        <w:rFonts w:ascii="Arial" w:eastAsia="Arial" w:hAnsi="Arial" w:cs="Arial" w:hint="default"/>
        <w:spacing w:val="-3"/>
        <w:w w:val="99"/>
        <w:sz w:val="24"/>
        <w:szCs w:val="24"/>
        <w:lang w:val="es-MX" w:eastAsia="es-MX" w:bidi="es-MX"/>
      </w:rPr>
    </w:lvl>
    <w:lvl w:ilvl="2" w:tplc="5DD89728">
      <w:numFmt w:val="bullet"/>
      <w:lvlText w:val="•"/>
      <w:lvlJc w:val="left"/>
      <w:pPr>
        <w:ind w:left="1468" w:hanging="151"/>
      </w:pPr>
      <w:rPr>
        <w:rFonts w:hint="default"/>
        <w:lang w:val="es-MX" w:eastAsia="es-MX" w:bidi="es-MX"/>
      </w:rPr>
    </w:lvl>
    <w:lvl w:ilvl="3" w:tplc="57E2E310">
      <w:numFmt w:val="bullet"/>
      <w:lvlText w:val="•"/>
      <w:lvlJc w:val="left"/>
      <w:pPr>
        <w:ind w:left="2417" w:hanging="151"/>
      </w:pPr>
      <w:rPr>
        <w:rFonts w:hint="default"/>
        <w:lang w:val="es-MX" w:eastAsia="es-MX" w:bidi="es-MX"/>
      </w:rPr>
    </w:lvl>
    <w:lvl w:ilvl="4" w:tplc="64BAD26C">
      <w:numFmt w:val="bullet"/>
      <w:lvlText w:val="•"/>
      <w:lvlJc w:val="left"/>
      <w:pPr>
        <w:ind w:left="3366" w:hanging="151"/>
      </w:pPr>
      <w:rPr>
        <w:rFonts w:hint="default"/>
        <w:lang w:val="es-MX" w:eastAsia="es-MX" w:bidi="es-MX"/>
      </w:rPr>
    </w:lvl>
    <w:lvl w:ilvl="5" w:tplc="FCB2CCEC">
      <w:numFmt w:val="bullet"/>
      <w:lvlText w:val="•"/>
      <w:lvlJc w:val="left"/>
      <w:pPr>
        <w:ind w:left="4315" w:hanging="151"/>
      </w:pPr>
      <w:rPr>
        <w:rFonts w:hint="default"/>
        <w:lang w:val="es-MX" w:eastAsia="es-MX" w:bidi="es-MX"/>
      </w:rPr>
    </w:lvl>
    <w:lvl w:ilvl="6" w:tplc="EE48FD7C">
      <w:numFmt w:val="bullet"/>
      <w:lvlText w:val="•"/>
      <w:lvlJc w:val="left"/>
      <w:pPr>
        <w:ind w:left="5264" w:hanging="151"/>
      </w:pPr>
      <w:rPr>
        <w:rFonts w:hint="default"/>
        <w:lang w:val="es-MX" w:eastAsia="es-MX" w:bidi="es-MX"/>
      </w:rPr>
    </w:lvl>
    <w:lvl w:ilvl="7" w:tplc="22A436CE">
      <w:numFmt w:val="bullet"/>
      <w:lvlText w:val="•"/>
      <w:lvlJc w:val="left"/>
      <w:pPr>
        <w:ind w:left="6213" w:hanging="151"/>
      </w:pPr>
      <w:rPr>
        <w:rFonts w:hint="default"/>
        <w:lang w:val="es-MX" w:eastAsia="es-MX" w:bidi="es-MX"/>
      </w:rPr>
    </w:lvl>
    <w:lvl w:ilvl="8" w:tplc="FA5C5946">
      <w:numFmt w:val="bullet"/>
      <w:lvlText w:val="•"/>
      <w:lvlJc w:val="left"/>
      <w:pPr>
        <w:ind w:left="7162" w:hanging="151"/>
      </w:pPr>
      <w:rPr>
        <w:rFonts w:hint="default"/>
        <w:lang w:val="es-MX" w:eastAsia="es-MX" w:bidi="es-MX"/>
      </w:rPr>
    </w:lvl>
  </w:abstractNum>
  <w:abstractNum w:abstractNumId="10" w15:restartNumberingAfterBreak="0">
    <w:nsid w:val="43E85785"/>
    <w:multiLevelType w:val="hybridMultilevel"/>
    <w:tmpl w:val="A27848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910342C"/>
    <w:multiLevelType w:val="hybridMultilevel"/>
    <w:tmpl w:val="7B887B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4E073A94"/>
    <w:multiLevelType w:val="hybridMultilevel"/>
    <w:tmpl w:val="53F0ACEA"/>
    <w:lvl w:ilvl="0" w:tplc="A0E04C4A">
      <w:start w:val="1"/>
      <w:numFmt w:val="decimal"/>
      <w:lvlText w:val="%1."/>
      <w:lvlJc w:val="left"/>
      <w:pPr>
        <w:ind w:left="786" w:hanging="360"/>
      </w:pPr>
      <w:rPr>
        <w:rFonts w:ascii="Arial" w:hAnsi="Arial" w:cs="Arial" w:hint="default"/>
        <w:b/>
        <w:bCs/>
        <w:i w:val="0"/>
        <w:iCs/>
        <w:color w:val="auto"/>
        <w:sz w:val="28"/>
        <w:szCs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843950"/>
    <w:multiLevelType w:val="hybridMultilevel"/>
    <w:tmpl w:val="FA2AE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9F1F1B"/>
    <w:multiLevelType w:val="hybridMultilevel"/>
    <w:tmpl w:val="15B293DC"/>
    <w:lvl w:ilvl="0" w:tplc="080A0013">
      <w:start w:val="1"/>
      <w:numFmt w:val="upperRoman"/>
      <w:lvlText w:val="%1."/>
      <w:lvlJc w:val="right"/>
      <w:pPr>
        <w:ind w:left="1145" w:hanging="360"/>
      </w:p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5" w15:restartNumberingAfterBreak="0">
    <w:nsid w:val="5DC17760"/>
    <w:multiLevelType w:val="hybridMultilevel"/>
    <w:tmpl w:val="4ECECEE6"/>
    <w:lvl w:ilvl="0" w:tplc="67E6779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1C75684"/>
    <w:multiLevelType w:val="hybridMultilevel"/>
    <w:tmpl w:val="4152557A"/>
    <w:lvl w:ilvl="0" w:tplc="865638C0">
      <w:start w:val="1"/>
      <w:numFmt w:val="decimal"/>
      <w:lvlText w:val="%1."/>
      <w:lvlJc w:val="left"/>
      <w:pPr>
        <w:ind w:left="720" w:hanging="360"/>
      </w:pPr>
      <w:rPr>
        <w:rFonts w:ascii="Arial" w:eastAsia="Times New Roman" w:hAnsi="Arial" w:cs="Arial" w:hint="default"/>
        <w:b w:val="0"/>
        <w:bCs/>
        <w:i w:val="0"/>
        <w:iCs w:val="0"/>
        <w:sz w:val="28"/>
        <w:szCs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1F57DE"/>
    <w:multiLevelType w:val="hybridMultilevel"/>
    <w:tmpl w:val="3DBCB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16551F"/>
    <w:multiLevelType w:val="hybridMultilevel"/>
    <w:tmpl w:val="4074F072"/>
    <w:lvl w:ilvl="0" w:tplc="9F8C37D8">
      <w:start w:val="1"/>
      <w:numFmt w:val="decimal"/>
      <w:lvlText w:val="%1."/>
      <w:lvlJc w:val="left"/>
      <w:pPr>
        <w:ind w:left="360" w:hanging="360"/>
      </w:pPr>
      <w:rPr>
        <w:rFonts w:ascii="Arial" w:eastAsia="Times New Roman" w:hAnsi="Arial" w:cs="Arial" w:hint="default"/>
        <w:b w:val="0"/>
        <w:bCs/>
        <w:i w:val="0"/>
        <w:iCs w:val="0"/>
        <w:sz w:val="28"/>
        <w:szCs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987804"/>
    <w:multiLevelType w:val="hybridMultilevel"/>
    <w:tmpl w:val="F4782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885FAF"/>
    <w:multiLevelType w:val="hybridMultilevel"/>
    <w:tmpl w:val="8E4C7436"/>
    <w:lvl w:ilvl="0" w:tplc="A4CCA414">
      <w:start w:val="1"/>
      <w:numFmt w:val="upperRoman"/>
      <w:pStyle w:val="Heading3"/>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5D57E1"/>
    <w:multiLevelType w:val="hybridMultilevel"/>
    <w:tmpl w:val="13949AD6"/>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716B5DC0"/>
    <w:multiLevelType w:val="hybridMultilevel"/>
    <w:tmpl w:val="7BF2617A"/>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7B0705B9"/>
    <w:multiLevelType w:val="hybridMultilevel"/>
    <w:tmpl w:val="967CA658"/>
    <w:lvl w:ilvl="0" w:tplc="080A0001">
      <w:start w:val="1"/>
      <w:numFmt w:val="bullet"/>
      <w:lvlText w:val=""/>
      <w:lvlJc w:val="left"/>
      <w:pPr>
        <w:ind w:left="720" w:hanging="360"/>
      </w:pPr>
      <w:rPr>
        <w:rFonts w:ascii="Symbol" w:hAnsi="Symbol"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9E31A2"/>
    <w:multiLevelType w:val="hybridMultilevel"/>
    <w:tmpl w:val="C6BEF6D4"/>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num w:numId="1">
    <w:abstractNumId w:val="14"/>
  </w:num>
  <w:num w:numId="2">
    <w:abstractNumId w:val="20"/>
  </w:num>
  <w:num w:numId="3">
    <w:abstractNumId w:val="16"/>
  </w:num>
  <w:num w:numId="4">
    <w:abstractNumId w:val="8"/>
  </w:num>
  <w:num w:numId="5">
    <w:abstractNumId w:val="0"/>
  </w:num>
  <w:num w:numId="6">
    <w:abstractNumId w:val="24"/>
  </w:num>
  <w:num w:numId="7">
    <w:abstractNumId w:val="23"/>
  </w:num>
  <w:num w:numId="8">
    <w:abstractNumId w:val="2"/>
  </w:num>
  <w:num w:numId="9">
    <w:abstractNumId w:val="7"/>
  </w:num>
  <w:num w:numId="10">
    <w:abstractNumId w:val="22"/>
  </w:num>
  <w:num w:numId="11">
    <w:abstractNumId w:val="21"/>
  </w:num>
  <w:num w:numId="12">
    <w:abstractNumId w:val="9"/>
  </w:num>
  <w:num w:numId="13">
    <w:abstractNumId w:val="3"/>
  </w:num>
  <w:num w:numId="14">
    <w:abstractNumId w:val="17"/>
  </w:num>
  <w:num w:numId="15">
    <w:abstractNumId w:val="18"/>
  </w:num>
  <w:num w:numId="16">
    <w:abstractNumId w:val="11"/>
  </w:num>
  <w:num w:numId="17">
    <w:abstractNumId w:val="10"/>
  </w:num>
  <w:num w:numId="18">
    <w:abstractNumId w:val="4"/>
  </w:num>
  <w:num w:numId="19">
    <w:abstractNumId w:val="1"/>
  </w:num>
  <w:num w:numId="20">
    <w:abstractNumId w:val="12"/>
  </w:num>
  <w:num w:numId="21">
    <w:abstractNumId w:val="6"/>
  </w:num>
  <w:num w:numId="22">
    <w:abstractNumId w:val="19"/>
  </w:num>
  <w:num w:numId="23">
    <w:abstractNumId w:val="15"/>
  </w:num>
  <w:num w:numId="24">
    <w:abstractNumId w:val="5"/>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0"/>
  <w:proofState w:spelling="clean" w:grammar="clean"/>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223"/>
    <w:rsid w:val="000003D6"/>
    <w:rsid w:val="00000C17"/>
    <w:rsid w:val="00000DD1"/>
    <w:rsid w:val="00001017"/>
    <w:rsid w:val="00002037"/>
    <w:rsid w:val="00002500"/>
    <w:rsid w:val="00002788"/>
    <w:rsid w:val="00002C99"/>
    <w:rsid w:val="00002F1D"/>
    <w:rsid w:val="0000422D"/>
    <w:rsid w:val="00006263"/>
    <w:rsid w:val="00006C60"/>
    <w:rsid w:val="0000700F"/>
    <w:rsid w:val="00007F0B"/>
    <w:rsid w:val="00010330"/>
    <w:rsid w:val="000103F6"/>
    <w:rsid w:val="000104F9"/>
    <w:rsid w:val="000114A2"/>
    <w:rsid w:val="00011A64"/>
    <w:rsid w:val="00011A6B"/>
    <w:rsid w:val="00012091"/>
    <w:rsid w:val="00012092"/>
    <w:rsid w:val="00012B74"/>
    <w:rsid w:val="00013186"/>
    <w:rsid w:val="00013392"/>
    <w:rsid w:val="000135BF"/>
    <w:rsid w:val="00013605"/>
    <w:rsid w:val="0001385E"/>
    <w:rsid w:val="00013CFF"/>
    <w:rsid w:val="00014246"/>
    <w:rsid w:val="00014466"/>
    <w:rsid w:val="00014918"/>
    <w:rsid w:val="000149E0"/>
    <w:rsid w:val="000157D1"/>
    <w:rsid w:val="00015D07"/>
    <w:rsid w:val="00015E62"/>
    <w:rsid w:val="00015F5E"/>
    <w:rsid w:val="00016E50"/>
    <w:rsid w:val="00020250"/>
    <w:rsid w:val="000202C8"/>
    <w:rsid w:val="000221C4"/>
    <w:rsid w:val="000224E4"/>
    <w:rsid w:val="0002269F"/>
    <w:rsid w:val="00022C9B"/>
    <w:rsid w:val="00022DFD"/>
    <w:rsid w:val="00023271"/>
    <w:rsid w:val="0002384B"/>
    <w:rsid w:val="00024117"/>
    <w:rsid w:val="00025078"/>
    <w:rsid w:val="000253B7"/>
    <w:rsid w:val="00025AB7"/>
    <w:rsid w:val="00025E27"/>
    <w:rsid w:val="00026201"/>
    <w:rsid w:val="000267B3"/>
    <w:rsid w:val="00026C03"/>
    <w:rsid w:val="000275B1"/>
    <w:rsid w:val="00027C5F"/>
    <w:rsid w:val="00027F6C"/>
    <w:rsid w:val="00030107"/>
    <w:rsid w:val="00030950"/>
    <w:rsid w:val="000315DF"/>
    <w:rsid w:val="00031809"/>
    <w:rsid w:val="00031BF8"/>
    <w:rsid w:val="00032C91"/>
    <w:rsid w:val="00033559"/>
    <w:rsid w:val="00033623"/>
    <w:rsid w:val="00033625"/>
    <w:rsid w:val="00034AA7"/>
    <w:rsid w:val="00036004"/>
    <w:rsid w:val="00036096"/>
    <w:rsid w:val="00036C4B"/>
    <w:rsid w:val="00036CF0"/>
    <w:rsid w:val="000371E8"/>
    <w:rsid w:val="0003745D"/>
    <w:rsid w:val="000402FC"/>
    <w:rsid w:val="0004046A"/>
    <w:rsid w:val="0004070F"/>
    <w:rsid w:val="00040F1A"/>
    <w:rsid w:val="0004114A"/>
    <w:rsid w:val="00041E74"/>
    <w:rsid w:val="0004213F"/>
    <w:rsid w:val="00042B21"/>
    <w:rsid w:val="00042BAE"/>
    <w:rsid w:val="00044EFE"/>
    <w:rsid w:val="00046001"/>
    <w:rsid w:val="00047054"/>
    <w:rsid w:val="000472B4"/>
    <w:rsid w:val="00047430"/>
    <w:rsid w:val="00050566"/>
    <w:rsid w:val="00050707"/>
    <w:rsid w:val="000509AD"/>
    <w:rsid w:val="00050B4A"/>
    <w:rsid w:val="00050E81"/>
    <w:rsid w:val="000510B7"/>
    <w:rsid w:val="000513AD"/>
    <w:rsid w:val="00051B7D"/>
    <w:rsid w:val="00051D90"/>
    <w:rsid w:val="00051EA2"/>
    <w:rsid w:val="000526B7"/>
    <w:rsid w:val="00052786"/>
    <w:rsid w:val="00052B46"/>
    <w:rsid w:val="00052FE4"/>
    <w:rsid w:val="000534FB"/>
    <w:rsid w:val="00053CD4"/>
    <w:rsid w:val="00053E74"/>
    <w:rsid w:val="0005442A"/>
    <w:rsid w:val="00054957"/>
    <w:rsid w:val="000552F4"/>
    <w:rsid w:val="00055B6D"/>
    <w:rsid w:val="000563F1"/>
    <w:rsid w:val="00057A8F"/>
    <w:rsid w:val="00057A95"/>
    <w:rsid w:val="00057AD6"/>
    <w:rsid w:val="00060AE1"/>
    <w:rsid w:val="00060F6D"/>
    <w:rsid w:val="00061174"/>
    <w:rsid w:val="00061192"/>
    <w:rsid w:val="00061527"/>
    <w:rsid w:val="0006180E"/>
    <w:rsid w:val="0006252C"/>
    <w:rsid w:val="000630F9"/>
    <w:rsid w:val="000632D9"/>
    <w:rsid w:val="000632F0"/>
    <w:rsid w:val="00063E16"/>
    <w:rsid w:val="00063E2B"/>
    <w:rsid w:val="000645C1"/>
    <w:rsid w:val="0006487B"/>
    <w:rsid w:val="00064BE6"/>
    <w:rsid w:val="00064C1A"/>
    <w:rsid w:val="00066200"/>
    <w:rsid w:val="00066203"/>
    <w:rsid w:val="00066A02"/>
    <w:rsid w:val="00066BB3"/>
    <w:rsid w:val="00067AFC"/>
    <w:rsid w:val="000702FA"/>
    <w:rsid w:val="000704B4"/>
    <w:rsid w:val="000706CD"/>
    <w:rsid w:val="000708B1"/>
    <w:rsid w:val="00070B31"/>
    <w:rsid w:val="00070D00"/>
    <w:rsid w:val="00070E5F"/>
    <w:rsid w:val="0007107D"/>
    <w:rsid w:val="0007112D"/>
    <w:rsid w:val="000718A0"/>
    <w:rsid w:val="00071AD6"/>
    <w:rsid w:val="000724B8"/>
    <w:rsid w:val="0007273C"/>
    <w:rsid w:val="000727A5"/>
    <w:rsid w:val="00073282"/>
    <w:rsid w:val="000739F2"/>
    <w:rsid w:val="00073B78"/>
    <w:rsid w:val="0007438B"/>
    <w:rsid w:val="00074C14"/>
    <w:rsid w:val="0007556E"/>
    <w:rsid w:val="000756A6"/>
    <w:rsid w:val="0007666A"/>
    <w:rsid w:val="00076C42"/>
    <w:rsid w:val="00076CD4"/>
    <w:rsid w:val="0007725D"/>
    <w:rsid w:val="0007737C"/>
    <w:rsid w:val="000804DD"/>
    <w:rsid w:val="000806EB"/>
    <w:rsid w:val="00081CFC"/>
    <w:rsid w:val="00081FDF"/>
    <w:rsid w:val="000820B8"/>
    <w:rsid w:val="00082365"/>
    <w:rsid w:val="0008276F"/>
    <w:rsid w:val="00082985"/>
    <w:rsid w:val="00082A1F"/>
    <w:rsid w:val="00082EEE"/>
    <w:rsid w:val="000830E0"/>
    <w:rsid w:val="000834DE"/>
    <w:rsid w:val="000836C5"/>
    <w:rsid w:val="0008371B"/>
    <w:rsid w:val="000846D5"/>
    <w:rsid w:val="00084B3A"/>
    <w:rsid w:val="00084F9B"/>
    <w:rsid w:val="0008517F"/>
    <w:rsid w:val="00085762"/>
    <w:rsid w:val="00085F18"/>
    <w:rsid w:val="00086114"/>
    <w:rsid w:val="000863E9"/>
    <w:rsid w:val="000866AF"/>
    <w:rsid w:val="000867DF"/>
    <w:rsid w:val="00086817"/>
    <w:rsid w:val="0008684F"/>
    <w:rsid w:val="00086858"/>
    <w:rsid w:val="00086A05"/>
    <w:rsid w:val="00086BDA"/>
    <w:rsid w:val="00086F66"/>
    <w:rsid w:val="00086F9C"/>
    <w:rsid w:val="00087817"/>
    <w:rsid w:val="00090C94"/>
    <w:rsid w:val="00090D4E"/>
    <w:rsid w:val="00090DDE"/>
    <w:rsid w:val="000922C5"/>
    <w:rsid w:val="00092988"/>
    <w:rsid w:val="00092A12"/>
    <w:rsid w:val="00092CC1"/>
    <w:rsid w:val="00093046"/>
    <w:rsid w:val="000931F0"/>
    <w:rsid w:val="00093A36"/>
    <w:rsid w:val="00094360"/>
    <w:rsid w:val="00094374"/>
    <w:rsid w:val="00095AF0"/>
    <w:rsid w:val="00095B6B"/>
    <w:rsid w:val="00095CA8"/>
    <w:rsid w:val="0009679F"/>
    <w:rsid w:val="000973AF"/>
    <w:rsid w:val="00097727"/>
    <w:rsid w:val="000A01BD"/>
    <w:rsid w:val="000A0F46"/>
    <w:rsid w:val="000A1DBB"/>
    <w:rsid w:val="000A1FBF"/>
    <w:rsid w:val="000A228A"/>
    <w:rsid w:val="000A25AC"/>
    <w:rsid w:val="000A2FBE"/>
    <w:rsid w:val="000A342D"/>
    <w:rsid w:val="000A380A"/>
    <w:rsid w:val="000A39AC"/>
    <w:rsid w:val="000A3C93"/>
    <w:rsid w:val="000A4277"/>
    <w:rsid w:val="000A46B3"/>
    <w:rsid w:val="000A562F"/>
    <w:rsid w:val="000A5B9C"/>
    <w:rsid w:val="000A5EAA"/>
    <w:rsid w:val="000A5F4B"/>
    <w:rsid w:val="000A6DE5"/>
    <w:rsid w:val="000A7326"/>
    <w:rsid w:val="000A7447"/>
    <w:rsid w:val="000A766E"/>
    <w:rsid w:val="000B0211"/>
    <w:rsid w:val="000B040F"/>
    <w:rsid w:val="000B05D6"/>
    <w:rsid w:val="000B0B22"/>
    <w:rsid w:val="000B1AE2"/>
    <w:rsid w:val="000B1B8D"/>
    <w:rsid w:val="000B1FEE"/>
    <w:rsid w:val="000B267F"/>
    <w:rsid w:val="000B2810"/>
    <w:rsid w:val="000B3470"/>
    <w:rsid w:val="000B3962"/>
    <w:rsid w:val="000B3AB8"/>
    <w:rsid w:val="000B3C49"/>
    <w:rsid w:val="000B4F4B"/>
    <w:rsid w:val="000B4F7D"/>
    <w:rsid w:val="000B5275"/>
    <w:rsid w:val="000B57FC"/>
    <w:rsid w:val="000B5D16"/>
    <w:rsid w:val="000B7C29"/>
    <w:rsid w:val="000C01F9"/>
    <w:rsid w:val="000C0366"/>
    <w:rsid w:val="000C047A"/>
    <w:rsid w:val="000C179F"/>
    <w:rsid w:val="000C1AC3"/>
    <w:rsid w:val="000C1FEB"/>
    <w:rsid w:val="000C22D4"/>
    <w:rsid w:val="000C2867"/>
    <w:rsid w:val="000C317F"/>
    <w:rsid w:val="000C335E"/>
    <w:rsid w:val="000C392A"/>
    <w:rsid w:val="000C3BC4"/>
    <w:rsid w:val="000C3D37"/>
    <w:rsid w:val="000C3E89"/>
    <w:rsid w:val="000C4588"/>
    <w:rsid w:val="000C4C62"/>
    <w:rsid w:val="000C4DDC"/>
    <w:rsid w:val="000C4F4D"/>
    <w:rsid w:val="000C5324"/>
    <w:rsid w:val="000C5ED2"/>
    <w:rsid w:val="000C6AD7"/>
    <w:rsid w:val="000C71A9"/>
    <w:rsid w:val="000C7261"/>
    <w:rsid w:val="000D07DB"/>
    <w:rsid w:val="000D0812"/>
    <w:rsid w:val="000D08D7"/>
    <w:rsid w:val="000D121D"/>
    <w:rsid w:val="000D181A"/>
    <w:rsid w:val="000D18F8"/>
    <w:rsid w:val="000D1D41"/>
    <w:rsid w:val="000D2741"/>
    <w:rsid w:val="000D28F2"/>
    <w:rsid w:val="000D297B"/>
    <w:rsid w:val="000D2A66"/>
    <w:rsid w:val="000D2A77"/>
    <w:rsid w:val="000D2FF9"/>
    <w:rsid w:val="000D37B0"/>
    <w:rsid w:val="000D463B"/>
    <w:rsid w:val="000D544F"/>
    <w:rsid w:val="000D5508"/>
    <w:rsid w:val="000D582E"/>
    <w:rsid w:val="000D5F52"/>
    <w:rsid w:val="000D6726"/>
    <w:rsid w:val="000D7024"/>
    <w:rsid w:val="000D746B"/>
    <w:rsid w:val="000D7481"/>
    <w:rsid w:val="000D7837"/>
    <w:rsid w:val="000D7967"/>
    <w:rsid w:val="000E049A"/>
    <w:rsid w:val="000E04AD"/>
    <w:rsid w:val="000E07F2"/>
    <w:rsid w:val="000E1342"/>
    <w:rsid w:val="000E15AC"/>
    <w:rsid w:val="000E1856"/>
    <w:rsid w:val="000E1CEB"/>
    <w:rsid w:val="000E1F85"/>
    <w:rsid w:val="000E23BE"/>
    <w:rsid w:val="000E2A92"/>
    <w:rsid w:val="000E2ECE"/>
    <w:rsid w:val="000E3EE8"/>
    <w:rsid w:val="000E4811"/>
    <w:rsid w:val="000E4C71"/>
    <w:rsid w:val="000E4DAF"/>
    <w:rsid w:val="000E5386"/>
    <w:rsid w:val="000E54C1"/>
    <w:rsid w:val="000E6095"/>
    <w:rsid w:val="000E6475"/>
    <w:rsid w:val="000E6842"/>
    <w:rsid w:val="000E69C0"/>
    <w:rsid w:val="000E71A9"/>
    <w:rsid w:val="000F0598"/>
    <w:rsid w:val="000F06FE"/>
    <w:rsid w:val="000F0B40"/>
    <w:rsid w:val="000F0EF6"/>
    <w:rsid w:val="000F1557"/>
    <w:rsid w:val="000F1C58"/>
    <w:rsid w:val="000F2812"/>
    <w:rsid w:val="000F2DAD"/>
    <w:rsid w:val="000F2E36"/>
    <w:rsid w:val="000F31F7"/>
    <w:rsid w:val="000F3882"/>
    <w:rsid w:val="000F398D"/>
    <w:rsid w:val="000F41FE"/>
    <w:rsid w:val="000F44F8"/>
    <w:rsid w:val="000F4619"/>
    <w:rsid w:val="000F5319"/>
    <w:rsid w:val="000F5523"/>
    <w:rsid w:val="000F61B8"/>
    <w:rsid w:val="000F6F4B"/>
    <w:rsid w:val="000F7F9B"/>
    <w:rsid w:val="0010010F"/>
    <w:rsid w:val="0010045B"/>
    <w:rsid w:val="00100FD3"/>
    <w:rsid w:val="00102399"/>
    <w:rsid w:val="001039D7"/>
    <w:rsid w:val="001041B0"/>
    <w:rsid w:val="001044DB"/>
    <w:rsid w:val="001064E0"/>
    <w:rsid w:val="00106974"/>
    <w:rsid w:val="00106995"/>
    <w:rsid w:val="00106DF4"/>
    <w:rsid w:val="00106DF9"/>
    <w:rsid w:val="00107115"/>
    <w:rsid w:val="00107432"/>
    <w:rsid w:val="00107878"/>
    <w:rsid w:val="0010792E"/>
    <w:rsid w:val="00107B72"/>
    <w:rsid w:val="00107D6C"/>
    <w:rsid w:val="00107FAD"/>
    <w:rsid w:val="001101FF"/>
    <w:rsid w:val="001107E6"/>
    <w:rsid w:val="001110A0"/>
    <w:rsid w:val="0011140C"/>
    <w:rsid w:val="001133A1"/>
    <w:rsid w:val="00113406"/>
    <w:rsid w:val="001139AF"/>
    <w:rsid w:val="00113AE6"/>
    <w:rsid w:val="00113B90"/>
    <w:rsid w:val="00114C3C"/>
    <w:rsid w:val="001155C3"/>
    <w:rsid w:val="001159F9"/>
    <w:rsid w:val="00115EF0"/>
    <w:rsid w:val="001160AB"/>
    <w:rsid w:val="0011612A"/>
    <w:rsid w:val="001165FB"/>
    <w:rsid w:val="0011771F"/>
    <w:rsid w:val="0011788A"/>
    <w:rsid w:val="00117A06"/>
    <w:rsid w:val="00117A91"/>
    <w:rsid w:val="0012086A"/>
    <w:rsid w:val="001213C3"/>
    <w:rsid w:val="00121E75"/>
    <w:rsid w:val="0012216E"/>
    <w:rsid w:val="0012269B"/>
    <w:rsid w:val="001233EF"/>
    <w:rsid w:val="001236AB"/>
    <w:rsid w:val="00123DA3"/>
    <w:rsid w:val="00123E1D"/>
    <w:rsid w:val="00123EBD"/>
    <w:rsid w:val="001251CE"/>
    <w:rsid w:val="0012553E"/>
    <w:rsid w:val="001255E1"/>
    <w:rsid w:val="00125A93"/>
    <w:rsid w:val="00126808"/>
    <w:rsid w:val="0012785C"/>
    <w:rsid w:val="00127EAB"/>
    <w:rsid w:val="00127F3C"/>
    <w:rsid w:val="00130BAD"/>
    <w:rsid w:val="001318D8"/>
    <w:rsid w:val="00131AC7"/>
    <w:rsid w:val="00131C5E"/>
    <w:rsid w:val="00131C87"/>
    <w:rsid w:val="00132D8A"/>
    <w:rsid w:val="001334FC"/>
    <w:rsid w:val="00133FFC"/>
    <w:rsid w:val="00134022"/>
    <w:rsid w:val="001344A6"/>
    <w:rsid w:val="00134A8D"/>
    <w:rsid w:val="0013511A"/>
    <w:rsid w:val="001355E4"/>
    <w:rsid w:val="00135CCD"/>
    <w:rsid w:val="00135DB6"/>
    <w:rsid w:val="00136144"/>
    <w:rsid w:val="00136162"/>
    <w:rsid w:val="0013677C"/>
    <w:rsid w:val="00136868"/>
    <w:rsid w:val="00136B99"/>
    <w:rsid w:val="001373B0"/>
    <w:rsid w:val="0013771C"/>
    <w:rsid w:val="00140074"/>
    <w:rsid w:val="0014091F"/>
    <w:rsid w:val="00141295"/>
    <w:rsid w:val="0014162D"/>
    <w:rsid w:val="0014190C"/>
    <w:rsid w:val="00141C8D"/>
    <w:rsid w:val="0014225A"/>
    <w:rsid w:val="001427EC"/>
    <w:rsid w:val="00142A70"/>
    <w:rsid w:val="00142D50"/>
    <w:rsid w:val="00143591"/>
    <w:rsid w:val="00143B9C"/>
    <w:rsid w:val="0014469A"/>
    <w:rsid w:val="00144746"/>
    <w:rsid w:val="00146804"/>
    <w:rsid w:val="001468A5"/>
    <w:rsid w:val="001468CB"/>
    <w:rsid w:val="00146AAF"/>
    <w:rsid w:val="00146D18"/>
    <w:rsid w:val="00146DDD"/>
    <w:rsid w:val="00147431"/>
    <w:rsid w:val="001476DD"/>
    <w:rsid w:val="00150022"/>
    <w:rsid w:val="00150868"/>
    <w:rsid w:val="00151710"/>
    <w:rsid w:val="00151E70"/>
    <w:rsid w:val="00151F79"/>
    <w:rsid w:val="001522A0"/>
    <w:rsid w:val="00153388"/>
    <w:rsid w:val="00153EDE"/>
    <w:rsid w:val="001540D3"/>
    <w:rsid w:val="001549F3"/>
    <w:rsid w:val="00156043"/>
    <w:rsid w:val="001566E6"/>
    <w:rsid w:val="00156D18"/>
    <w:rsid w:val="00157193"/>
    <w:rsid w:val="00157C5B"/>
    <w:rsid w:val="001603AA"/>
    <w:rsid w:val="00160DB6"/>
    <w:rsid w:val="001613CA"/>
    <w:rsid w:val="00161422"/>
    <w:rsid w:val="00161D5C"/>
    <w:rsid w:val="00162AB2"/>
    <w:rsid w:val="00163103"/>
    <w:rsid w:val="00163327"/>
    <w:rsid w:val="001633B9"/>
    <w:rsid w:val="0016424B"/>
    <w:rsid w:val="00164A92"/>
    <w:rsid w:val="00164AEA"/>
    <w:rsid w:val="00164F97"/>
    <w:rsid w:val="00165089"/>
    <w:rsid w:val="00165498"/>
    <w:rsid w:val="0016587F"/>
    <w:rsid w:val="001669B4"/>
    <w:rsid w:val="00166A70"/>
    <w:rsid w:val="00166ECD"/>
    <w:rsid w:val="00167069"/>
    <w:rsid w:val="001676DB"/>
    <w:rsid w:val="00167A57"/>
    <w:rsid w:val="00167AEE"/>
    <w:rsid w:val="00167FE0"/>
    <w:rsid w:val="00170574"/>
    <w:rsid w:val="00170756"/>
    <w:rsid w:val="00170DB3"/>
    <w:rsid w:val="00171ADF"/>
    <w:rsid w:val="00171DD7"/>
    <w:rsid w:val="00172B50"/>
    <w:rsid w:val="00173346"/>
    <w:rsid w:val="00173444"/>
    <w:rsid w:val="00173D4D"/>
    <w:rsid w:val="00173FAB"/>
    <w:rsid w:val="00174744"/>
    <w:rsid w:val="001753F0"/>
    <w:rsid w:val="0017548E"/>
    <w:rsid w:val="001754AA"/>
    <w:rsid w:val="00175814"/>
    <w:rsid w:val="00175979"/>
    <w:rsid w:val="00175F46"/>
    <w:rsid w:val="001765F6"/>
    <w:rsid w:val="00176646"/>
    <w:rsid w:val="001771A0"/>
    <w:rsid w:val="00177FA8"/>
    <w:rsid w:val="00180AEC"/>
    <w:rsid w:val="00180C15"/>
    <w:rsid w:val="001811D1"/>
    <w:rsid w:val="00181334"/>
    <w:rsid w:val="001815C7"/>
    <w:rsid w:val="0018161E"/>
    <w:rsid w:val="001828AD"/>
    <w:rsid w:val="00182DA6"/>
    <w:rsid w:val="00183B72"/>
    <w:rsid w:val="00184FFF"/>
    <w:rsid w:val="00185076"/>
    <w:rsid w:val="001853AB"/>
    <w:rsid w:val="001854E1"/>
    <w:rsid w:val="00185EBC"/>
    <w:rsid w:val="0018711A"/>
    <w:rsid w:val="001878C7"/>
    <w:rsid w:val="0019076D"/>
    <w:rsid w:val="0019227E"/>
    <w:rsid w:val="0019255A"/>
    <w:rsid w:val="001927D0"/>
    <w:rsid w:val="00192CB1"/>
    <w:rsid w:val="001931B3"/>
    <w:rsid w:val="00193736"/>
    <w:rsid w:val="00193768"/>
    <w:rsid w:val="00193AAD"/>
    <w:rsid w:val="00193E78"/>
    <w:rsid w:val="00193F40"/>
    <w:rsid w:val="00194C78"/>
    <w:rsid w:val="00194FC5"/>
    <w:rsid w:val="001954B0"/>
    <w:rsid w:val="0019551D"/>
    <w:rsid w:val="00195D96"/>
    <w:rsid w:val="001964D8"/>
    <w:rsid w:val="00196919"/>
    <w:rsid w:val="001969D8"/>
    <w:rsid w:val="00196B00"/>
    <w:rsid w:val="00197699"/>
    <w:rsid w:val="001A01E6"/>
    <w:rsid w:val="001A040E"/>
    <w:rsid w:val="001A09BD"/>
    <w:rsid w:val="001A0F97"/>
    <w:rsid w:val="001A1A8E"/>
    <w:rsid w:val="001A1D6D"/>
    <w:rsid w:val="001A229E"/>
    <w:rsid w:val="001A339E"/>
    <w:rsid w:val="001A4537"/>
    <w:rsid w:val="001A468D"/>
    <w:rsid w:val="001A474F"/>
    <w:rsid w:val="001A4912"/>
    <w:rsid w:val="001A4E84"/>
    <w:rsid w:val="001A5177"/>
    <w:rsid w:val="001A5557"/>
    <w:rsid w:val="001A5B72"/>
    <w:rsid w:val="001A5BB7"/>
    <w:rsid w:val="001A6161"/>
    <w:rsid w:val="001A6718"/>
    <w:rsid w:val="001A6A42"/>
    <w:rsid w:val="001A77F2"/>
    <w:rsid w:val="001A7F02"/>
    <w:rsid w:val="001B072E"/>
    <w:rsid w:val="001B07D2"/>
    <w:rsid w:val="001B0A87"/>
    <w:rsid w:val="001B0DA5"/>
    <w:rsid w:val="001B0FA1"/>
    <w:rsid w:val="001B1033"/>
    <w:rsid w:val="001B14D7"/>
    <w:rsid w:val="001B1705"/>
    <w:rsid w:val="001B187D"/>
    <w:rsid w:val="001B18A9"/>
    <w:rsid w:val="001B220C"/>
    <w:rsid w:val="001B2AD0"/>
    <w:rsid w:val="001B2FC1"/>
    <w:rsid w:val="001B365F"/>
    <w:rsid w:val="001B3F13"/>
    <w:rsid w:val="001B45C7"/>
    <w:rsid w:val="001B473B"/>
    <w:rsid w:val="001B4A62"/>
    <w:rsid w:val="001B4D2F"/>
    <w:rsid w:val="001B4D80"/>
    <w:rsid w:val="001B5019"/>
    <w:rsid w:val="001B5EEF"/>
    <w:rsid w:val="001B6635"/>
    <w:rsid w:val="001B6798"/>
    <w:rsid w:val="001B6D29"/>
    <w:rsid w:val="001B7030"/>
    <w:rsid w:val="001B78AE"/>
    <w:rsid w:val="001C0055"/>
    <w:rsid w:val="001C01DF"/>
    <w:rsid w:val="001C0310"/>
    <w:rsid w:val="001C06DC"/>
    <w:rsid w:val="001C10EF"/>
    <w:rsid w:val="001C13CD"/>
    <w:rsid w:val="001C16DE"/>
    <w:rsid w:val="001C1BDB"/>
    <w:rsid w:val="001C1C3D"/>
    <w:rsid w:val="001C22B4"/>
    <w:rsid w:val="001C2B31"/>
    <w:rsid w:val="001C2E92"/>
    <w:rsid w:val="001C347B"/>
    <w:rsid w:val="001C3A7E"/>
    <w:rsid w:val="001C3DE0"/>
    <w:rsid w:val="001C4457"/>
    <w:rsid w:val="001C4563"/>
    <w:rsid w:val="001C4682"/>
    <w:rsid w:val="001C4C3D"/>
    <w:rsid w:val="001C56FF"/>
    <w:rsid w:val="001C5DBA"/>
    <w:rsid w:val="001C64E6"/>
    <w:rsid w:val="001C72E3"/>
    <w:rsid w:val="001C76E8"/>
    <w:rsid w:val="001C78D3"/>
    <w:rsid w:val="001D06CC"/>
    <w:rsid w:val="001D07B3"/>
    <w:rsid w:val="001D0B9B"/>
    <w:rsid w:val="001D0E50"/>
    <w:rsid w:val="001D1082"/>
    <w:rsid w:val="001D195C"/>
    <w:rsid w:val="001D1C62"/>
    <w:rsid w:val="001D1E1B"/>
    <w:rsid w:val="001D2D84"/>
    <w:rsid w:val="001D35B8"/>
    <w:rsid w:val="001D4779"/>
    <w:rsid w:val="001D4825"/>
    <w:rsid w:val="001D4DCA"/>
    <w:rsid w:val="001D4DD2"/>
    <w:rsid w:val="001D4DE7"/>
    <w:rsid w:val="001D4F04"/>
    <w:rsid w:val="001D5013"/>
    <w:rsid w:val="001D5D9F"/>
    <w:rsid w:val="001D71A7"/>
    <w:rsid w:val="001D7388"/>
    <w:rsid w:val="001D7CF6"/>
    <w:rsid w:val="001D7DEC"/>
    <w:rsid w:val="001D7E45"/>
    <w:rsid w:val="001E021F"/>
    <w:rsid w:val="001E04BB"/>
    <w:rsid w:val="001E1035"/>
    <w:rsid w:val="001E1666"/>
    <w:rsid w:val="001E1AEF"/>
    <w:rsid w:val="001E1B7C"/>
    <w:rsid w:val="001E1FCA"/>
    <w:rsid w:val="001E2007"/>
    <w:rsid w:val="001E2101"/>
    <w:rsid w:val="001E248A"/>
    <w:rsid w:val="001E2970"/>
    <w:rsid w:val="001E2DF7"/>
    <w:rsid w:val="001E2E85"/>
    <w:rsid w:val="001E3E40"/>
    <w:rsid w:val="001E3EF7"/>
    <w:rsid w:val="001E4207"/>
    <w:rsid w:val="001E4822"/>
    <w:rsid w:val="001E4C3A"/>
    <w:rsid w:val="001E515A"/>
    <w:rsid w:val="001E5E80"/>
    <w:rsid w:val="001E64B7"/>
    <w:rsid w:val="001E6D21"/>
    <w:rsid w:val="001E7775"/>
    <w:rsid w:val="001E7B8C"/>
    <w:rsid w:val="001E7C70"/>
    <w:rsid w:val="001F145D"/>
    <w:rsid w:val="001F252A"/>
    <w:rsid w:val="001F298C"/>
    <w:rsid w:val="001F2BE2"/>
    <w:rsid w:val="001F3307"/>
    <w:rsid w:val="001F3E35"/>
    <w:rsid w:val="001F3EF9"/>
    <w:rsid w:val="001F563A"/>
    <w:rsid w:val="001F6906"/>
    <w:rsid w:val="001F693B"/>
    <w:rsid w:val="001F6C93"/>
    <w:rsid w:val="001F73E7"/>
    <w:rsid w:val="001F7456"/>
    <w:rsid w:val="001F7530"/>
    <w:rsid w:val="001F7563"/>
    <w:rsid w:val="001F7CBB"/>
    <w:rsid w:val="001F7D17"/>
    <w:rsid w:val="001F7D7D"/>
    <w:rsid w:val="00201295"/>
    <w:rsid w:val="00202175"/>
    <w:rsid w:val="002021E6"/>
    <w:rsid w:val="0020260B"/>
    <w:rsid w:val="00202D9C"/>
    <w:rsid w:val="00202FEE"/>
    <w:rsid w:val="002035C2"/>
    <w:rsid w:val="00203785"/>
    <w:rsid w:val="00204953"/>
    <w:rsid w:val="00205D77"/>
    <w:rsid w:val="00206205"/>
    <w:rsid w:val="00206B23"/>
    <w:rsid w:val="00207680"/>
    <w:rsid w:val="00207790"/>
    <w:rsid w:val="002110EE"/>
    <w:rsid w:val="00211288"/>
    <w:rsid w:val="0021212F"/>
    <w:rsid w:val="00212F5D"/>
    <w:rsid w:val="002139DF"/>
    <w:rsid w:val="002141EE"/>
    <w:rsid w:val="00215206"/>
    <w:rsid w:val="002153AF"/>
    <w:rsid w:val="00215572"/>
    <w:rsid w:val="00215D1F"/>
    <w:rsid w:val="00216644"/>
    <w:rsid w:val="00217643"/>
    <w:rsid w:val="00217ED9"/>
    <w:rsid w:val="0022017E"/>
    <w:rsid w:val="00220596"/>
    <w:rsid w:val="00221061"/>
    <w:rsid w:val="00221666"/>
    <w:rsid w:val="00222448"/>
    <w:rsid w:val="0022246E"/>
    <w:rsid w:val="00222840"/>
    <w:rsid w:val="00222F12"/>
    <w:rsid w:val="002231F0"/>
    <w:rsid w:val="002234E4"/>
    <w:rsid w:val="0022369D"/>
    <w:rsid w:val="00223746"/>
    <w:rsid w:val="002242BD"/>
    <w:rsid w:val="00224A37"/>
    <w:rsid w:val="00224B2E"/>
    <w:rsid w:val="00224CBF"/>
    <w:rsid w:val="00224F57"/>
    <w:rsid w:val="002250AA"/>
    <w:rsid w:val="00225268"/>
    <w:rsid w:val="0022529E"/>
    <w:rsid w:val="00225614"/>
    <w:rsid w:val="00225677"/>
    <w:rsid w:val="00225AA7"/>
    <w:rsid w:val="00225BC0"/>
    <w:rsid w:val="002260F7"/>
    <w:rsid w:val="002262FD"/>
    <w:rsid w:val="002264E9"/>
    <w:rsid w:val="00226540"/>
    <w:rsid w:val="00226ECB"/>
    <w:rsid w:val="00227C1F"/>
    <w:rsid w:val="00227F4C"/>
    <w:rsid w:val="00230068"/>
    <w:rsid w:val="002300AB"/>
    <w:rsid w:val="002303F7"/>
    <w:rsid w:val="0023092A"/>
    <w:rsid w:val="00230FA7"/>
    <w:rsid w:val="00231214"/>
    <w:rsid w:val="00231257"/>
    <w:rsid w:val="00231B5D"/>
    <w:rsid w:val="00232230"/>
    <w:rsid w:val="00232DA7"/>
    <w:rsid w:val="00232E5A"/>
    <w:rsid w:val="002331DA"/>
    <w:rsid w:val="002333E7"/>
    <w:rsid w:val="00233431"/>
    <w:rsid w:val="00233A15"/>
    <w:rsid w:val="00233C1F"/>
    <w:rsid w:val="0023453C"/>
    <w:rsid w:val="002345C7"/>
    <w:rsid w:val="00234616"/>
    <w:rsid w:val="002349CE"/>
    <w:rsid w:val="002350C3"/>
    <w:rsid w:val="00235635"/>
    <w:rsid w:val="002363B8"/>
    <w:rsid w:val="002365DD"/>
    <w:rsid w:val="00236A87"/>
    <w:rsid w:val="00240285"/>
    <w:rsid w:val="0024038D"/>
    <w:rsid w:val="00241610"/>
    <w:rsid w:val="00242769"/>
    <w:rsid w:val="00242BC5"/>
    <w:rsid w:val="00242F3E"/>
    <w:rsid w:val="002434CD"/>
    <w:rsid w:val="00244501"/>
    <w:rsid w:val="00244A43"/>
    <w:rsid w:val="00244D7F"/>
    <w:rsid w:val="00245503"/>
    <w:rsid w:val="002462FD"/>
    <w:rsid w:val="00246319"/>
    <w:rsid w:val="00246625"/>
    <w:rsid w:val="00246CEB"/>
    <w:rsid w:val="00246D45"/>
    <w:rsid w:val="002473B2"/>
    <w:rsid w:val="002479EA"/>
    <w:rsid w:val="00247AEC"/>
    <w:rsid w:val="0025152F"/>
    <w:rsid w:val="00251C96"/>
    <w:rsid w:val="00252608"/>
    <w:rsid w:val="00252935"/>
    <w:rsid w:val="00252CC5"/>
    <w:rsid w:val="00252DCA"/>
    <w:rsid w:val="00254861"/>
    <w:rsid w:val="0025538F"/>
    <w:rsid w:val="00255994"/>
    <w:rsid w:val="002561F7"/>
    <w:rsid w:val="00257B8D"/>
    <w:rsid w:val="00260216"/>
    <w:rsid w:val="00260360"/>
    <w:rsid w:val="00261505"/>
    <w:rsid w:val="00261601"/>
    <w:rsid w:val="002616C1"/>
    <w:rsid w:val="002621C8"/>
    <w:rsid w:val="00262517"/>
    <w:rsid w:val="00262E66"/>
    <w:rsid w:val="00263669"/>
    <w:rsid w:val="002655EB"/>
    <w:rsid w:val="00265C7B"/>
    <w:rsid w:val="00265F6F"/>
    <w:rsid w:val="00266807"/>
    <w:rsid w:val="0026711A"/>
    <w:rsid w:val="00267196"/>
    <w:rsid w:val="00267B75"/>
    <w:rsid w:val="00270973"/>
    <w:rsid w:val="002724E8"/>
    <w:rsid w:val="00272950"/>
    <w:rsid w:val="00272BE4"/>
    <w:rsid w:val="002730A0"/>
    <w:rsid w:val="00273A37"/>
    <w:rsid w:val="002760D5"/>
    <w:rsid w:val="002767D4"/>
    <w:rsid w:val="0027772F"/>
    <w:rsid w:val="00277796"/>
    <w:rsid w:val="002778B6"/>
    <w:rsid w:val="0028041F"/>
    <w:rsid w:val="00280DA2"/>
    <w:rsid w:val="00281149"/>
    <w:rsid w:val="00282772"/>
    <w:rsid w:val="002846CD"/>
    <w:rsid w:val="0028481E"/>
    <w:rsid w:val="002858F5"/>
    <w:rsid w:val="00285CA2"/>
    <w:rsid w:val="002860A6"/>
    <w:rsid w:val="002863F2"/>
    <w:rsid w:val="00286586"/>
    <w:rsid w:val="00287160"/>
    <w:rsid w:val="002905AF"/>
    <w:rsid w:val="0029091F"/>
    <w:rsid w:val="00291575"/>
    <w:rsid w:val="0029236C"/>
    <w:rsid w:val="002923DF"/>
    <w:rsid w:val="00292692"/>
    <w:rsid w:val="00292D81"/>
    <w:rsid w:val="0029382B"/>
    <w:rsid w:val="00293C9C"/>
    <w:rsid w:val="00294573"/>
    <w:rsid w:val="002955C9"/>
    <w:rsid w:val="0029580B"/>
    <w:rsid w:val="00295912"/>
    <w:rsid w:val="0029599A"/>
    <w:rsid w:val="00295EFF"/>
    <w:rsid w:val="00296B2F"/>
    <w:rsid w:val="00297A38"/>
    <w:rsid w:val="00297AA2"/>
    <w:rsid w:val="00297B93"/>
    <w:rsid w:val="002A099E"/>
    <w:rsid w:val="002A0C43"/>
    <w:rsid w:val="002A0EEE"/>
    <w:rsid w:val="002A1811"/>
    <w:rsid w:val="002A1FF4"/>
    <w:rsid w:val="002A24B6"/>
    <w:rsid w:val="002A28BF"/>
    <w:rsid w:val="002A2A87"/>
    <w:rsid w:val="002A2AE1"/>
    <w:rsid w:val="002A315A"/>
    <w:rsid w:val="002A3675"/>
    <w:rsid w:val="002A3A79"/>
    <w:rsid w:val="002A3E50"/>
    <w:rsid w:val="002A4CC7"/>
    <w:rsid w:val="002A4E0C"/>
    <w:rsid w:val="002A54EC"/>
    <w:rsid w:val="002A5763"/>
    <w:rsid w:val="002A5CED"/>
    <w:rsid w:val="002A6BAE"/>
    <w:rsid w:val="002A6CC7"/>
    <w:rsid w:val="002A724B"/>
    <w:rsid w:val="002A7769"/>
    <w:rsid w:val="002A7D65"/>
    <w:rsid w:val="002B01F7"/>
    <w:rsid w:val="002B06F0"/>
    <w:rsid w:val="002B0DC6"/>
    <w:rsid w:val="002B0EBB"/>
    <w:rsid w:val="002B0F6E"/>
    <w:rsid w:val="002B117F"/>
    <w:rsid w:val="002B137C"/>
    <w:rsid w:val="002B15A1"/>
    <w:rsid w:val="002B1DC1"/>
    <w:rsid w:val="002B264F"/>
    <w:rsid w:val="002B27D1"/>
    <w:rsid w:val="002B2A7A"/>
    <w:rsid w:val="002B3B89"/>
    <w:rsid w:val="002B3EF3"/>
    <w:rsid w:val="002B40F8"/>
    <w:rsid w:val="002B5D3E"/>
    <w:rsid w:val="002B5DD1"/>
    <w:rsid w:val="002B6976"/>
    <w:rsid w:val="002B6A42"/>
    <w:rsid w:val="002B6ABF"/>
    <w:rsid w:val="002B7467"/>
    <w:rsid w:val="002C0386"/>
    <w:rsid w:val="002C04CB"/>
    <w:rsid w:val="002C07FF"/>
    <w:rsid w:val="002C1591"/>
    <w:rsid w:val="002C1D7E"/>
    <w:rsid w:val="002C2313"/>
    <w:rsid w:val="002C2390"/>
    <w:rsid w:val="002C266E"/>
    <w:rsid w:val="002C2A2B"/>
    <w:rsid w:val="002C2D58"/>
    <w:rsid w:val="002C4129"/>
    <w:rsid w:val="002C4599"/>
    <w:rsid w:val="002C493B"/>
    <w:rsid w:val="002C4A22"/>
    <w:rsid w:val="002C4F03"/>
    <w:rsid w:val="002C5523"/>
    <w:rsid w:val="002C559D"/>
    <w:rsid w:val="002C5BB8"/>
    <w:rsid w:val="002C5E99"/>
    <w:rsid w:val="002C631E"/>
    <w:rsid w:val="002C6A65"/>
    <w:rsid w:val="002C71A1"/>
    <w:rsid w:val="002C722A"/>
    <w:rsid w:val="002C7E84"/>
    <w:rsid w:val="002D07D4"/>
    <w:rsid w:val="002D07E4"/>
    <w:rsid w:val="002D2673"/>
    <w:rsid w:val="002D2CA9"/>
    <w:rsid w:val="002D329B"/>
    <w:rsid w:val="002D3658"/>
    <w:rsid w:val="002D432F"/>
    <w:rsid w:val="002D4A74"/>
    <w:rsid w:val="002D5458"/>
    <w:rsid w:val="002D5495"/>
    <w:rsid w:val="002D6272"/>
    <w:rsid w:val="002D62A3"/>
    <w:rsid w:val="002D67E6"/>
    <w:rsid w:val="002D6C32"/>
    <w:rsid w:val="002D70F2"/>
    <w:rsid w:val="002D7237"/>
    <w:rsid w:val="002D7775"/>
    <w:rsid w:val="002E091A"/>
    <w:rsid w:val="002E0B5E"/>
    <w:rsid w:val="002E0CB0"/>
    <w:rsid w:val="002E146C"/>
    <w:rsid w:val="002E1D1B"/>
    <w:rsid w:val="002E2198"/>
    <w:rsid w:val="002E228F"/>
    <w:rsid w:val="002E28B9"/>
    <w:rsid w:val="002E29C6"/>
    <w:rsid w:val="002E29CC"/>
    <w:rsid w:val="002E2CA1"/>
    <w:rsid w:val="002E2D59"/>
    <w:rsid w:val="002E32DB"/>
    <w:rsid w:val="002E3359"/>
    <w:rsid w:val="002E354B"/>
    <w:rsid w:val="002E37A7"/>
    <w:rsid w:val="002E3AB5"/>
    <w:rsid w:val="002E4497"/>
    <w:rsid w:val="002E4686"/>
    <w:rsid w:val="002E472C"/>
    <w:rsid w:val="002E4B09"/>
    <w:rsid w:val="002E4B20"/>
    <w:rsid w:val="002E5D41"/>
    <w:rsid w:val="002E6F67"/>
    <w:rsid w:val="002E79C6"/>
    <w:rsid w:val="002E7C19"/>
    <w:rsid w:val="002F21EA"/>
    <w:rsid w:val="002F2407"/>
    <w:rsid w:val="002F3196"/>
    <w:rsid w:val="002F338D"/>
    <w:rsid w:val="002F3465"/>
    <w:rsid w:val="002F376F"/>
    <w:rsid w:val="002F37E8"/>
    <w:rsid w:val="002F3FAD"/>
    <w:rsid w:val="002F4048"/>
    <w:rsid w:val="002F4106"/>
    <w:rsid w:val="002F41D7"/>
    <w:rsid w:val="002F45EC"/>
    <w:rsid w:val="002F4CFF"/>
    <w:rsid w:val="002F4FE8"/>
    <w:rsid w:val="002F5FAE"/>
    <w:rsid w:val="002F6003"/>
    <w:rsid w:val="002F6046"/>
    <w:rsid w:val="002F68EE"/>
    <w:rsid w:val="002F6DFD"/>
    <w:rsid w:val="002F71DD"/>
    <w:rsid w:val="002F7323"/>
    <w:rsid w:val="002F759F"/>
    <w:rsid w:val="00300B82"/>
    <w:rsid w:val="0030106C"/>
    <w:rsid w:val="00301919"/>
    <w:rsid w:val="00301E18"/>
    <w:rsid w:val="00302362"/>
    <w:rsid w:val="0030271D"/>
    <w:rsid w:val="00302EA6"/>
    <w:rsid w:val="00302EE4"/>
    <w:rsid w:val="00303B1E"/>
    <w:rsid w:val="00304054"/>
    <w:rsid w:val="003043A4"/>
    <w:rsid w:val="003048B3"/>
    <w:rsid w:val="003048EB"/>
    <w:rsid w:val="00304E4F"/>
    <w:rsid w:val="003054DE"/>
    <w:rsid w:val="00306C72"/>
    <w:rsid w:val="00306D6B"/>
    <w:rsid w:val="00307750"/>
    <w:rsid w:val="00307854"/>
    <w:rsid w:val="00307A49"/>
    <w:rsid w:val="00307B56"/>
    <w:rsid w:val="003107E0"/>
    <w:rsid w:val="00310E3B"/>
    <w:rsid w:val="00311B65"/>
    <w:rsid w:val="00312251"/>
    <w:rsid w:val="0031264D"/>
    <w:rsid w:val="00312E71"/>
    <w:rsid w:val="00313325"/>
    <w:rsid w:val="003137FB"/>
    <w:rsid w:val="00313D2A"/>
    <w:rsid w:val="00315C8D"/>
    <w:rsid w:val="00316B1E"/>
    <w:rsid w:val="00317321"/>
    <w:rsid w:val="003177BE"/>
    <w:rsid w:val="00320B2B"/>
    <w:rsid w:val="00320BF0"/>
    <w:rsid w:val="00320C78"/>
    <w:rsid w:val="00320C84"/>
    <w:rsid w:val="00320F21"/>
    <w:rsid w:val="00320FD1"/>
    <w:rsid w:val="00320FF5"/>
    <w:rsid w:val="00321099"/>
    <w:rsid w:val="00321632"/>
    <w:rsid w:val="00321A63"/>
    <w:rsid w:val="00323959"/>
    <w:rsid w:val="00323E86"/>
    <w:rsid w:val="003246D9"/>
    <w:rsid w:val="00324918"/>
    <w:rsid w:val="0032497D"/>
    <w:rsid w:val="00324A93"/>
    <w:rsid w:val="003261E3"/>
    <w:rsid w:val="003263E2"/>
    <w:rsid w:val="00326A7B"/>
    <w:rsid w:val="00326B75"/>
    <w:rsid w:val="00326BB2"/>
    <w:rsid w:val="0032742F"/>
    <w:rsid w:val="003275F4"/>
    <w:rsid w:val="00327C10"/>
    <w:rsid w:val="00327CE6"/>
    <w:rsid w:val="00330535"/>
    <w:rsid w:val="0033195E"/>
    <w:rsid w:val="00332358"/>
    <w:rsid w:val="00332A44"/>
    <w:rsid w:val="00332E3F"/>
    <w:rsid w:val="003332BD"/>
    <w:rsid w:val="003337BB"/>
    <w:rsid w:val="00333B13"/>
    <w:rsid w:val="00334AD7"/>
    <w:rsid w:val="00335323"/>
    <w:rsid w:val="00335B88"/>
    <w:rsid w:val="00336620"/>
    <w:rsid w:val="00337209"/>
    <w:rsid w:val="003377E8"/>
    <w:rsid w:val="00337D3D"/>
    <w:rsid w:val="00337E7E"/>
    <w:rsid w:val="003409A2"/>
    <w:rsid w:val="00340BE7"/>
    <w:rsid w:val="003411E8"/>
    <w:rsid w:val="003417A4"/>
    <w:rsid w:val="00341EEF"/>
    <w:rsid w:val="00342AAE"/>
    <w:rsid w:val="00342C2C"/>
    <w:rsid w:val="00342F67"/>
    <w:rsid w:val="003430C3"/>
    <w:rsid w:val="00343431"/>
    <w:rsid w:val="00343568"/>
    <w:rsid w:val="003442C7"/>
    <w:rsid w:val="003444EB"/>
    <w:rsid w:val="00345419"/>
    <w:rsid w:val="003456F8"/>
    <w:rsid w:val="00345DB2"/>
    <w:rsid w:val="0034603C"/>
    <w:rsid w:val="003465EA"/>
    <w:rsid w:val="00346702"/>
    <w:rsid w:val="00346DB9"/>
    <w:rsid w:val="00347595"/>
    <w:rsid w:val="00347EE2"/>
    <w:rsid w:val="003505A5"/>
    <w:rsid w:val="003508B5"/>
    <w:rsid w:val="00350FD1"/>
    <w:rsid w:val="00351136"/>
    <w:rsid w:val="0035158D"/>
    <w:rsid w:val="00351FDB"/>
    <w:rsid w:val="00352393"/>
    <w:rsid w:val="00352A41"/>
    <w:rsid w:val="00352ACE"/>
    <w:rsid w:val="00353141"/>
    <w:rsid w:val="003543F9"/>
    <w:rsid w:val="00354A2C"/>
    <w:rsid w:val="00355CB7"/>
    <w:rsid w:val="00355F62"/>
    <w:rsid w:val="00356497"/>
    <w:rsid w:val="003573AE"/>
    <w:rsid w:val="00361F03"/>
    <w:rsid w:val="00362805"/>
    <w:rsid w:val="00362BCA"/>
    <w:rsid w:val="003636B2"/>
    <w:rsid w:val="00363889"/>
    <w:rsid w:val="003642A9"/>
    <w:rsid w:val="00364784"/>
    <w:rsid w:val="003648DC"/>
    <w:rsid w:val="00365410"/>
    <w:rsid w:val="00365D6A"/>
    <w:rsid w:val="003663C9"/>
    <w:rsid w:val="00366B56"/>
    <w:rsid w:val="00366D28"/>
    <w:rsid w:val="003675D8"/>
    <w:rsid w:val="00367A46"/>
    <w:rsid w:val="0037071A"/>
    <w:rsid w:val="00370CEA"/>
    <w:rsid w:val="00370EF2"/>
    <w:rsid w:val="00371258"/>
    <w:rsid w:val="0037242E"/>
    <w:rsid w:val="0037243D"/>
    <w:rsid w:val="00372461"/>
    <w:rsid w:val="00372588"/>
    <w:rsid w:val="00372958"/>
    <w:rsid w:val="003735DA"/>
    <w:rsid w:val="00373E59"/>
    <w:rsid w:val="00373EFC"/>
    <w:rsid w:val="00374DFC"/>
    <w:rsid w:val="00375383"/>
    <w:rsid w:val="00375AE7"/>
    <w:rsid w:val="00375C0D"/>
    <w:rsid w:val="00375E57"/>
    <w:rsid w:val="003760D4"/>
    <w:rsid w:val="00376415"/>
    <w:rsid w:val="00376435"/>
    <w:rsid w:val="00376E72"/>
    <w:rsid w:val="00377071"/>
    <w:rsid w:val="003779D7"/>
    <w:rsid w:val="00380BE5"/>
    <w:rsid w:val="0038326F"/>
    <w:rsid w:val="0038343B"/>
    <w:rsid w:val="00383E48"/>
    <w:rsid w:val="00384DA0"/>
    <w:rsid w:val="00385EF3"/>
    <w:rsid w:val="00386178"/>
    <w:rsid w:val="00387099"/>
    <w:rsid w:val="003872EA"/>
    <w:rsid w:val="0038739B"/>
    <w:rsid w:val="00387C8A"/>
    <w:rsid w:val="00390669"/>
    <w:rsid w:val="00391F74"/>
    <w:rsid w:val="00392BA5"/>
    <w:rsid w:val="00393D77"/>
    <w:rsid w:val="00394C8B"/>
    <w:rsid w:val="003950BF"/>
    <w:rsid w:val="00395989"/>
    <w:rsid w:val="00395AEA"/>
    <w:rsid w:val="00395E01"/>
    <w:rsid w:val="00396265"/>
    <w:rsid w:val="00396D64"/>
    <w:rsid w:val="00396F8C"/>
    <w:rsid w:val="00397725"/>
    <w:rsid w:val="00397E88"/>
    <w:rsid w:val="003A01A4"/>
    <w:rsid w:val="003A092C"/>
    <w:rsid w:val="003A1953"/>
    <w:rsid w:val="003A2184"/>
    <w:rsid w:val="003A2322"/>
    <w:rsid w:val="003A2881"/>
    <w:rsid w:val="003A31A9"/>
    <w:rsid w:val="003A396C"/>
    <w:rsid w:val="003A3D0A"/>
    <w:rsid w:val="003A4E6D"/>
    <w:rsid w:val="003A4E6F"/>
    <w:rsid w:val="003A53C0"/>
    <w:rsid w:val="003A54F2"/>
    <w:rsid w:val="003A599E"/>
    <w:rsid w:val="003A5DA0"/>
    <w:rsid w:val="003A5F84"/>
    <w:rsid w:val="003A7575"/>
    <w:rsid w:val="003A7C6F"/>
    <w:rsid w:val="003B0C55"/>
    <w:rsid w:val="003B10ED"/>
    <w:rsid w:val="003B12CD"/>
    <w:rsid w:val="003B154B"/>
    <w:rsid w:val="003B197B"/>
    <w:rsid w:val="003B1E9D"/>
    <w:rsid w:val="003B318D"/>
    <w:rsid w:val="003B36A1"/>
    <w:rsid w:val="003B37F9"/>
    <w:rsid w:val="003B3BEC"/>
    <w:rsid w:val="003B4122"/>
    <w:rsid w:val="003B4900"/>
    <w:rsid w:val="003B52A3"/>
    <w:rsid w:val="003B52A5"/>
    <w:rsid w:val="003B52DD"/>
    <w:rsid w:val="003B56CA"/>
    <w:rsid w:val="003B5954"/>
    <w:rsid w:val="003B5A9F"/>
    <w:rsid w:val="003B5AB6"/>
    <w:rsid w:val="003B5F74"/>
    <w:rsid w:val="003B62D3"/>
    <w:rsid w:val="003B6D35"/>
    <w:rsid w:val="003B7233"/>
    <w:rsid w:val="003B79B8"/>
    <w:rsid w:val="003B7BA4"/>
    <w:rsid w:val="003B7F16"/>
    <w:rsid w:val="003C1065"/>
    <w:rsid w:val="003C10BF"/>
    <w:rsid w:val="003C1242"/>
    <w:rsid w:val="003C2273"/>
    <w:rsid w:val="003C256F"/>
    <w:rsid w:val="003C340D"/>
    <w:rsid w:val="003C3968"/>
    <w:rsid w:val="003C48F8"/>
    <w:rsid w:val="003C4BBA"/>
    <w:rsid w:val="003C4C64"/>
    <w:rsid w:val="003C4FB0"/>
    <w:rsid w:val="003C52DD"/>
    <w:rsid w:val="003C539F"/>
    <w:rsid w:val="003C5B6C"/>
    <w:rsid w:val="003C5D3E"/>
    <w:rsid w:val="003C5D4F"/>
    <w:rsid w:val="003C6293"/>
    <w:rsid w:val="003C7197"/>
    <w:rsid w:val="003C722C"/>
    <w:rsid w:val="003C7438"/>
    <w:rsid w:val="003C78D7"/>
    <w:rsid w:val="003D03A5"/>
    <w:rsid w:val="003D089B"/>
    <w:rsid w:val="003D0A22"/>
    <w:rsid w:val="003D0BFF"/>
    <w:rsid w:val="003D1214"/>
    <w:rsid w:val="003D127F"/>
    <w:rsid w:val="003D19EA"/>
    <w:rsid w:val="003D3056"/>
    <w:rsid w:val="003D326D"/>
    <w:rsid w:val="003D420F"/>
    <w:rsid w:val="003D4706"/>
    <w:rsid w:val="003D49D4"/>
    <w:rsid w:val="003D7089"/>
    <w:rsid w:val="003D73A8"/>
    <w:rsid w:val="003D7D20"/>
    <w:rsid w:val="003D7DF1"/>
    <w:rsid w:val="003D7E02"/>
    <w:rsid w:val="003E018B"/>
    <w:rsid w:val="003E0458"/>
    <w:rsid w:val="003E058A"/>
    <w:rsid w:val="003E0808"/>
    <w:rsid w:val="003E09B6"/>
    <w:rsid w:val="003E0B90"/>
    <w:rsid w:val="003E10AD"/>
    <w:rsid w:val="003E119F"/>
    <w:rsid w:val="003E11ED"/>
    <w:rsid w:val="003E1711"/>
    <w:rsid w:val="003E17FD"/>
    <w:rsid w:val="003E1941"/>
    <w:rsid w:val="003E1DE3"/>
    <w:rsid w:val="003E23F1"/>
    <w:rsid w:val="003E252F"/>
    <w:rsid w:val="003E28F2"/>
    <w:rsid w:val="003E2E19"/>
    <w:rsid w:val="003E3A75"/>
    <w:rsid w:val="003E5111"/>
    <w:rsid w:val="003E5BAC"/>
    <w:rsid w:val="003E6CF0"/>
    <w:rsid w:val="003E6E2B"/>
    <w:rsid w:val="003E7937"/>
    <w:rsid w:val="003F01BE"/>
    <w:rsid w:val="003F021F"/>
    <w:rsid w:val="003F080C"/>
    <w:rsid w:val="003F0A01"/>
    <w:rsid w:val="003F0BF0"/>
    <w:rsid w:val="003F0DA6"/>
    <w:rsid w:val="003F120A"/>
    <w:rsid w:val="003F145A"/>
    <w:rsid w:val="003F19CD"/>
    <w:rsid w:val="003F1A32"/>
    <w:rsid w:val="003F1AE9"/>
    <w:rsid w:val="003F1D8C"/>
    <w:rsid w:val="003F345E"/>
    <w:rsid w:val="003F451B"/>
    <w:rsid w:val="003F56D3"/>
    <w:rsid w:val="003F59A4"/>
    <w:rsid w:val="003F652A"/>
    <w:rsid w:val="003F68CE"/>
    <w:rsid w:val="003F69BC"/>
    <w:rsid w:val="003F71A0"/>
    <w:rsid w:val="003F72A3"/>
    <w:rsid w:val="003F7674"/>
    <w:rsid w:val="003F7720"/>
    <w:rsid w:val="003F7800"/>
    <w:rsid w:val="003F7990"/>
    <w:rsid w:val="003F7FD6"/>
    <w:rsid w:val="00400414"/>
    <w:rsid w:val="00400453"/>
    <w:rsid w:val="00400FA4"/>
    <w:rsid w:val="00401D58"/>
    <w:rsid w:val="004027A0"/>
    <w:rsid w:val="00404784"/>
    <w:rsid w:val="00405288"/>
    <w:rsid w:val="0040602B"/>
    <w:rsid w:val="00406158"/>
    <w:rsid w:val="00406172"/>
    <w:rsid w:val="0040633A"/>
    <w:rsid w:val="004076E5"/>
    <w:rsid w:val="00407D74"/>
    <w:rsid w:val="00407DDF"/>
    <w:rsid w:val="00410989"/>
    <w:rsid w:val="00411A6F"/>
    <w:rsid w:val="00412AD2"/>
    <w:rsid w:val="00413636"/>
    <w:rsid w:val="0041422A"/>
    <w:rsid w:val="00414800"/>
    <w:rsid w:val="004151D9"/>
    <w:rsid w:val="00415CAA"/>
    <w:rsid w:val="004162E3"/>
    <w:rsid w:val="004167E8"/>
    <w:rsid w:val="0041726B"/>
    <w:rsid w:val="004173B9"/>
    <w:rsid w:val="00417C46"/>
    <w:rsid w:val="00417EEB"/>
    <w:rsid w:val="004200EB"/>
    <w:rsid w:val="00420B16"/>
    <w:rsid w:val="0042102A"/>
    <w:rsid w:val="00421160"/>
    <w:rsid w:val="00421748"/>
    <w:rsid w:val="00422369"/>
    <w:rsid w:val="00422AD1"/>
    <w:rsid w:val="004235BE"/>
    <w:rsid w:val="004238B2"/>
    <w:rsid w:val="004242EB"/>
    <w:rsid w:val="004249BE"/>
    <w:rsid w:val="0042500D"/>
    <w:rsid w:val="0042503B"/>
    <w:rsid w:val="00425601"/>
    <w:rsid w:val="004259A2"/>
    <w:rsid w:val="004266A1"/>
    <w:rsid w:val="004266D2"/>
    <w:rsid w:val="00427933"/>
    <w:rsid w:val="004279B7"/>
    <w:rsid w:val="0043021A"/>
    <w:rsid w:val="004311AF"/>
    <w:rsid w:val="00431B56"/>
    <w:rsid w:val="00431FE7"/>
    <w:rsid w:val="00432313"/>
    <w:rsid w:val="00432977"/>
    <w:rsid w:val="00432AB1"/>
    <w:rsid w:val="00433700"/>
    <w:rsid w:val="004345F6"/>
    <w:rsid w:val="00434C5F"/>
    <w:rsid w:val="004354BA"/>
    <w:rsid w:val="00435A15"/>
    <w:rsid w:val="00435DAA"/>
    <w:rsid w:val="00436169"/>
    <w:rsid w:val="00436CE6"/>
    <w:rsid w:val="00436DA0"/>
    <w:rsid w:val="004372D8"/>
    <w:rsid w:val="0043761F"/>
    <w:rsid w:val="004377F5"/>
    <w:rsid w:val="004378C9"/>
    <w:rsid w:val="00440864"/>
    <w:rsid w:val="00441E60"/>
    <w:rsid w:val="00442C16"/>
    <w:rsid w:val="004430CD"/>
    <w:rsid w:val="0044545C"/>
    <w:rsid w:val="004457D6"/>
    <w:rsid w:val="00445DF5"/>
    <w:rsid w:val="004463A5"/>
    <w:rsid w:val="00447076"/>
    <w:rsid w:val="00447DA9"/>
    <w:rsid w:val="00447E2E"/>
    <w:rsid w:val="00450C50"/>
    <w:rsid w:val="00451723"/>
    <w:rsid w:val="004517F3"/>
    <w:rsid w:val="0045183F"/>
    <w:rsid w:val="0045239D"/>
    <w:rsid w:val="004526DB"/>
    <w:rsid w:val="00453C84"/>
    <w:rsid w:val="004541DB"/>
    <w:rsid w:val="00454667"/>
    <w:rsid w:val="00454AF8"/>
    <w:rsid w:val="00455A36"/>
    <w:rsid w:val="00455B7E"/>
    <w:rsid w:val="00455DCE"/>
    <w:rsid w:val="00456302"/>
    <w:rsid w:val="00456B78"/>
    <w:rsid w:val="0045716D"/>
    <w:rsid w:val="00457DFB"/>
    <w:rsid w:val="0046004B"/>
    <w:rsid w:val="004605B4"/>
    <w:rsid w:val="00460981"/>
    <w:rsid w:val="00460B02"/>
    <w:rsid w:val="00461145"/>
    <w:rsid w:val="00461658"/>
    <w:rsid w:val="00462390"/>
    <w:rsid w:val="0046305E"/>
    <w:rsid w:val="00463688"/>
    <w:rsid w:val="00463AF9"/>
    <w:rsid w:val="004644D8"/>
    <w:rsid w:val="00464AE1"/>
    <w:rsid w:val="00464DCC"/>
    <w:rsid w:val="00465061"/>
    <w:rsid w:val="00465D38"/>
    <w:rsid w:val="00465F74"/>
    <w:rsid w:val="004677D7"/>
    <w:rsid w:val="00467957"/>
    <w:rsid w:val="00467C74"/>
    <w:rsid w:val="00467D66"/>
    <w:rsid w:val="00470387"/>
    <w:rsid w:val="00471790"/>
    <w:rsid w:val="0047180A"/>
    <w:rsid w:val="00472160"/>
    <w:rsid w:val="004728B6"/>
    <w:rsid w:val="00472D1E"/>
    <w:rsid w:val="004738D3"/>
    <w:rsid w:val="00474284"/>
    <w:rsid w:val="00474768"/>
    <w:rsid w:val="0047496D"/>
    <w:rsid w:val="00474DD1"/>
    <w:rsid w:val="00475042"/>
    <w:rsid w:val="00475344"/>
    <w:rsid w:val="00475CF6"/>
    <w:rsid w:val="00475EE2"/>
    <w:rsid w:val="00477F34"/>
    <w:rsid w:val="004801FA"/>
    <w:rsid w:val="00480696"/>
    <w:rsid w:val="00480AAD"/>
    <w:rsid w:val="004814B2"/>
    <w:rsid w:val="004815C4"/>
    <w:rsid w:val="00481B8E"/>
    <w:rsid w:val="00481F53"/>
    <w:rsid w:val="0048280D"/>
    <w:rsid w:val="00482C57"/>
    <w:rsid w:val="004834CE"/>
    <w:rsid w:val="004838BC"/>
    <w:rsid w:val="00484B96"/>
    <w:rsid w:val="00484C6B"/>
    <w:rsid w:val="0048503C"/>
    <w:rsid w:val="004855A2"/>
    <w:rsid w:val="00485961"/>
    <w:rsid w:val="00485D31"/>
    <w:rsid w:val="0048688F"/>
    <w:rsid w:val="00486D4A"/>
    <w:rsid w:val="00486DE9"/>
    <w:rsid w:val="004871C3"/>
    <w:rsid w:val="0048783E"/>
    <w:rsid w:val="00487905"/>
    <w:rsid w:val="0049049F"/>
    <w:rsid w:val="0049077B"/>
    <w:rsid w:val="00490BC5"/>
    <w:rsid w:val="0049138F"/>
    <w:rsid w:val="00491975"/>
    <w:rsid w:val="00492AEA"/>
    <w:rsid w:val="00492C38"/>
    <w:rsid w:val="00492EAB"/>
    <w:rsid w:val="004930B2"/>
    <w:rsid w:val="00493111"/>
    <w:rsid w:val="00493160"/>
    <w:rsid w:val="004934E2"/>
    <w:rsid w:val="00493650"/>
    <w:rsid w:val="00493A82"/>
    <w:rsid w:val="00493DAF"/>
    <w:rsid w:val="00494058"/>
    <w:rsid w:val="0049422A"/>
    <w:rsid w:val="00495170"/>
    <w:rsid w:val="00495457"/>
    <w:rsid w:val="0049629E"/>
    <w:rsid w:val="0049632D"/>
    <w:rsid w:val="0049645C"/>
    <w:rsid w:val="00496775"/>
    <w:rsid w:val="004970B8"/>
    <w:rsid w:val="0049715B"/>
    <w:rsid w:val="00497891"/>
    <w:rsid w:val="00497EE2"/>
    <w:rsid w:val="004A0220"/>
    <w:rsid w:val="004A0363"/>
    <w:rsid w:val="004A0F4A"/>
    <w:rsid w:val="004A14EA"/>
    <w:rsid w:val="004A1DA3"/>
    <w:rsid w:val="004A1E47"/>
    <w:rsid w:val="004A21DD"/>
    <w:rsid w:val="004A3AF6"/>
    <w:rsid w:val="004A3BAC"/>
    <w:rsid w:val="004A3F20"/>
    <w:rsid w:val="004A4099"/>
    <w:rsid w:val="004A4A66"/>
    <w:rsid w:val="004A5008"/>
    <w:rsid w:val="004A61EE"/>
    <w:rsid w:val="004A65EF"/>
    <w:rsid w:val="004A6966"/>
    <w:rsid w:val="004A6AD7"/>
    <w:rsid w:val="004A6FD7"/>
    <w:rsid w:val="004A7074"/>
    <w:rsid w:val="004A728A"/>
    <w:rsid w:val="004A7A20"/>
    <w:rsid w:val="004A7BDE"/>
    <w:rsid w:val="004A7DDD"/>
    <w:rsid w:val="004B0822"/>
    <w:rsid w:val="004B123D"/>
    <w:rsid w:val="004B1457"/>
    <w:rsid w:val="004B1BC0"/>
    <w:rsid w:val="004B1F13"/>
    <w:rsid w:val="004B1FC4"/>
    <w:rsid w:val="004B26AB"/>
    <w:rsid w:val="004B3C20"/>
    <w:rsid w:val="004B3DA5"/>
    <w:rsid w:val="004B42D6"/>
    <w:rsid w:val="004B456B"/>
    <w:rsid w:val="004B471B"/>
    <w:rsid w:val="004B4CA2"/>
    <w:rsid w:val="004B4E81"/>
    <w:rsid w:val="004B569B"/>
    <w:rsid w:val="004B59A5"/>
    <w:rsid w:val="004B5BA6"/>
    <w:rsid w:val="004B6005"/>
    <w:rsid w:val="004B6741"/>
    <w:rsid w:val="004B71D8"/>
    <w:rsid w:val="004B7794"/>
    <w:rsid w:val="004B7EC8"/>
    <w:rsid w:val="004C0D08"/>
    <w:rsid w:val="004C0D56"/>
    <w:rsid w:val="004C0FA7"/>
    <w:rsid w:val="004C1466"/>
    <w:rsid w:val="004C1E44"/>
    <w:rsid w:val="004C21B4"/>
    <w:rsid w:val="004C269C"/>
    <w:rsid w:val="004C2B60"/>
    <w:rsid w:val="004C3CF4"/>
    <w:rsid w:val="004C40A2"/>
    <w:rsid w:val="004C44E8"/>
    <w:rsid w:val="004C5BC5"/>
    <w:rsid w:val="004C6660"/>
    <w:rsid w:val="004C6B2D"/>
    <w:rsid w:val="004C6C3D"/>
    <w:rsid w:val="004C7519"/>
    <w:rsid w:val="004C7918"/>
    <w:rsid w:val="004C7CA0"/>
    <w:rsid w:val="004D0250"/>
    <w:rsid w:val="004D0974"/>
    <w:rsid w:val="004D1459"/>
    <w:rsid w:val="004D1463"/>
    <w:rsid w:val="004D1528"/>
    <w:rsid w:val="004D22BC"/>
    <w:rsid w:val="004D2545"/>
    <w:rsid w:val="004D33D9"/>
    <w:rsid w:val="004D41EF"/>
    <w:rsid w:val="004D4444"/>
    <w:rsid w:val="004D6A00"/>
    <w:rsid w:val="004D6B3C"/>
    <w:rsid w:val="004D6BE1"/>
    <w:rsid w:val="004D6F96"/>
    <w:rsid w:val="004D7408"/>
    <w:rsid w:val="004D7AEC"/>
    <w:rsid w:val="004D7C0C"/>
    <w:rsid w:val="004E01B7"/>
    <w:rsid w:val="004E0445"/>
    <w:rsid w:val="004E0D97"/>
    <w:rsid w:val="004E0F3B"/>
    <w:rsid w:val="004E1302"/>
    <w:rsid w:val="004E2280"/>
    <w:rsid w:val="004E374A"/>
    <w:rsid w:val="004E3E6E"/>
    <w:rsid w:val="004E43D7"/>
    <w:rsid w:val="004E4F2E"/>
    <w:rsid w:val="004E5187"/>
    <w:rsid w:val="004E59BB"/>
    <w:rsid w:val="004E618E"/>
    <w:rsid w:val="004E6FC2"/>
    <w:rsid w:val="004E7045"/>
    <w:rsid w:val="004E74B6"/>
    <w:rsid w:val="004E7CFE"/>
    <w:rsid w:val="004F0041"/>
    <w:rsid w:val="004F0570"/>
    <w:rsid w:val="004F0839"/>
    <w:rsid w:val="004F0C51"/>
    <w:rsid w:val="004F0DF2"/>
    <w:rsid w:val="004F0E70"/>
    <w:rsid w:val="004F0F60"/>
    <w:rsid w:val="004F108E"/>
    <w:rsid w:val="004F28DE"/>
    <w:rsid w:val="004F2FFC"/>
    <w:rsid w:val="004F373A"/>
    <w:rsid w:val="004F3825"/>
    <w:rsid w:val="004F3ADA"/>
    <w:rsid w:val="004F427A"/>
    <w:rsid w:val="004F44BC"/>
    <w:rsid w:val="004F4501"/>
    <w:rsid w:val="004F4AB7"/>
    <w:rsid w:val="004F4C0B"/>
    <w:rsid w:val="004F4EF7"/>
    <w:rsid w:val="004F5D00"/>
    <w:rsid w:val="004F5D65"/>
    <w:rsid w:val="004F5D8B"/>
    <w:rsid w:val="004F6B49"/>
    <w:rsid w:val="00500ACC"/>
    <w:rsid w:val="005012C8"/>
    <w:rsid w:val="0050151C"/>
    <w:rsid w:val="00502133"/>
    <w:rsid w:val="00502D03"/>
    <w:rsid w:val="00502F96"/>
    <w:rsid w:val="0050308C"/>
    <w:rsid w:val="00503492"/>
    <w:rsid w:val="0050366F"/>
    <w:rsid w:val="00504637"/>
    <w:rsid w:val="00504F83"/>
    <w:rsid w:val="00505417"/>
    <w:rsid w:val="005056BB"/>
    <w:rsid w:val="005057CB"/>
    <w:rsid w:val="00505EBD"/>
    <w:rsid w:val="00506118"/>
    <w:rsid w:val="00506479"/>
    <w:rsid w:val="00506728"/>
    <w:rsid w:val="00506995"/>
    <w:rsid w:val="0050734B"/>
    <w:rsid w:val="0050776E"/>
    <w:rsid w:val="005078E2"/>
    <w:rsid w:val="005079EE"/>
    <w:rsid w:val="00507AE6"/>
    <w:rsid w:val="00507BE7"/>
    <w:rsid w:val="00510877"/>
    <w:rsid w:val="00510E53"/>
    <w:rsid w:val="00511048"/>
    <w:rsid w:val="005115E0"/>
    <w:rsid w:val="00512084"/>
    <w:rsid w:val="005123DB"/>
    <w:rsid w:val="005126E7"/>
    <w:rsid w:val="005138B8"/>
    <w:rsid w:val="00513D23"/>
    <w:rsid w:val="00513FED"/>
    <w:rsid w:val="00514717"/>
    <w:rsid w:val="005150A9"/>
    <w:rsid w:val="00516694"/>
    <w:rsid w:val="00516DE6"/>
    <w:rsid w:val="00517733"/>
    <w:rsid w:val="00517825"/>
    <w:rsid w:val="00517D91"/>
    <w:rsid w:val="00517DA8"/>
    <w:rsid w:val="0052018D"/>
    <w:rsid w:val="00520395"/>
    <w:rsid w:val="0052103A"/>
    <w:rsid w:val="005210E4"/>
    <w:rsid w:val="005217B9"/>
    <w:rsid w:val="005217EB"/>
    <w:rsid w:val="00523181"/>
    <w:rsid w:val="005234C3"/>
    <w:rsid w:val="00523C9B"/>
    <w:rsid w:val="00524DEE"/>
    <w:rsid w:val="00525377"/>
    <w:rsid w:val="005264B7"/>
    <w:rsid w:val="00526890"/>
    <w:rsid w:val="00526CDD"/>
    <w:rsid w:val="00526CEA"/>
    <w:rsid w:val="00530687"/>
    <w:rsid w:val="00531243"/>
    <w:rsid w:val="00531695"/>
    <w:rsid w:val="0053170C"/>
    <w:rsid w:val="0053191F"/>
    <w:rsid w:val="00532288"/>
    <w:rsid w:val="005322EA"/>
    <w:rsid w:val="005329ED"/>
    <w:rsid w:val="0053419C"/>
    <w:rsid w:val="00534BA8"/>
    <w:rsid w:val="00534D1D"/>
    <w:rsid w:val="00534DE2"/>
    <w:rsid w:val="0053543C"/>
    <w:rsid w:val="00535571"/>
    <w:rsid w:val="0053588F"/>
    <w:rsid w:val="00535DF5"/>
    <w:rsid w:val="0053744F"/>
    <w:rsid w:val="0053756B"/>
    <w:rsid w:val="00537974"/>
    <w:rsid w:val="0054023F"/>
    <w:rsid w:val="0054074D"/>
    <w:rsid w:val="005408C5"/>
    <w:rsid w:val="00540DF2"/>
    <w:rsid w:val="00541E7D"/>
    <w:rsid w:val="005421DA"/>
    <w:rsid w:val="00542432"/>
    <w:rsid w:val="00543AB1"/>
    <w:rsid w:val="00543CD1"/>
    <w:rsid w:val="00544677"/>
    <w:rsid w:val="005447F1"/>
    <w:rsid w:val="0054496C"/>
    <w:rsid w:val="00546B95"/>
    <w:rsid w:val="00547121"/>
    <w:rsid w:val="00547322"/>
    <w:rsid w:val="0054749C"/>
    <w:rsid w:val="00547E66"/>
    <w:rsid w:val="0055006A"/>
    <w:rsid w:val="00550626"/>
    <w:rsid w:val="00551235"/>
    <w:rsid w:val="005518FF"/>
    <w:rsid w:val="00552316"/>
    <w:rsid w:val="005523A6"/>
    <w:rsid w:val="005523E0"/>
    <w:rsid w:val="00552408"/>
    <w:rsid w:val="00552B19"/>
    <w:rsid w:val="0055467B"/>
    <w:rsid w:val="005550E6"/>
    <w:rsid w:val="00555EF1"/>
    <w:rsid w:val="00555F85"/>
    <w:rsid w:val="00556931"/>
    <w:rsid w:val="00556A35"/>
    <w:rsid w:val="00556F9C"/>
    <w:rsid w:val="00557814"/>
    <w:rsid w:val="00557A58"/>
    <w:rsid w:val="00557F41"/>
    <w:rsid w:val="00557F7F"/>
    <w:rsid w:val="00560768"/>
    <w:rsid w:val="005609CB"/>
    <w:rsid w:val="00560C88"/>
    <w:rsid w:val="00560E4B"/>
    <w:rsid w:val="00560FE3"/>
    <w:rsid w:val="005619F1"/>
    <w:rsid w:val="00561A7C"/>
    <w:rsid w:val="00562140"/>
    <w:rsid w:val="0056311F"/>
    <w:rsid w:val="00563361"/>
    <w:rsid w:val="00564361"/>
    <w:rsid w:val="00564399"/>
    <w:rsid w:val="00564AE9"/>
    <w:rsid w:val="00564C00"/>
    <w:rsid w:val="00565F9D"/>
    <w:rsid w:val="0056609A"/>
    <w:rsid w:val="0056657B"/>
    <w:rsid w:val="00566AD3"/>
    <w:rsid w:val="00570058"/>
    <w:rsid w:val="005718C6"/>
    <w:rsid w:val="0057198C"/>
    <w:rsid w:val="00571C1A"/>
    <w:rsid w:val="00571E31"/>
    <w:rsid w:val="0057203B"/>
    <w:rsid w:val="005721A1"/>
    <w:rsid w:val="0057272C"/>
    <w:rsid w:val="0057315F"/>
    <w:rsid w:val="005737DC"/>
    <w:rsid w:val="00573C31"/>
    <w:rsid w:val="00573F06"/>
    <w:rsid w:val="005743B4"/>
    <w:rsid w:val="00574864"/>
    <w:rsid w:val="005759BE"/>
    <w:rsid w:val="005759E3"/>
    <w:rsid w:val="005764BB"/>
    <w:rsid w:val="0057699F"/>
    <w:rsid w:val="00576A4B"/>
    <w:rsid w:val="00576DCC"/>
    <w:rsid w:val="005773AA"/>
    <w:rsid w:val="005773BA"/>
    <w:rsid w:val="005777E0"/>
    <w:rsid w:val="005808DA"/>
    <w:rsid w:val="0058090D"/>
    <w:rsid w:val="00581F7F"/>
    <w:rsid w:val="005822F8"/>
    <w:rsid w:val="00582DE8"/>
    <w:rsid w:val="00583145"/>
    <w:rsid w:val="0058332A"/>
    <w:rsid w:val="0058336A"/>
    <w:rsid w:val="0058343C"/>
    <w:rsid w:val="005839A6"/>
    <w:rsid w:val="00583B46"/>
    <w:rsid w:val="00583BD0"/>
    <w:rsid w:val="00583FFD"/>
    <w:rsid w:val="00584E02"/>
    <w:rsid w:val="005850E3"/>
    <w:rsid w:val="005852EB"/>
    <w:rsid w:val="005857AA"/>
    <w:rsid w:val="00585864"/>
    <w:rsid w:val="005858D8"/>
    <w:rsid w:val="00585C0E"/>
    <w:rsid w:val="00586EEF"/>
    <w:rsid w:val="00587941"/>
    <w:rsid w:val="00590143"/>
    <w:rsid w:val="0059022F"/>
    <w:rsid w:val="00590BCA"/>
    <w:rsid w:val="00590E43"/>
    <w:rsid w:val="00590FFF"/>
    <w:rsid w:val="005925E5"/>
    <w:rsid w:val="0059263D"/>
    <w:rsid w:val="0059391F"/>
    <w:rsid w:val="005940CE"/>
    <w:rsid w:val="0059417F"/>
    <w:rsid w:val="0059522C"/>
    <w:rsid w:val="005954DA"/>
    <w:rsid w:val="00595938"/>
    <w:rsid w:val="005962A1"/>
    <w:rsid w:val="005969F2"/>
    <w:rsid w:val="00597224"/>
    <w:rsid w:val="00597488"/>
    <w:rsid w:val="005A0BC1"/>
    <w:rsid w:val="005A0E59"/>
    <w:rsid w:val="005A12DC"/>
    <w:rsid w:val="005A185A"/>
    <w:rsid w:val="005A1B61"/>
    <w:rsid w:val="005A2351"/>
    <w:rsid w:val="005A242C"/>
    <w:rsid w:val="005A2440"/>
    <w:rsid w:val="005A24E0"/>
    <w:rsid w:val="005A3B0B"/>
    <w:rsid w:val="005A3B85"/>
    <w:rsid w:val="005A4719"/>
    <w:rsid w:val="005A5727"/>
    <w:rsid w:val="005A5B6A"/>
    <w:rsid w:val="005A5C5B"/>
    <w:rsid w:val="005A5D0D"/>
    <w:rsid w:val="005A5E9A"/>
    <w:rsid w:val="005A5F66"/>
    <w:rsid w:val="005A78AE"/>
    <w:rsid w:val="005A7FD2"/>
    <w:rsid w:val="005B0A42"/>
    <w:rsid w:val="005B17C3"/>
    <w:rsid w:val="005B22B7"/>
    <w:rsid w:val="005B3652"/>
    <w:rsid w:val="005B368C"/>
    <w:rsid w:val="005B38AC"/>
    <w:rsid w:val="005B3924"/>
    <w:rsid w:val="005B3BD0"/>
    <w:rsid w:val="005B4627"/>
    <w:rsid w:val="005B4B10"/>
    <w:rsid w:val="005B54CC"/>
    <w:rsid w:val="005B6041"/>
    <w:rsid w:val="005B618D"/>
    <w:rsid w:val="005B6693"/>
    <w:rsid w:val="005B6EF3"/>
    <w:rsid w:val="005B713D"/>
    <w:rsid w:val="005B72C4"/>
    <w:rsid w:val="005C0C72"/>
    <w:rsid w:val="005C107F"/>
    <w:rsid w:val="005C1817"/>
    <w:rsid w:val="005C2329"/>
    <w:rsid w:val="005C2503"/>
    <w:rsid w:val="005C2E17"/>
    <w:rsid w:val="005C37FE"/>
    <w:rsid w:val="005C3C2C"/>
    <w:rsid w:val="005C40F4"/>
    <w:rsid w:val="005C450A"/>
    <w:rsid w:val="005C46DB"/>
    <w:rsid w:val="005C528B"/>
    <w:rsid w:val="005C61AC"/>
    <w:rsid w:val="005C6D1E"/>
    <w:rsid w:val="005C7940"/>
    <w:rsid w:val="005C79B9"/>
    <w:rsid w:val="005C7ACF"/>
    <w:rsid w:val="005C7BEA"/>
    <w:rsid w:val="005C7D69"/>
    <w:rsid w:val="005D09AA"/>
    <w:rsid w:val="005D0ED5"/>
    <w:rsid w:val="005D1EA6"/>
    <w:rsid w:val="005D29A6"/>
    <w:rsid w:val="005D3A47"/>
    <w:rsid w:val="005D3A67"/>
    <w:rsid w:val="005D3D64"/>
    <w:rsid w:val="005D41C0"/>
    <w:rsid w:val="005D4215"/>
    <w:rsid w:val="005D4686"/>
    <w:rsid w:val="005D48B4"/>
    <w:rsid w:val="005D5219"/>
    <w:rsid w:val="005D525A"/>
    <w:rsid w:val="005D543E"/>
    <w:rsid w:val="005D6816"/>
    <w:rsid w:val="005D716E"/>
    <w:rsid w:val="005D746F"/>
    <w:rsid w:val="005D7B7B"/>
    <w:rsid w:val="005D7D26"/>
    <w:rsid w:val="005E0021"/>
    <w:rsid w:val="005E00FC"/>
    <w:rsid w:val="005E0608"/>
    <w:rsid w:val="005E179A"/>
    <w:rsid w:val="005E2891"/>
    <w:rsid w:val="005E2DCF"/>
    <w:rsid w:val="005E3795"/>
    <w:rsid w:val="005E3C80"/>
    <w:rsid w:val="005E3D96"/>
    <w:rsid w:val="005E404E"/>
    <w:rsid w:val="005E437B"/>
    <w:rsid w:val="005E456B"/>
    <w:rsid w:val="005E4A55"/>
    <w:rsid w:val="005E4DC1"/>
    <w:rsid w:val="005E4EA3"/>
    <w:rsid w:val="005E4FC5"/>
    <w:rsid w:val="005E569A"/>
    <w:rsid w:val="005E5F3D"/>
    <w:rsid w:val="005E69ED"/>
    <w:rsid w:val="005F0499"/>
    <w:rsid w:val="005F0B2B"/>
    <w:rsid w:val="005F0D5C"/>
    <w:rsid w:val="005F1227"/>
    <w:rsid w:val="005F134A"/>
    <w:rsid w:val="005F20F3"/>
    <w:rsid w:val="005F2ADC"/>
    <w:rsid w:val="005F356A"/>
    <w:rsid w:val="005F3AEC"/>
    <w:rsid w:val="005F3E3C"/>
    <w:rsid w:val="005F3E87"/>
    <w:rsid w:val="005F42A6"/>
    <w:rsid w:val="005F43D5"/>
    <w:rsid w:val="005F46DA"/>
    <w:rsid w:val="005F4B19"/>
    <w:rsid w:val="005F4D79"/>
    <w:rsid w:val="005F50DF"/>
    <w:rsid w:val="005F54BF"/>
    <w:rsid w:val="005F5524"/>
    <w:rsid w:val="005F585F"/>
    <w:rsid w:val="005F5E90"/>
    <w:rsid w:val="005F6253"/>
    <w:rsid w:val="005F632D"/>
    <w:rsid w:val="005F64EC"/>
    <w:rsid w:val="005F6E71"/>
    <w:rsid w:val="005F7582"/>
    <w:rsid w:val="005F7A03"/>
    <w:rsid w:val="005F7AB9"/>
    <w:rsid w:val="005F7F7D"/>
    <w:rsid w:val="00600348"/>
    <w:rsid w:val="00601957"/>
    <w:rsid w:val="00601B4B"/>
    <w:rsid w:val="00601F24"/>
    <w:rsid w:val="006022FF"/>
    <w:rsid w:val="006028CC"/>
    <w:rsid w:val="00602AA4"/>
    <w:rsid w:val="00602F20"/>
    <w:rsid w:val="0060314F"/>
    <w:rsid w:val="00603C13"/>
    <w:rsid w:val="00603C98"/>
    <w:rsid w:val="00603DBD"/>
    <w:rsid w:val="00603F59"/>
    <w:rsid w:val="00603FAE"/>
    <w:rsid w:val="006049AA"/>
    <w:rsid w:val="0060509B"/>
    <w:rsid w:val="00605631"/>
    <w:rsid w:val="00605723"/>
    <w:rsid w:val="00605B2D"/>
    <w:rsid w:val="006065E1"/>
    <w:rsid w:val="00607098"/>
    <w:rsid w:val="006072D0"/>
    <w:rsid w:val="00607456"/>
    <w:rsid w:val="0060766B"/>
    <w:rsid w:val="00607DAD"/>
    <w:rsid w:val="00610F92"/>
    <w:rsid w:val="00611162"/>
    <w:rsid w:val="00611690"/>
    <w:rsid w:val="00611F38"/>
    <w:rsid w:val="00611FF8"/>
    <w:rsid w:val="0061270E"/>
    <w:rsid w:val="00612D74"/>
    <w:rsid w:val="00613345"/>
    <w:rsid w:val="006151E8"/>
    <w:rsid w:val="00615E5B"/>
    <w:rsid w:val="00615F0E"/>
    <w:rsid w:val="00620B3A"/>
    <w:rsid w:val="006219BA"/>
    <w:rsid w:val="00622535"/>
    <w:rsid w:val="00622B01"/>
    <w:rsid w:val="00623558"/>
    <w:rsid w:val="00623A6B"/>
    <w:rsid w:val="00623F49"/>
    <w:rsid w:val="00624062"/>
    <w:rsid w:val="00624288"/>
    <w:rsid w:val="00624703"/>
    <w:rsid w:val="00624843"/>
    <w:rsid w:val="00624C1D"/>
    <w:rsid w:val="00624ED8"/>
    <w:rsid w:val="00624F4C"/>
    <w:rsid w:val="0062531C"/>
    <w:rsid w:val="00625B72"/>
    <w:rsid w:val="00625BD4"/>
    <w:rsid w:val="00626C03"/>
    <w:rsid w:val="0062752D"/>
    <w:rsid w:val="00627F2F"/>
    <w:rsid w:val="00630D72"/>
    <w:rsid w:val="00634039"/>
    <w:rsid w:val="00634255"/>
    <w:rsid w:val="006342B6"/>
    <w:rsid w:val="0063496F"/>
    <w:rsid w:val="00634E67"/>
    <w:rsid w:val="006352A4"/>
    <w:rsid w:val="0063646B"/>
    <w:rsid w:val="0063648F"/>
    <w:rsid w:val="00637AC9"/>
    <w:rsid w:val="00637CDF"/>
    <w:rsid w:val="00637F24"/>
    <w:rsid w:val="006403A1"/>
    <w:rsid w:val="00640EA7"/>
    <w:rsid w:val="006410B9"/>
    <w:rsid w:val="00641771"/>
    <w:rsid w:val="006428DB"/>
    <w:rsid w:val="00642939"/>
    <w:rsid w:val="00643312"/>
    <w:rsid w:val="00643932"/>
    <w:rsid w:val="00643B6E"/>
    <w:rsid w:val="00643C0A"/>
    <w:rsid w:val="00644AAD"/>
    <w:rsid w:val="00644CE2"/>
    <w:rsid w:val="006453AE"/>
    <w:rsid w:val="00645FD5"/>
    <w:rsid w:val="00647123"/>
    <w:rsid w:val="00647130"/>
    <w:rsid w:val="00647133"/>
    <w:rsid w:val="006474A4"/>
    <w:rsid w:val="00647A70"/>
    <w:rsid w:val="0065025B"/>
    <w:rsid w:val="006503B8"/>
    <w:rsid w:val="00650606"/>
    <w:rsid w:val="0065074F"/>
    <w:rsid w:val="00650D5B"/>
    <w:rsid w:val="006512BE"/>
    <w:rsid w:val="00651325"/>
    <w:rsid w:val="006515DE"/>
    <w:rsid w:val="00651CFE"/>
    <w:rsid w:val="00651D7F"/>
    <w:rsid w:val="006523B2"/>
    <w:rsid w:val="006527EB"/>
    <w:rsid w:val="00652869"/>
    <w:rsid w:val="00653269"/>
    <w:rsid w:val="00653586"/>
    <w:rsid w:val="006537F0"/>
    <w:rsid w:val="00653B03"/>
    <w:rsid w:val="00654855"/>
    <w:rsid w:val="00654A49"/>
    <w:rsid w:val="00654A68"/>
    <w:rsid w:val="00654B88"/>
    <w:rsid w:val="00654CB3"/>
    <w:rsid w:val="00656053"/>
    <w:rsid w:val="00656648"/>
    <w:rsid w:val="00656819"/>
    <w:rsid w:val="00656837"/>
    <w:rsid w:val="00656F97"/>
    <w:rsid w:val="00657349"/>
    <w:rsid w:val="00657976"/>
    <w:rsid w:val="0065797C"/>
    <w:rsid w:val="006579A4"/>
    <w:rsid w:val="006605CD"/>
    <w:rsid w:val="00660E2F"/>
    <w:rsid w:val="0066232E"/>
    <w:rsid w:val="0066292F"/>
    <w:rsid w:val="00662F7C"/>
    <w:rsid w:val="00663320"/>
    <w:rsid w:val="00663837"/>
    <w:rsid w:val="0066403C"/>
    <w:rsid w:val="006649EA"/>
    <w:rsid w:val="00664A4C"/>
    <w:rsid w:val="00665068"/>
    <w:rsid w:val="00665BD5"/>
    <w:rsid w:val="00665BFC"/>
    <w:rsid w:val="006661A8"/>
    <w:rsid w:val="0066663E"/>
    <w:rsid w:val="00666BB2"/>
    <w:rsid w:val="00666D0A"/>
    <w:rsid w:val="0066776A"/>
    <w:rsid w:val="00667C5A"/>
    <w:rsid w:val="00667F1D"/>
    <w:rsid w:val="0067021F"/>
    <w:rsid w:val="0067028A"/>
    <w:rsid w:val="00670895"/>
    <w:rsid w:val="00671906"/>
    <w:rsid w:val="00671B1B"/>
    <w:rsid w:val="00671C26"/>
    <w:rsid w:val="00671E5D"/>
    <w:rsid w:val="00672A79"/>
    <w:rsid w:val="00672BE4"/>
    <w:rsid w:val="00672BF7"/>
    <w:rsid w:val="00672DAA"/>
    <w:rsid w:val="00675287"/>
    <w:rsid w:val="00675861"/>
    <w:rsid w:val="00675D80"/>
    <w:rsid w:val="0067608F"/>
    <w:rsid w:val="00676433"/>
    <w:rsid w:val="00676599"/>
    <w:rsid w:val="00677998"/>
    <w:rsid w:val="00677AEE"/>
    <w:rsid w:val="00680091"/>
    <w:rsid w:val="006800F4"/>
    <w:rsid w:val="006807D9"/>
    <w:rsid w:val="00680FD0"/>
    <w:rsid w:val="00681092"/>
    <w:rsid w:val="00681761"/>
    <w:rsid w:val="0068197A"/>
    <w:rsid w:val="00681A87"/>
    <w:rsid w:val="00682D94"/>
    <w:rsid w:val="00683181"/>
    <w:rsid w:val="006836E8"/>
    <w:rsid w:val="0068391F"/>
    <w:rsid w:val="006839C9"/>
    <w:rsid w:val="00683DD3"/>
    <w:rsid w:val="006841A0"/>
    <w:rsid w:val="00684FB0"/>
    <w:rsid w:val="00685431"/>
    <w:rsid w:val="006855C3"/>
    <w:rsid w:val="00685E23"/>
    <w:rsid w:val="00685F24"/>
    <w:rsid w:val="0068672B"/>
    <w:rsid w:val="00686856"/>
    <w:rsid w:val="00686E72"/>
    <w:rsid w:val="00687FBF"/>
    <w:rsid w:val="00690FCF"/>
    <w:rsid w:val="006910E6"/>
    <w:rsid w:val="00691D65"/>
    <w:rsid w:val="00692B87"/>
    <w:rsid w:val="00693C61"/>
    <w:rsid w:val="00694499"/>
    <w:rsid w:val="00694501"/>
    <w:rsid w:val="00694AAE"/>
    <w:rsid w:val="006950E4"/>
    <w:rsid w:val="0069520D"/>
    <w:rsid w:val="006973E6"/>
    <w:rsid w:val="0069769C"/>
    <w:rsid w:val="00697940"/>
    <w:rsid w:val="006A1E97"/>
    <w:rsid w:val="006A2084"/>
    <w:rsid w:val="006A27E1"/>
    <w:rsid w:val="006A2DB0"/>
    <w:rsid w:val="006A2FD9"/>
    <w:rsid w:val="006A3452"/>
    <w:rsid w:val="006A38E7"/>
    <w:rsid w:val="006A3A58"/>
    <w:rsid w:val="006A42D9"/>
    <w:rsid w:val="006A45DE"/>
    <w:rsid w:val="006A4DBB"/>
    <w:rsid w:val="006A5213"/>
    <w:rsid w:val="006A56A5"/>
    <w:rsid w:val="006A5D53"/>
    <w:rsid w:val="006A6101"/>
    <w:rsid w:val="006A6916"/>
    <w:rsid w:val="006B0C9F"/>
    <w:rsid w:val="006B18D0"/>
    <w:rsid w:val="006B20B1"/>
    <w:rsid w:val="006B20E4"/>
    <w:rsid w:val="006B2A7F"/>
    <w:rsid w:val="006B2C56"/>
    <w:rsid w:val="006B2C93"/>
    <w:rsid w:val="006B337B"/>
    <w:rsid w:val="006B36B3"/>
    <w:rsid w:val="006B37FB"/>
    <w:rsid w:val="006B4066"/>
    <w:rsid w:val="006B5590"/>
    <w:rsid w:val="006B633B"/>
    <w:rsid w:val="006B6705"/>
    <w:rsid w:val="006B681E"/>
    <w:rsid w:val="006B6D74"/>
    <w:rsid w:val="006B726B"/>
    <w:rsid w:val="006B7A87"/>
    <w:rsid w:val="006C167A"/>
    <w:rsid w:val="006C1EC8"/>
    <w:rsid w:val="006C2367"/>
    <w:rsid w:val="006C244D"/>
    <w:rsid w:val="006C2569"/>
    <w:rsid w:val="006C259B"/>
    <w:rsid w:val="006C3993"/>
    <w:rsid w:val="006C4032"/>
    <w:rsid w:val="006C4BD4"/>
    <w:rsid w:val="006C4C40"/>
    <w:rsid w:val="006C4E02"/>
    <w:rsid w:val="006C5029"/>
    <w:rsid w:val="006C5745"/>
    <w:rsid w:val="006C5748"/>
    <w:rsid w:val="006C6664"/>
    <w:rsid w:val="006C6A5E"/>
    <w:rsid w:val="006C7639"/>
    <w:rsid w:val="006D0023"/>
    <w:rsid w:val="006D0904"/>
    <w:rsid w:val="006D0A54"/>
    <w:rsid w:val="006D168F"/>
    <w:rsid w:val="006D1D3F"/>
    <w:rsid w:val="006D2CA7"/>
    <w:rsid w:val="006D3156"/>
    <w:rsid w:val="006D36D3"/>
    <w:rsid w:val="006D3AD4"/>
    <w:rsid w:val="006D3FD2"/>
    <w:rsid w:val="006D4219"/>
    <w:rsid w:val="006D46F2"/>
    <w:rsid w:val="006D52E1"/>
    <w:rsid w:val="006D5651"/>
    <w:rsid w:val="006D589F"/>
    <w:rsid w:val="006D5E78"/>
    <w:rsid w:val="006D612C"/>
    <w:rsid w:val="006D655F"/>
    <w:rsid w:val="006D67FD"/>
    <w:rsid w:val="006D6899"/>
    <w:rsid w:val="006D7209"/>
    <w:rsid w:val="006E0436"/>
    <w:rsid w:val="006E188B"/>
    <w:rsid w:val="006E1E9A"/>
    <w:rsid w:val="006E24D3"/>
    <w:rsid w:val="006E3AC0"/>
    <w:rsid w:val="006E3D1D"/>
    <w:rsid w:val="006E457F"/>
    <w:rsid w:val="006E4730"/>
    <w:rsid w:val="006E5291"/>
    <w:rsid w:val="006E55E4"/>
    <w:rsid w:val="006E60C2"/>
    <w:rsid w:val="006E6525"/>
    <w:rsid w:val="006E680D"/>
    <w:rsid w:val="006E6D37"/>
    <w:rsid w:val="006F0120"/>
    <w:rsid w:val="006F03E0"/>
    <w:rsid w:val="006F141C"/>
    <w:rsid w:val="006F27D6"/>
    <w:rsid w:val="006F331D"/>
    <w:rsid w:val="006F3865"/>
    <w:rsid w:val="006F434E"/>
    <w:rsid w:val="006F4488"/>
    <w:rsid w:val="006F461F"/>
    <w:rsid w:val="006F4A62"/>
    <w:rsid w:val="006F528F"/>
    <w:rsid w:val="006F5AF9"/>
    <w:rsid w:val="006F5D49"/>
    <w:rsid w:val="006F5DF3"/>
    <w:rsid w:val="006F60C0"/>
    <w:rsid w:val="006F6C81"/>
    <w:rsid w:val="006F71CA"/>
    <w:rsid w:val="006F73FB"/>
    <w:rsid w:val="00700AB9"/>
    <w:rsid w:val="00700BB6"/>
    <w:rsid w:val="00700C63"/>
    <w:rsid w:val="00701F73"/>
    <w:rsid w:val="007023CF"/>
    <w:rsid w:val="00702577"/>
    <w:rsid w:val="00703773"/>
    <w:rsid w:val="00703A05"/>
    <w:rsid w:val="00703C4A"/>
    <w:rsid w:val="00706024"/>
    <w:rsid w:val="007065DE"/>
    <w:rsid w:val="007072C1"/>
    <w:rsid w:val="00707306"/>
    <w:rsid w:val="007073B1"/>
    <w:rsid w:val="00707B72"/>
    <w:rsid w:val="007105C1"/>
    <w:rsid w:val="00711128"/>
    <w:rsid w:val="00712EEF"/>
    <w:rsid w:val="00714054"/>
    <w:rsid w:val="007140D2"/>
    <w:rsid w:val="0071424F"/>
    <w:rsid w:val="00714434"/>
    <w:rsid w:val="00714715"/>
    <w:rsid w:val="007154A8"/>
    <w:rsid w:val="007154F3"/>
    <w:rsid w:val="00716432"/>
    <w:rsid w:val="00717CAB"/>
    <w:rsid w:val="00720987"/>
    <w:rsid w:val="00720AB7"/>
    <w:rsid w:val="00720D13"/>
    <w:rsid w:val="007211EB"/>
    <w:rsid w:val="00722CC1"/>
    <w:rsid w:val="00722E66"/>
    <w:rsid w:val="00722EEA"/>
    <w:rsid w:val="007231AA"/>
    <w:rsid w:val="007237A7"/>
    <w:rsid w:val="00724223"/>
    <w:rsid w:val="00724233"/>
    <w:rsid w:val="00724263"/>
    <w:rsid w:val="007252AE"/>
    <w:rsid w:val="007254AE"/>
    <w:rsid w:val="00725859"/>
    <w:rsid w:val="00725FC1"/>
    <w:rsid w:val="00726048"/>
    <w:rsid w:val="00726778"/>
    <w:rsid w:val="007272EF"/>
    <w:rsid w:val="0072798D"/>
    <w:rsid w:val="00727AD0"/>
    <w:rsid w:val="00727D85"/>
    <w:rsid w:val="00727FAE"/>
    <w:rsid w:val="0073052A"/>
    <w:rsid w:val="00730B13"/>
    <w:rsid w:val="00732468"/>
    <w:rsid w:val="00732F19"/>
    <w:rsid w:val="007330B7"/>
    <w:rsid w:val="00733D09"/>
    <w:rsid w:val="00734296"/>
    <w:rsid w:val="00735E86"/>
    <w:rsid w:val="00735FD9"/>
    <w:rsid w:val="00736294"/>
    <w:rsid w:val="007366EF"/>
    <w:rsid w:val="0073700A"/>
    <w:rsid w:val="00737311"/>
    <w:rsid w:val="0073769B"/>
    <w:rsid w:val="007400C5"/>
    <w:rsid w:val="00740182"/>
    <w:rsid w:val="0074035E"/>
    <w:rsid w:val="00740A8B"/>
    <w:rsid w:val="00741DA8"/>
    <w:rsid w:val="00742FAF"/>
    <w:rsid w:val="00743F8C"/>
    <w:rsid w:val="007456EF"/>
    <w:rsid w:val="00747061"/>
    <w:rsid w:val="007501A5"/>
    <w:rsid w:val="0075025B"/>
    <w:rsid w:val="007505A1"/>
    <w:rsid w:val="00750EE7"/>
    <w:rsid w:val="007515A0"/>
    <w:rsid w:val="0075193A"/>
    <w:rsid w:val="00752177"/>
    <w:rsid w:val="00752910"/>
    <w:rsid w:val="00752B8D"/>
    <w:rsid w:val="007537F3"/>
    <w:rsid w:val="00753C53"/>
    <w:rsid w:val="0075508C"/>
    <w:rsid w:val="0075696D"/>
    <w:rsid w:val="0075726A"/>
    <w:rsid w:val="00757F77"/>
    <w:rsid w:val="007600F1"/>
    <w:rsid w:val="0076078F"/>
    <w:rsid w:val="007611F2"/>
    <w:rsid w:val="007618C2"/>
    <w:rsid w:val="00761F7D"/>
    <w:rsid w:val="0076218A"/>
    <w:rsid w:val="007623D0"/>
    <w:rsid w:val="0076242D"/>
    <w:rsid w:val="00762FEA"/>
    <w:rsid w:val="00763201"/>
    <w:rsid w:val="007632D8"/>
    <w:rsid w:val="00763F97"/>
    <w:rsid w:val="00764C5C"/>
    <w:rsid w:val="00764CAC"/>
    <w:rsid w:val="00764D28"/>
    <w:rsid w:val="00764DB5"/>
    <w:rsid w:val="00765303"/>
    <w:rsid w:val="007656FB"/>
    <w:rsid w:val="00765763"/>
    <w:rsid w:val="00765885"/>
    <w:rsid w:val="00765C92"/>
    <w:rsid w:val="00765CBE"/>
    <w:rsid w:val="00765DE5"/>
    <w:rsid w:val="00766051"/>
    <w:rsid w:val="00766645"/>
    <w:rsid w:val="00766B4E"/>
    <w:rsid w:val="00766B63"/>
    <w:rsid w:val="00766C7A"/>
    <w:rsid w:val="007671B4"/>
    <w:rsid w:val="007702AF"/>
    <w:rsid w:val="0077052D"/>
    <w:rsid w:val="007706AC"/>
    <w:rsid w:val="00770BC8"/>
    <w:rsid w:val="007711B3"/>
    <w:rsid w:val="00772082"/>
    <w:rsid w:val="00772476"/>
    <w:rsid w:val="00772545"/>
    <w:rsid w:val="00772E9B"/>
    <w:rsid w:val="00772F4F"/>
    <w:rsid w:val="00773235"/>
    <w:rsid w:val="0077394F"/>
    <w:rsid w:val="007743A3"/>
    <w:rsid w:val="007749B6"/>
    <w:rsid w:val="00774B16"/>
    <w:rsid w:val="00774B64"/>
    <w:rsid w:val="0077557C"/>
    <w:rsid w:val="00775906"/>
    <w:rsid w:val="00775A2C"/>
    <w:rsid w:val="00775CA4"/>
    <w:rsid w:val="00775D09"/>
    <w:rsid w:val="0077614F"/>
    <w:rsid w:val="0077675B"/>
    <w:rsid w:val="00776942"/>
    <w:rsid w:val="007775D7"/>
    <w:rsid w:val="00781645"/>
    <w:rsid w:val="007817AD"/>
    <w:rsid w:val="007820F7"/>
    <w:rsid w:val="0078212F"/>
    <w:rsid w:val="0078368D"/>
    <w:rsid w:val="007837F3"/>
    <w:rsid w:val="00783877"/>
    <w:rsid w:val="00783A01"/>
    <w:rsid w:val="00783F79"/>
    <w:rsid w:val="00784367"/>
    <w:rsid w:val="00784450"/>
    <w:rsid w:val="0078482A"/>
    <w:rsid w:val="00784C18"/>
    <w:rsid w:val="00787257"/>
    <w:rsid w:val="007879C6"/>
    <w:rsid w:val="00787DEF"/>
    <w:rsid w:val="00790703"/>
    <w:rsid w:val="00790D3C"/>
    <w:rsid w:val="00791D8F"/>
    <w:rsid w:val="007932AA"/>
    <w:rsid w:val="0079342B"/>
    <w:rsid w:val="007945BB"/>
    <w:rsid w:val="00794D92"/>
    <w:rsid w:val="0079523B"/>
    <w:rsid w:val="00795F16"/>
    <w:rsid w:val="00796BC4"/>
    <w:rsid w:val="007972F1"/>
    <w:rsid w:val="007A0063"/>
    <w:rsid w:val="007A0373"/>
    <w:rsid w:val="007A055D"/>
    <w:rsid w:val="007A10A3"/>
    <w:rsid w:val="007A18E4"/>
    <w:rsid w:val="007A1953"/>
    <w:rsid w:val="007A1D07"/>
    <w:rsid w:val="007A283B"/>
    <w:rsid w:val="007A2910"/>
    <w:rsid w:val="007A4665"/>
    <w:rsid w:val="007A5469"/>
    <w:rsid w:val="007A689B"/>
    <w:rsid w:val="007A6E03"/>
    <w:rsid w:val="007A6EE7"/>
    <w:rsid w:val="007A75CE"/>
    <w:rsid w:val="007A7C63"/>
    <w:rsid w:val="007A7D6B"/>
    <w:rsid w:val="007B0015"/>
    <w:rsid w:val="007B01ED"/>
    <w:rsid w:val="007B0322"/>
    <w:rsid w:val="007B0663"/>
    <w:rsid w:val="007B0EB3"/>
    <w:rsid w:val="007B0EEF"/>
    <w:rsid w:val="007B1953"/>
    <w:rsid w:val="007B244F"/>
    <w:rsid w:val="007B24FE"/>
    <w:rsid w:val="007B25B4"/>
    <w:rsid w:val="007B29A3"/>
    <w:rsid w:val="007B2EED"/>
    <w:rsid w:val="007B3079"/>
    <w:rsid w:val="007B37B0"/>
    <w:rsid w:val="007B3D6B"/>
    <w:rsid w:val="007B458D"/>
    <w:rsid w:val="007B488C"/>
    <w:rsid w:val="007B5438"/>
    <w:rsid w:val="007B5637"/>
    <w:rsid w:val="007B71CC"/>
    <w:rsid w:val="007B74EF"/>
    <w:rsid w:val="007B75AC"/>
    <w:rsid w:val="007C05ED"/>
    <w:rsid w:val="007C0F8C"/>
    <w:rsid w:val="007C141B"/>
    <w:rsid w:val="007C18CE"/>
    <w:rsid w:val="007C2C00"/>
    <w:rsid w:val="007C2F59"/>
    <w:rsid w:val="007C3004"/>
    <w:rsid w:val="007C35F4"/>
    <w:rsid w:val="007C38F3"/>
    <w:rsid w:val="007C49E3"/>
    <w:rsid w:val="007C4AE8"/>
    <w:rsid w:val="007C6222"/>
    <w:rsid w:val="007C63DB"/>
    <w:rsid w:val="007C6679"/>
    <w:rsid w:val="007D0619"/>
    <w:rsid w:val="007D09BC"/>
    <w:rsid w:val="007D09CC"/>
    <w:rsid w:val="007D0F86"/>
    <w:rsid w:val="007D132D"/>
    <w:rsid w:val="007D2076"/>
    <w:rsid w:val="007D2346"/>
    <w:rsid w:val="007D26BA"/>
    <w:rsid w:val="007D296F"/>
    <w:rsid w:val="007D3068"/>
    <w:rsid w:val="007D31BC"/>
    <w:rsid w:val="007D3ADF"/>
    <w:rsid w:val="007D4236"/>
    <w:rsid w:val="007D4F5B"/>
    <w:rsid w:val="007D57B0"/>
    <w:rsid w:val="007D57FC"/>
    <w:rsid w:val="007D5F34"/>
    <w:rsid w:val="007D64A3"/>
    <w:rsid w:val="007D6F5C"/>
    <w:rsid w:val="007D720E"/>
    <w:rsid w:val="007D73A3"/>
    <w:rsid w:val="007D770C"/>
    <w:rsid w:val="007D7DBF"/>
    <w:rsid w:val="007E0FAC"/>
    <w:rsid w:val="007E11BE"/>
    <w:rsid w:val="007E2BC3"/>
    <w:rsid w:val="007E346B"/>
    <w:rsid w:val="007E417E"/>
    <w:rsid w:val="007E4452"/>
    <w:rsid w:val="007E48DB"/>
    <w:rsid w:val="007E4E50"/>
    <w:rsid w:val="007E4F4C"/>
    <w:rsid w:val="007E56EE"/>
    <w:rsid w:val="007E5802"/>
    <w:rsid w:val="007E606B"/>
    <w:rsid w:val="007E62B1"/>
    <w:rsid w:val="007E72CB"/>
    <w:rsid w:val="007E7697"/>
    <w:rsid w:val="007F0358"/>
    <w:rsid w:val="007F0983"/>
    <w:rsid w:val="007F0BBD"/>
    <w:rsid w:val="007F0BD4"/>
    <w:rsid w:val="007F0F09"/>
    <w:rsid w:val="007F1673"/>
    <w:rsid w:val="007F1CF7"/>
    <w:rsid w:val="007F1D5C"/>
    <w:rsid w:val="007F2424"/>
    <w:rsid w:val="007F2427"/>
    <w:rsid w:val="007F245A"/>
    <w:rsid w:val="007F2F09"/>
    <w:rsid w:val="007F32F8"/>
    <w:rsid w:val="007F343A"/>
    <w:rsid w:val="007F3B8B"/>
    <w:rsid w:val="007F3D81"/>
    <w:rsid w:val="007F4229"/>
    <w:rsid w:val="007F4239"/>
    <w:rsid w:val="007F4570"/>
    <w:rsid w:val="007F45B5"/>
    <w:rsid w:val="007F55BA"/>
    <w:rsid w:val="00800479"/>
    <w:rsid w:val="00800FC1"/>
    <w:rsid w:val="008013DE"/>
    <w:rsid w:val="00801436"/>
    <w:rsid w:val="008038C1"/>
    <w:rsid w:val="00803F39"/>
    <w:rsid w:val="00804067"/>
    <w:rsid w:val="00804196"/>
    <w:rsid w:val="008048B0"/>
    <w:rsid w:val="00804BF9"/>
    <w:rsid w:val="008052C4"/>
    <w:rsid w:val="00806BA9"/>
    <w:rsid w:val="008075B9"/>
    <w:rsid w:val="008079C6"/>
    <w:rsid w:val="00807A41"/>
    <w:rsid w:val="008102AC"/>
    <w:rsid w:val="00810415"/>
    <w:rsid w:val="008105A6"/>
    <w:rsid w:val="008107B0"/>
    <w:rsid w:val="008115F1"/>
    <w:rsid w:val="00811778"/>
    <w:rsid w:val="008122F8"/>
    <w:rsid w:val="00812B4E"/>
    <w:rsid w:val="00812E06"/>
    <w:rsid w:val="00813D95"/>
    <w:rsid w:val="008148D5"/>
    <w:rsid w:val="00815893"/>
    <w:rsid w:val="00815C52"/>
    <w:rsid w:val="008164BF"/>
    <w:rsid w:val="008171B6"/>
    <w:rsid w:val="00817743"/>
    <w:rsid w:val="0081780F"/>
    <w:rsid w:val="00820740"/>
    <w:rsid w:val="00820D13"/>
    <w:rsid w:val="00820EC3"/>
    <w:rsid w:val="00820F59"/>
    <w:rsid w:val="0082104A"/>
    <w:rsid w:val="008215A2"/>
    <w:rsid w:val="00822DD2"/>
    <w:rsid w:val="008232C9"/>
    <w:rsid w:val="00823E7E"/>
    <w:rsid w:val="00824A19"/>
    <w:rsid w:val="00824E93"/>
    <w:rsid w:val="0082522F"/>
    <w:rsid w:val="008252E8"/>
    <w:rsid w:val="00825F14"/>
    <w:rsid w:val="00825F44"/>
    <w:rsid w:val="00826409"/>
    <w:rsid w:val="00826CBB"/>
    <w:rsid w:val="008275BC"/>
    <w:rsid w:val="00827C1A"/>
    <w:rsid w:val="00830117"/>
    <w:rsid w:val="00832804"/>
    <w:rsid w:val="00832FF6"/>
    <w:rsid w:val="00833905"/>
    <w:rsid w:val="0083406D"/>
    <w:rsid w:val="008343D9"/>
    <w:rsid w:val="008354EB"/>
    <w:rsid w:val="008358B3"/>
    <w:rsid w:val="00835BB5"/>
    <w:rsid w:val="0083609B"/>
    <w:rsid w:val="0083663D"/>
    <w:rsid w:val="008375D0"/>
    <w:rsid w:val="00837782"/>
    <w:rsid w:val="00837D55"/>
    <w:rsid w:val="00840FC0"/>
    <w:rsid w:val="00840FD7"/>
    <w:rsid w:val="0084124B"/>
    <w:rsid w:val="00841CF0"/>
    <w:rsid w:val="008420FC"/>
    <w:rsid w:val="00842704"/>
    <w:rsid w:val="00842DF2"/>
    <w:rsid w:val="0084412B"/>
    <w:rsid w:val="008441F9"/>
    <w:rsid w:val="0084425F"/>
    <w:rsid w:val="008448B6"/>
    <w:rsid w:val="00844FED"/>
    <w:rsid w:val="00845E56"/>
    <w:rsid w:val="00846C75"/>
    <w:rsid w:val="00846F3C"/>
    <w:rsid w:val="00847918"/>
    <w:rsid w:val="008504B7"/>
    <w:rsid w:val="00850ADE"/>
    <w:rsid w:val="00850D9A"/>
    <w:rsid w:val="00850F3A"/>
    <w:rsid w:val="00851990"/>
    <w:rsid w:val="008529D1"/>
    <w:rsid w:val="00852BA2"/>
    <w:rsid w:val="00852E4E"/>
    <w:rsid w:val="00852F2D"/>
    <w:rsid w:val="00854B99"/>
    <w:rsid w:val="00854FEB"/>
    <w:rsid w:val="008553CA"/>
    <w:rsid w:val="008554E2"/>
    <w:rsid w:val="00855692"/>
    <w:rsid w:val="00855F3A"/>
    <w:rsid w:val="00856A7A"/>
    <w:rsid w:val="00856C22"/>
    <w:rsid w:val="00857950"/>
    <w:rsid w:val="00857BA6"/>
    <w:rsid w:val="00857CC5"/>
    <w:rsid w:val="00857DC1"/>
    <w:rsid w:val="00860D98"/>
    <w:rsid w:val="00861265"/>
    <w:rsid w:val="008613AF"/>
    <w:rsid w:val="00861750"/>
    <w:rsid w:val="00861803"/>
    <w:rsid w:val="00861830"/>
    <w:rsid w:val="008618A5"/>
    <w:rsid w:val="00861A15"/>
    <w:rsid w:val="00862873"/>
    <w:rsid w:val="00862A68"/>
    <w:rsid w:val="0086393C"/>
    <w:rsid w:val="00863A41"/>
    <w:rsid w:val="00864092"/>
    <w:rsid w:val="00864A77"/>
    <w:rsid w:val="00864EB9"/>
    <w:rsid w:val="00865125"/>
    <w:rsid w:val="00866155"/>
    <w:rsid w:val="008663D7"/>
    <w:rsid w:val="00866CF1"/>
    <w:rsid w:val="00867A38"/>
    <w:rsid w:val="0087023F"/>
    <w:rsid w:val="008703D4"/>
    <w:rsid w:val="0087092C"/>
    <w:rsid w:val="00870A5F"/>
    <w:rsid w:val="008742A1"/>
    <w:rsid w:val="008742E4"/>
    <w:rsid w:val="00874D9E"/>
    <w:rsid w:val="00874ECC"/>
    <w:rsid w:val="00875172"/>
    <w:rsid w:val="0087540D"/>
    <w:rsid w:val="0087548B"/>
    <w:rsid w:val="00875A71"/>
    <w:rsid w:val="00876AAD"/>
    <w:rsid w:val="00877AB1"/>
    <w:rsid w:val="008809A5"/>
    <w:rsid w:val="00881061"/>
    <w:rsid w:val="0088128B"/>
    <w:rsid w:val="008817C0"/>
    <w:rsid w:val="00881D69"/>
    <w:rsid w:val="008826D2"/>
    <w:rsid w:val="00882A67"/>
    <w:rsid w:val="00882C9C"/>
    <w:rsid w:val="008832AE"/>
    <w:rsid w:val="008838E2"/>
    <w:rsid w:val="008838F0"/>
    <w:rsid w:val="00883977"/>
    <w:rsid w:val="00883B40"/>
    <w:rsid w:val="0088669C"/>
    <w:rsid w:val="008871A4"/>
    <w:rsid w:val="00890A46"/>
    <w:rsid w:val="00890C93"/>
    <w:rsid w:val="008914C2"/>
    <w:rsid w:val="008919E9"/>
    <w:rsid w:val="00892550"/>
    <w:rsid w:val="00892CA3"/>
    <w:rsid w:val="008933DC"/>
    <w:rsid w:val="00893625"/>
    <w:rsid w:val="00893800"/>
    <w:rsid w:val="00893B84"/>
    <w:rsid w:val="0089422B"/>
    <w:rsid w:val="00894A56"/>
    <w:rsid w:val="00894BFD"/>
    <w:rsid w:val="00894D00"/>
    <w:rsid w:val="00894F45"/>
    <w:rsid w:val="00895008"/>
    <w:rsid w:val="008952A0"/>
    <w:rsid w:val="00895B5A"/>
    <w:rsid w:val="00896121"/>
    <w:rsid w:val="00896259"/>
    <w:rsid w:val="008962F8"/>
    <w:rsid w:val="00896CA9"/>
    <w:rsid w:val="00896FF8"/>
    <w:rsid w:val="00897D43"/>
    <w:rsid w:val="008A0E60"/>
    <w:rsid w:val="008A0F65"/>
    <w:rsid w:val="008A1360"/>
    <w:rsid w:val="008A171E"/>
    <w:rsid w:val="008A24D9"/>
    <w:rsid w:val="008A2BBB"/>
    <w:rsid w:val="008A372E"/>
    <w:rsid w:val="008A3A70"/>
    <w:rsid w:val="008A3B7E"/>
    <w:rsid w:val="008A3C57"/>
    <w:rsid w:val="008A3D33"/>
    <w:rsid w:val="008A4B3B"/>
    <w:rsid w:val="008A5397"/>
    <w:rsid w:val="008A5FCA"/>
    <w:rsid w:val="008A6197"/>
    <w:rsid w:val="008A651D"/>
    <w:rsid w:val="008A6683"/>
    <w:rsid w:val="008A69A1"/>
    <w:rsid w:val="008A6C7F"/>
    <w:rsid w:val="008A6CE9"/>
    <w:rsid w:val="008A73BE"/>
    <w:rsid w:val="008A77CD"/>
    <w:rsid w:val="008A7E59"/>
    <w:rsid w:val="008B009B"/>
    <w:rsid w:val="008B028F"/>
    <w:rsid w:val="008B0325"/>
    <w:rsid w:val="008B0D04"/>
    <w:rsid w:val="008B1166"/>
    <w:rsid w:val="008B143F"/>
    <w:rsid w:val="008B1446"/>
    <w:rsid w:val="008B1C68"/>
    <w:rsid w:val="008B203A"/>
    <w:rsid w:val="008B252C"/>
    <w:rsid w:val="008B29FB"/>
    <w:rsid w:val="008B3AB9"/>
    <w:rsid w:val="008B3C90"/>
    <w:rsid w:val="008B4923"/>
    <w:rsid w:val="008B53D8"/>
    <w:rsid w:val="008B5508"/>
    <w:rsid w:val="008B6EC8"/>
    <w:rsid w:val="008B7403"/>
    <w:rsid w:val="008B749D"/>
    <w:rsid w:val="008B755F"/>
    <w:rsid w:val="008B7940"/>
    <w:rsid w:val="008B7A5C"/>
    <w:rsid w:val="008B7C4A"/>
    <w:rsid w:val="008C0DBC"/>
    <w:rsid w:val="008C1CA5"/>
    <w:rsid w:val="008C3306"/>
    <w:rsid w:val="008C36A9"/>
    <w:rsid w:val="008C4441"/>
    <w:rsid w:val="008C45D1"/>
    <w:rsid w:val="008C5C16"/>
    <w:rsid w:val="008C6E1F"/>
    <w:rsid w:val="008C6E49"/>
    <w:rsid w:val="008C7A50"/>
    <w:rsid w:val="008C7C1C"/>
    <w:rsid w:val="008D0B13"/>
    <w:rsid w:val="008D18E9"/>
    <w:rsid w:val="008D1DE9"/>
    <w:rsid w:val="008D2DDE"/>
    <w:rsid w:val="008D3271"/>
    <w:rsid w:val="008D34B1"/>
    <w:rsid w:val="008D367B"/>
    <w:rsid w:val="008D417C"/>
    <w:rsid w:val="008D46AB"/>
    <w:rsid w:val="008D47A2"/>
    <w:rsid w:val="008D4F10"/>
    <w:rsid w:val="008D5969"/>
    <w:rsid w:val="008D5FF4"/>
    <w:rsid w:val="008D60CC"/>
    <w:rsid w:val="008D6437"/>
    <w:rsid w:val="008D646E"/>
    <w:rsid w:val="008D6B19"/>
    <w:rsid w:val="008D71FA"/>
    <w:rsid w:val="008E06B5"/>
    <w:rsid w:val="008E08BB"/>
    <w:rsid w:val="008E0E61"/>
    <w:rsid w:val="008E1028"/>
    <w:rsid w:val="008E15F7"/>
    <w:rsid w:val="008E1861"/>
    <w:rsid w:val="008E2D6B"/>
    <w:rsid w:val="008E2D9B"/>
    <w:rsid w:val="008E32D7"/>
    <w:rsid w:val="008E3775"/>
    <w:rsid w:val="008E4259"/>
    <w:rsid w:val="008E4441"/>
    <w:rsid w:val="008E4AA2"/>
    <w:rsid w:val="008E4DFD"/>
    <w:rsid w:val="008E4FAC"/>
    <w:rsid w:val="008E7115"/>
    <w:rsid w:val="008E7139"/>
    <w:rsid w:val="008E7610"/>
    <w:rsid w:val="008E7858"/>
    <w:rsid w:val="008E79A4"/>
    <w:rsid w:val="008F0CD2"/>
    <w:rsid w:val="008F13D0"/>
    <w:rsid w:val="008F27F4"/>
    <w:rsid w:val="008F297A"/>
    <w:rsid w:val="008F2D42"/>
    <w:rsid w:val="008F2FD8"/>
    <w:rsid w:val="008F4277"/>
    <w:rsid w:val="008F478D"/>
    <w:rsid w:val="008F4E1A"/>
    <w:rsid w:val="008F53DE"/>
    <w:rsid w:val="008F5AFB"/>
    <w:rsid w:val="008F5BC5"/>
    <w:rsid w:val="008F641B"/>
    <w:rsid w:val="008F6865"/>
    <w:rsid w:val="008F69D7"/>
    <w:rsid w:val="008F6BF0"/>
    <w:rsid w:val="008F737C"/>
    <w:rsid w:val="008F74C9"/>
    <w:rsid w:val="008F7621"/>
    <w:rsid w:val="008F7E14"/>
    <w:rsid w:val="008F7E8D"/>
    <w:rsid w:val="009004F7"/>
    <w:rsid w:val="00900B93"/>
    <w:rsid w:val="009010A4"/>
    <w:rsid w:val="009014A1"/>
    <w:rsid w:val="0090181E"/>
    <w:rsid w:val="00901BE7"/>
    <w:rsid w:val="00901E7D"/>
    <w:rsid w:val="0090268D"/>
    <w:rsid w:val="00903A48"/>
    <w:rsid w:val="00904782"/>
    <w:rsid w:val="00904C1E"/>
    <w:rsid w:val="00905493"/>
    <w:rsid w:val="009057AE"/>
    <w:rsid w:val="00905A0C"/>
    <w:rsid w:val="00906402"/>
    <w:rsid w:val="009070A5"/>
    <w:rsid w:val="00907681"/>
    <w:rsid w:val="009076A5"/>
    <w:rsid w:val="00907992"/>
    <w:rsid w:val="00907D70"/>
    <w:rsid w:val="00907E97"/>
    <w:rsid w:val="00910433"/>
    <w:rsid w:val="00910C2C"/>
    <w:rsid w:val="00910D84"/>
    <w:rsid w:val="00910F59"/>
    <w:rsid w:val="0091132A"/>
    <w:rsid w:val="00911553"/>
    <w:rsid w:val="0091170E"/>
    <w:rsid w:val="0091236F"/>
    <w:rsid w:val="00912823"/>
    <w:rsid w:val="00912C3B"/>
    <w:rsid w:val="00913E87"/>
    <w:rsid w:val="00913FB5"/>
    <w:rsid w:val="009143F2"/>
    <w:rsid w:val="0091475D"/>
    <w:rsid w:val="00914A77"/>
    <w:rsid w:val="00915A6E"/>
    <w:rsid w:val="00915BEC"/>
    <w:rsid w:val="00916047"/>
    <w:rsid w:val="009163D9"/>
    <w:rsid w:val="009164EA"/>
    <w:rsid w:val="0091680C"/>
    <w:rsid w:val="00916F62"/>
    <w:rsid w:val="00917144"/>
    <w:rsid w:val="0091786F"/>
    <w:rsid w:val="00920112"/>
    <w:rsid w:val="00922439"/>
    <w:rsid w:val="00922E39"/>
    <w:rsid w:val="00923460"/>
    <w:rsid w:val="00923740"/>
    <w:rsid w:val="00923BD6"/>
    <w:rsid w:val="00923DE1"/>
    <w:rsid w:val="00923F6B"/>
    <w:rsid w:val="00924051"/>
    <w:rsid w:val="00924697"/>
    <w:rsid w:val="00926153"/>
    <w:rsid w:val="0092655E"/>
    <w:rsid w:val="0092685B"/>
    <w:rsid w:val="00926B25"/>
    <w:rsid w:val="00926F1E"/>
    <w:rsid w:val="009275AD"/>
    <w:rsid w:val="00927D1C"/>
    <w:rsid w:val="009309E0"/>
    <w:rsid w:val="00930A18"/>
    <w:rsid w:val="00930A22"/>
    <w:rsid w:val="009312F4"/>
    <w:rsid w:val="009314EB"/>
    <w:rsid w:val="0093207D"/>
    <w:rsid w:val="00932D64"/>
    <w:rsid w:val="00932F11"/>
    <w:rsid w:val="00933496"/>
    <w:rsid w:val="00933AD7"/>
    <w:rsid w:val="009341F4"/>
    <w:rsid w:val="00934244"/>
    <w:rsid w:val="00934952"/>
    <w:rsid w:val="00935242"/>
    <w:rsid w:val="009353A8"/>
    <w:rsid w:val="00935B01"/>
    <w:rsid w:val="009365B7"/>
    <w:rsid w:val="009377DB"/>
    <w:rsid w:val="009378EC"/>
    <w:rsid w:val="0093793D"/>
    <w:rsid w:val="00937B0F"/>
    <w:rsid w:val="00937B90"/>
    <w:rsid w:val="00937BE9"/>
    <w:rsid w:val="00940650"/>
    <w:rsid w:val="009406A1"/>
    <w:rsid w:val="00940747"/>
    <w:rsid w:val="00940C32"/>
    <w:rsid w:val="009413F8"/>
    <w:rsid w:val="009416C5"/>
    <w:rsid w:val="00941F76"/>
    <w:rsid w:val="00942415"/>
    <w:rsid w:val="00942AC4"/>
    <w:rsid w:val="00942B03"/>
    <w:rsid w:val="00943281"/>
    <w:rsid w:val="009438C7"/>
    <w:rsid w:val="00943DD6"/>
    <w:rsid w:val="00944115"/>
    <w:rsid w:val="009441E9"/>
    <w:rsid w:val="009453BD"/>
    <w:rsid w:val="00945CF3"/>
    <w:rsid w:val="00945D43"/>
    <w:rsid w:val="00946489"/>
    <w:rsid w:val="00946650"/>
    <w:rsid w:val="00946870"/>
    <w:rsid w:val="00946D67"/>
    <w:rsid w:val="00946E1C"/>
    <w:rsid w:val="00946E4B"/>
    <w:rsid w:val="00947738"/>
    <w:rsid w:val="0095008E"/>
    <w:rsid w:val="009501D1"/>
    <w:rsid w:val="0095039E"/>
    <w:rsid w:val="009505C4"/>
    <w:rsid w:val="00950E1C"/>
    <w:rsid w:val="0095113E"/>
    <w:rsid w:val="009515DB"/>
    <w:rsid w:val="009515E2"/>
    <w:rsid w:val="00952B56"/>
    <w:rsid w:val="00952B62"/>
    <w:rsid w:val="00952E93"/>
    <w:rsid w:val="00952EE6"/>
    <w:rsid w:val="00953779"/>
    <w:rsid w:val="00953A89"/>
    <w:rsid w:val="00953D8A"/>
    <w:rsid w:val="00955730"/>
    <w:rsid w:val="00955E5E"/>
    <w:rsid w:val="009569FF"/>
    <w:rsid w:val="00956C99"/>
    <w:rsid w:val="00956CBA"/>
    <w:rsid w:val="00956EC6"/>
    <w:rsid w:val="009571D6"/>
    <w:rsid w:val="009575C0"/>
    <w:rsid w:val="00957E57"/>
    <w:rsid w:val="00957F43"/>
    <w:rsid w:val="00960327"/>
    <w:rsid w:val="0096047C"/>
    <w:rsid w:val="0096077D"/>
    <w:rsid w:val="00960907"/>
    <w:rsid w:val="00960BD2"/>
    <w:rsid w:val="009619A2"/>
    <w:rsid w:val="00961D97"/>
    <w:rsid w:val="00961E52"/>
    <w:rsid w:val="00962273"/>
    <w:rsid w:val="009632DD"/>
    <w:rsid w:val="00963C34"/>
    <w:rsid w:val="009640C1"/>
    <w:rsid w:val="00964151"/>
    <w:rsid w:val="009643F3"/>
    <w:rsid w:val="00964656"/>
    <w:rsid w:val="00964784"/>
    <w:rsid w:val="00965054"/>
    <w:rsid w:val="00965176"/>
    <w:rsid w:val="009662D3"/>
    <w:rsid w:val="009664AD"/>
    <w:rsid w:val="00966DF8"/>
    <w:rsid w:val="00966F90"/>
    <w:rsid w:val="00967956"/>
    <w:rsid w:val="00967F36"/>
    <w:rsid w:val="00970343"/>
    <w:rsid w:val="009704D6"/>
    <w:rsid w:val="00970565"/>
    <w:rsid w:val="0097065D"/>
    <w:rsid w:val="00970927"/>
    <w:rsid w:val="00970C56"/>
    <w:rsid w:val="009713F6"/>
    <w:rsid w:val="00971814"/>
    <w:rsid w:val="009719FA"/>
    <w:rsid w:val="00971D99"/>
    <w:rsid w:val="00972250"/>
    <w:rsid w:val="00973A62"/>
    <w:rsid w:val="0097411A"/>
    <w:rsid w:val="00974241"/>
    <w:rsid w:val="00974776"/>
    <w:rsid w:val="00974897"/>
    <w:rsid w:val="009753D3"/>
    <w:rsid w:val="00976A0B"/>
    <w:rsid w:val="00977213"/>
    <w:rsid w:val="00977467"/>
    <w:rsid w:val="00977777"/>
    <w:rsid w:val="00977C59"/>
    <w:rsid w:val="0098032F"/>
    <w:rsid w:val="00980552"/>
    <w:rsid w:val="0098078F"/>
    <w:rsid w:val="0098145F"/>
    <w:rsid w:val="00981BAF"/>
    <w:rsid w:val="009823BE"/>
    <w:rsid w:val="00982467"/>
    <w:rsid w:val="009827BA"/>
    <w:rsid w:val="00982EE0"/>
    <w:rsid w:val="009834A8"/>
    <w:rsid w:val="00983532"/>
    <w:rsid w:val="009836BD"/>
    <w:rsid w:val="00983721"/>
    <w:rsid w:val="009845CE"/>
    <w:rsid w:val="009852DE"/>
    <w:rsid w:val="00985359"/>
    <w:rsid w:val="009853E3"/>
    <w:rsid w:val="0098553E"/>
    <w:rsid w:val="00985820"/>
    <w:rsid w:val="00985AFD"/>
    <w:rsid w:val="00986C57"/>
    <w:rsid w:val="00991159"/>
    <w:rsid w:val="00991697"/>
    <w:rsid w:val="00992295"/>
    <w:rsid w:val="0099236D"/>
    <w:rsid w:val="00992849"/>
    <w:rsid w:val="00992925"/>
    <w:rsid w:val="00992A73"/>
    <w:rsid w:val="00993582"/>
    <w:rsid w:val="00993830"/>
    <w:rsid w:val="00993BD9"/>
    <w:rsid w:val="00994241"/>
    <w:rsid w:val="00994D29"/>
    <w:rsid w:val="00995B72"/>
    <w:rsid w:val="00996292"/>
    <w:rsid w:val="00997A20"/>
    <w:rsid w:val="009A03D0"/>
    <w:rsid w:val="009A0F63"/>
    <w:rsid w:val="009A1043"/>
    <w:rsid w:val="009A13CA"/>
    <w:rsid w:val="009A18D1"/>
    <w:rsid w:val="009A1DBD"/>
    <w:rsid w:val="009A23B4"/>
    <w:rsid w:val="009A278C"/>
    <w:rsid w:val="009A2C3F"/>
    <w:rsid w:val="009A3059"/>
    <w:rsid w:val="009A3171"/>
    <w:rsid w:val="009A3CD2"/>
    <w:rsid w:val="009A4482"/>
    <w:rsid w:val="009A4A0B"/>
    <w:rsid w:val="009A4C9D"/>
    <w:rsid w:val="009A5828"/>
    <w:rsid w:val="009A5A26"/>
    <w:rsid w:val="009A5B22"/>
    <w:rsid w:val="009A5D50"/>
    <w:rsid w:val="009A600E"/>
    <w:rsid w:val="009A6C1E"/>
    <w:rsid w:val="009A6C6A"/>
    <w:rsid w:val="009A6FDE"/>
    <w:rsid w:val="009A6FF0"/>
    <w:rsid w:val="009A72D3"/>
    <w:rsid w:val="009A7553"/>
    <w:rsid w:val="009A774D"/>
    <w:rsid w:val="009A7A1B"/>
    <w:rsid w:val="009A7AA1"/>
    <w:rsid w:val="009B01E4"/>
    <w:rsid w:val="009B0646"/>
    <w:rsid w:val="009B2131"/>
    <w:rsid w:val="009B2ACA"/>
    <w:rsid w:val="009B3198"/>
    <w:rsid w:val="009B37AC"/>
    <w:rsid w:val="009B39CA"/>
    <w:rsid w:val="009B3B14"/>
    <w:rsid w:val="009B4468"/>
    <w:rsid w:val="009B4577"/>
    <w:rsid w:val="009B5214"/>
    <w:rsid w:val="009B57C9"/>
    <w:rsid w:val="009B5928"/>
    <w:rsid w:val="009B61F0"/>
    <w:rsid w:val="009B6CF0"/>
    <w:rsid w:val="009B6E47"/>
    <w:rsid w:val="009B7125"/>
    <w:rsid w:val="009B78AF"/>
    <w:rsid w:val="009B7BF7"/>
    <w:rsid w:val="009C0F87"/>
    <w:rsid w:val="009C1017"/>
    <w:rsid w:val="009C1B6E"/>
    <w:rsid w:val="009C1C82"/>
    <w:rsid w:val="009C1CD7"/>
    <w:rsid w:val="009C2599"/>
    <w:rsid w:val="009C2988"/>
    <w:rsid w:val="009C2EED"/>
    <w:rsid w:val="009C3066"/>
    <w:rsid w:val="009C3835"/>
    <w:rsid w:val="009C4850"/>
    <w:rsid w:val="009C4A99"/>
    <w:rsid w:val="009C514F"/>
    <w:rsid w:val="009C52A2"/>
    <w:rsid w:val="009C5B74"/>
    <w:rsid w:val="009C5D6F"/>
    <w:rsid w:val="009C6CD8"/>
    <w:rsid w:val="009C7118"/>
    <w:rsid w:val="009C7D2A"/>
    <w:rsid w:val="009C7E89"/>
    <w:rsid w:val="009D063A"/>
    <w:rsid w:val="009D0EAF"/>
    <w:rsid w:val="009D26C8"/>
    <w:rsid w:val="009D3281"/>
    <w:rsid w:val="009D3CD1"/>
    <w:rsid w:val="009D48CF"/>
    <w:rsid w:val="009D4BB5"/>
    <w:rsid w:val="009D4C71"/>
    <w:rsid w:val="009D644D"/>
    <w:rsid w:val="009D7431"/>
    <w:rsid w:val="009E0035"/>
    <w:rsid w:val="009E07D7"/>
    <w:rsid w:val="009E0876"/>
    <w:rsid w:val="009E0C21"/>
    <w:rsid w:val="009E0F4A"/>
    <w:rsid w:val="009E17FE"/>
    <w:rsid w:val="009E205A"/>
    <w:rsid w:val="009E275E"/>
    <w:rsid w:val="009E2B3F"/>
    <w:rsid w:val="009E2ED2"/>
    <w:rsid w:val="009E3AEC"/>
    <w:rsid w:val="009E3EA8"/>
    <w:rsid w:val="009E405F"/>
    <w:rsid w:val="009E47E6"/>
    <w:rsid w:val="009E5566"/>
    <w:rsid w:val="009E5A2B"/>
    <w:rsid w:val="009E641A"/>
    <w:rsid w:val="009E66E3"/>
    <w:rsid w:val="009E67A4"/>
    <w:rsid w:val="009E6E20"/>
    <w:rsid w:val="009E6FD1"/>
    <w:rsid w:val="009E77CE"/>
    <w:rsid w:val="009E7F5A"/>
    <w:rsid w:val="009F052A"/>
    <w:rsid w:val="009F19B9"/>
    <w:rsid w:val="009F1A0C"/>
    <w:rsid w:val="009F263E"/>
    <w:rsid w:val="009F304B"/>
    <w:rsid w:val="009F32E3"/>
    <w:rsid w:val="009F34D8"/>
    <w:rsid w:val="009F3715"/>
    <w:rsid w:val="009F3A50"/>
    <w:rsid w:val="009F4A70"/>
    <w:rsid w:val="009F4B9A"/>
    <w:rsid w:val="009F515B"/>
    <w:rsid w:val="009F51C5"/>
    <w:rsid w:val="009F5BF2"/>
    <w:rsid w:val="009F6276"/>
    <w:rsid w:val="009F6A20"/>
    <w:rsid w:val="009F7989"/>
    <w:rsid w:val="009F7CB4"/>
    <w:rsid w:val="009F7E8F"/>
    <w:rsid w:val="009F7E91"/>
    <w:rsid w:val="00A0035B"/>
    <w:rsid w:val="00A0060B"/>
    <w:rsid w:val="00A006E0"/>
    <w:rsid w:val="00A019EA"/>
    <w:rsid w:val="00A01C40"/>
    <w:rsid w:val="00A02801"/>
    <w:rsid w:val="00A02914"/>
    <w:rsid w:val="00A02F2B"/>
    <w:rsid w:val="00A0330F"/>
    <w:rsid w:val="00A0361E"/>
    <w:rsid w:val="00A04536"/>
    <w:rsid w:val="00A05BD7"/>
    <w:rsid w:val="00A06212"/>
    <w:rsid w:val="00A06484"/>
    <w:rsid w:val="00A0695B"/>
    <w:rsid w:val="00A07463"/>
    <w:rsid w:val="00A10578"/>
    <w:rsid w:val="00A1069E"/>
    <w:rsid w:val="00A108D0"/>
    <w:rsid w:val="00A124B5"/>
    <w:rsid w:val="00A125E7"/>
    <w:rsid w:val="00A136D9"/>
    <w:rsid w:val="00A13CB4"/>
    <w:rsid w:val="00A14473"/>
    <w:rsid w:val="00A14561"/>
    <w:rsid w:val="00A15103"/>
    <w:rsid w:val="00A1531F"/>
    <w:rsid w:val="00A15A80"/>
    <w:rsid w:val="00A16F35"/>
    <w:rsid w:val="00A17103"/>
    <w:rsid w:val="00A178E2"/>
    <w:rsid w:val="00A17B7E"/>
    <w:rsid w:val="00A202A2"/>
    <w:rsid w:val="00A2034B"/>
    <w:rsid w:val="00A20708"/>
    <w:rsid w:val="00A21382"/>
    <w:rsid w:val="00A2179D"/>
    <w:rsid w:val="00A219AD"/>
    <w:rsid w:val="00A2231F"/>
    <w:rsid w:val="00A2236C"/>
    <w:rsid w:val="00A223AF"/>
    <w:rsid w:val="00A223C7"/>
    <w:rsid w:val="00A22852"/>
    <w:rsid w:val="00A23573"/>
    <w:rsid w:val="00A24742"/>
    <w:rsid w:val="00A24B36"/>
    <w:rsid w:val="00A24B58"/>
    <w:rsid w:val="00A253E0"/>
    <w:rsid w:val="00A25D05"/>
    <w:rsid w:val="00A275C0"/>
    <w:rsid w:val="00A276E2"/>
    <w:rsid w:val="00A27843"/>
    <w:rsid w:val="00A27AF9"/>
    <w:rsid w:val="00A30D8F"/>
    <w:rsid w:val="00A314C6"/>
    <w:rsid w:val="00A314F0"/>
    <w:rsid w:val="00A31EC9"/>
    <w:rsid w:val="00A32EDC"/>
    <w:rsid w:val="00A333D4"/>
    <w:rsid w:val="00A34065"/>
    <w:rsid w:val="00A34436"/>
    <w:rsid w:val="00A35066"/>
    <w:rsid w:val="00A35733"/>
    <w:rsid w:val="00A35FC0"/>
    <w:rsid w:val="00A36386"/>
    <w:rsid w:val="00A36545"/>
    <w:rsid w:val="00A3660A"/>
    <w:rsid w:val="00A36C75"/>
    <w:rsid w:val="00A36EB5"/>
    <w:rsid w:val="00A37023"/>
    <w:rsid w:val="00A370C4"/>
    <w:rsid w:val="00A370F1"/>
    <w:rsid w:val="00A37527"/>
    <w:rsid w:val="00A3779F"/>
    <w:rsid w:val="00A37A0A"/>
    <w:rsid w:val="00A400F6"/>
    <w:rsid w:val="00A404BF"/>
    <w:rsid w:val="00A405A4"/>
    <w:rsid w:val="00A40FCD"/>
    <w:rsid w:val="00A4191D"/>
    <w:rsid w:val="00A42D3B"/>
    <w:rsid w:val="00A4300B"/>
    <w:rsid w:val="00A431F6"/>
    <w:rsid w:val="00A433F1"/>
    <w:rsid w:val="00A4398D"/>
    <w:rsid w:val="00A443E1"/>
    <w:rsid w:val="00A4466B"/>
    <w:rsid w:val="00A4535C"/>
    <w:rsid w:val="00A4599F"/>
    <w:rsid w:val="00A45EC7"/>
    <w:rsid w:val="00A45F12"/>
    <w:rsid w:val="00A46A42"/>
    <w:rsid w:val="00A46D91"/>
    <w:rsid w:val="00A4710B"/>
    <w:rsid w:val="00A47350"/>
    <w:rsid w:val="00A474BE"/>
    <w:rsid w:val="00A4751A"/>
    <w:rsid w:val="00A47587"/>
    <w:rsid w:val="00A4786A"/>
    <w:rsid w:val="00A4791E"/>
    <w:rsid w:val="00A47BF1"/>
    <w:rsid w:val="00A47EB3"/>
    <w:rsid w:val="00A5082F"/>
    <w:rsid w:val="00A50F29"/>
    <w:rsid w:val="00A50F52"/>
    <w:rsid w:val="00A51050"/>
    <w:rsid w:val="00A512B2"/>
    <w:rsid w:val="00A52545"/>
    <w:rsid w:val="00A52891"/>
    <w:rsid w:val="00A52E56"/>
    <w:rsid w:val="00A53203"/>
    <w:rsid w:val="00A53C31"/>
    <w:rsid w:val="00A53E4F"/>
    <w:rsid w:val="00A53F48"/>
    <w:rsid w:val="00A54A32"/>
    <w:rsid w:val="00A54DAC"/>
    <w:rsid w:val="00A55EA0"/>
    <w:rsid w:val="00A55EFD"/>
    <w:rsid w:val="00A56C6D"/>
    <w:rsid w:val="00A6037B"/>
    <w:rsid w:val="00A60FAF"/>
    <w:rsid w:val="00A610B2"/>
    <w:rsid w:val="00A6230F"/>
    <w:rsid w:val="00A629BE"/>
    <w:rsid w:val="00A6390A"/>
    <w:rsid w:val="00A63923"/>
    <w:rsid w:val="00A63A77"/>
    <w:rsid w:val="00A64174"/>
    <w:rsid w:val="00A64509"/>
    <w:rsid w:val="00A6465D"/>
    <w:rsid w:val="00A6466D"/>
    <w:rsid w:val="00A6564B"/>
    <w:rsid w:val="00A65A36"/>
    <w:rsid w:val="00A661BB"/>
    <w:rsid w:val="00A661E2"/>
    <w:rsid w:val="00A670B3"/>
    <w:rsid w:val="00A67201"/>
    <w:rsid w:val="00A67549"/>
    <w:rsid w:val="00A706C6"/>
    <w:rsid w:val="00A71739"/>
    <w:rsid w:val="00A71AF7"/>
    <w:rsid w:val="00A721DE"/>
    <w:rsid w:val="00A7221E"/>
    <w:rsid w:val="00A726AE"/>
    <w:rsid w:val="00A72C11"/>
    <w:rsid w:val="00A72FD4"/>
    <w:rsid w:val="00A7308A"/>
    <w:rsid w:val="00A733E2"/>
    <w:rsid w:val="00A737CD"/>
    <w:rsid w:val="00A73CFC"/>
    <w:rsid w:val="00A745AC"/>
    <w:rsid w:val="00A745E6"/>
    <w:rsid w:val="00A74C46"/>
    <w:rsid w:val="00A74FB8"/>
    <w:rsid w:val="00A7501D"/>
    <w:rsid w:val="00A75056"/>
    <w:rsid w:val="00A7506A"/>
    <w:rsid w:val="00A75185"/>
    <w:rsid w:val="00A75807"/>
    <w:rsid w:val="00A75A8B"/>
    <w:rsid w:val="00A75C83"/>
    <w:rsid w:val="00A76025"/>
    <w:rsid w:val="00A761D9"/>
    <w:rsid w:val="00A77179"/>
    <w:rsid w:val="00A77852"/>
    <w:rsid w:val="00A77B9B"/>
    <w:rsid w:val="00A77E08"/>
    <w:rsid w:val="00A77F57"/>
    <w:rsid w:val="00A80C56"/>
    <w:rsid w:val="00A80C73"/>
    <w:rsid w:val="00A80D16"/>
    <w:rsid w:val="00A81375"/>
    <w:rsid w:val="00A814CD"/>
    <w:rsid w:val="00A81B08"/>
    <w:rsid w:val="00A82486"/>
    <w:rsid w:val="00A82818"/>
    <w:rsid w:val="00A83223"/>
    <w:rsid w:val="00A8417D"/>
    <w:rsid w:val="00A846A0"/>
    <w:rsid w:val="00A85957"/>
    <w:rsid w:val="00A86012"/>
    <w:rsid w:val="00A863C7"/>
    <w:rsid w:val="00A87AA9"/>
    <w:rsid w:val="00A9074B"/>
    <w:rsid w:val="00A90D37"/>
    <w:rsid w:val="00A91499"/>
    <w:rsid w:val="00A916FE"/>
    <w:rsid w:val="00A922F1"/>
    <w:rsid w:val="00A92973"/>
    <w:rsid w:val="00A92A51"/>
    <w:rsid w:val="00A92BD8"/>
    <w:rsid w:val="00A92DF2"/>
    <w:rsid w:val="00A934DF"/>
    <w:rsid w:val="00A93E9A"/>
    <w:rsid w:val="00A944B1"/>
    <w:rsid w:val="00A9471F"/>
    <w:rsid w:val="00A95447"/>
    <w:rsid w:val="00A9559F"/>
    <w:rsid w:val="00A95783"/>
    <w:rsid w:val="00A96716"/>
    <w:rsid w:val="00A9679A"/>
    <w:rsid w:val="00A9699C"/>
    <w:rsid w:val="00A9777D"/>
    <w:rsid w:val="00AA007B"/>
    <w:rsid w:val="00AA0CBD"/>
    <w:rsid w:val="00AA15F3"/>
    <w:rsid w:val="00AA21D7"/>
    <w:rsid w:val="00AA2B6E"/>
    <w:rsid w:val="00AA339B"/>
    <w:rsid w:val="00AA34C7"/>
    <w:rsid w:val="00AA364B"/>
    <w:rsid w:val="00AA39AF"/>
    <w:rsid w:val="00AA404A"/>
    <w:rsid w:val="00AA4774"/>
    <w:rsid w:val="00AA54F3"/>
    <w:rsid w:val="00AA5E6C"/>
    <w:rsid w:val="00AA5FAC"/>
    <w:rsid w:val="00AA6E8D"/>
    <w:rsid w:val="00AA7234"/>
    <w:rsid w:val="00AA783A"/>
    <w:rsid w:val="00AA7B4A"/>
    <w:rsid w:val="00AB0208"/>
    <w:rsid w:val="00AB16C9"/>
    <w:rsid w:val="00AB2105"/>
    <w:rsid w:val="00AB262E"/>
    <w:rsid w:val="00AB2AC4"/>
    <w:rsid w:val="00AB2C0A"/>
    <w:rsid w:val="00AB2F50"/>
    <w:rsid w:val="00AB38FC"/>
    <w:rsid w:val="00AB3BE4"/>
    <w:rsid w:val="00AB3C58"/>
    <w:rsid w:val="00AB4B7F"/>
    <w:rsid w:val="00AB4FE3"/>
    <w:rsid w:val="00AB55B9"/>
    <w:rsid w:val="00AB5640"/>
    <w:rsid w:val="00AB5C68"/>
    <w:rsid w:val="00AB5FFB"/>
    <w:rsid w:val="00AB6384"/>
    <w:rsid w:val="00AB716B"/>
    <w:rsid w:val="00AB763C"/>
    <w:rsid w:val="00AB7791"/>
    <w:rsid w:val="00AB7BBB"/>
    <w:rsid w:val="00AC0427"/>
    <w:rsid w:val="00AC076F"/>
    <w:rsid w:val="00AC07FB"/>
    <w:rsid w:val="00AC14B0"/>
    <w:rsid w:val="00AC1E0F"/>
    <w:rsid w:val="00AC29E6"/>
    <w:rsid w:val="00AC2AFB"/>
    <w:rsid w:val="00AC31F6"/>
    <w:rsid w:val="00AC3E63"/>
    <w:rsid w:val="00AC57F8"/>
    <w:rsid w:val="00AC6398"/>
    <w:rsid w:val="00AC664A"/>
    <w:rsid w:val="00AC67B4"/>
    <w:rsid w:val="00AC6851"/>
    <w:rsid w:val="00AC7050"/>
    <w:rsid w:val="00AC707A"/>
    <w:rsid w:val="00AC745B"/>
    <w:rsid w:val="00AC745E"/>
    <w:rsid w:val="00AC74CD"/>
    <w:rsid w:val="00AC7C11"/>
    <w:rsid w:val="00AD146C"/>
    <w:rsid w:val="00AD1C48"/>
    <w:rsid w:val="00AD2501"/>
    <w:rsid w:val="00AD27C2"/>
    <w:rsid w:val="00AD288D"/>
    <w:rsid w:val="00AD2DBD"/>
    <w:rsid w:val="00AD4853"/>
    <w:rsid w:val="00AD4C10"/>
    <w:rsid w:val="00AD4F87"/>
    <w:rsid w:val="00AD662E"/>
    <w:rsid w:val="00AD6B59"/>
    <w:rsid w:val="00AD750D"/>
    <w:rsid w:val="00AD753A"/>
    <w:rsid w:val="00AD75C8"/>
    <w:rsid w:val="00AD769F"/>
    <w:rsid w:val="00AD7A68"/>
    <w:rsid w:val="00AE01FC"/>
    <w:rsid w:val="00AE0402"/>
    <w:rsid w:val="00AE0A73"/>
    <w:rsid w:val="00AE1374"/>
    <w:rsid w:val="00AE1783"/>
    <w:rsid w:val="00AE1A06"/>
    <w:rsid w:val="00AE1CAF"/>
    <w:rsid w:val="00AE1E18"/>
    <w:rsid w:val="00AE2079"/>
    <w:rsid w:val="00AE294B"/>
    <w:rsid w:val="00AE3566"/>
    <w:rsid w:val="00AE39E4"/>
    <w:rsid w:val="00AE3C90"/>
    <w:rsid w:val="00AE477F"/>
    <w:rsid w:val="00AE47CB"/>
    <w:rsid w:val="00AE49D3"/>
    <w:rsid w:val="00AE4A0A"/>
    <w:rsid w:val="00AE5CF2"/>
    <w:rsid w:val="00AE6779"/>
    <w:rsid w:val="00AE6D9A"/>
    <w:rsid w:val="00AE7439"/>
    <w:rsid w:val="00AE7E95"/>
    <w:rsid w:val="00AF14D1"/>
    <w:rsid w:val="00AF1930"/>
    <w:rsid w:val="00AF2414"/>
    <w:rsid w:val="00AF2C08"/>
    <w:rsid w:val="00AF34EC"/>
    <w:rsid w:val="00AF3506"/>
    <w:rsid w:val="00AF3D6E"/>
    <w:rsid w:val="00AF43BF"/>
    <w:rsid w:val="00AF4703"/>
    <w:rsid w:val="00AF4763"/>
    <w:rsid w:val="00AF50CA"/>
    <w:rsid w:val="00AF5B4D"/>
    <w:rsid w:val="00B0052B"/>
    <w:rsid w:val="00B011CA"/>
    <w:rsid w:val="00B012AE"/>
    <w:rsid w:val="00B01C31"/>
    <w:rsid w:val="00B02119"/>
    <w:rsid w:val="00B024D2"/>
    <w:rsid w:val="00B0300C"/>
    <w:rsid w:val="00B03F68"/>
    <w:rsid w:val="00B044BD"/>
    <w:rsid w:val="00B04C18"/>
    <w:rsid w:val="00B05C2C"/>
    <w:rsid w:val="00B05D02"/>
    <w:rsid w:val="00B06973"/>
    <w:rsid w:val="00B06E1C"/>
    <w:rsid w:val="00B076B9"/>
    <w:rsid w:val="00B07D6D"/>
    <w:rsid w:val="00B10258"/>
    <w:rsid w:val="00B10525"/>
    <w:rsid w:val="00B10954"/>
    <w:rsid w:val="00B10A48"/>
    <w:rsid w:val="00B111D5"/>
    <w:rsid w:val="00B11350"/>
    <w:rsid w:val="00B12266"/>
    <w:rsid w:val="00B1246F"/>
    <w:rsid w:val="00B12E33"/>
    <w:rsid w:val="00B138AD"/>
    <w:rsid w:val="00B144AE"/>
    <w:rsid w:val="00B1461D"/>
    <w:rsid w:val="00B166C7"/>
    <w:rsid w:val="00B16967"/>
    <w:rsid w:val="00B16DD4"/>
    <w:rsid w:val="00B17AEC"/>
    <w:rsid w:val="00B17BBD"/>
    <w:rsid w:val="00B17F1D"/>
    <w:rsid w:val="00B21C4A"/>
    <w:rsid w:val="00B2369A"/>
    <w:rsid w:val="00B24100"/>
    <w:rsid w:val="00B244F2"/>
    <w:rsid w:val="00B2488C"/>
    <w:rsid w:val="00B24A3E"/>
    <w:rsid w:val="00B24F30"/>
    <w:rsid w:val="00B258DA"/>
    <w:rsid w:val="00B25D74"/>
    <w:rsid w:val="00B264DB"/>
    <w:rsid w:val="00B2659F"/>
    <w:rsid w:val="00B266C4"/>
    <w:rsid w:val="00B267CE"/>
    <w:rsid w:val="00B26C48"/>
    <w:rsid w:val="00B2727E"/>
    <w:rsid w:val="00B27BC0"/>
    <w:rsid w:val="00B27CC2"/>
    <w:rsid w:val="00B31026"/>
    <w:rsid w:val="00B310FD"/>
    <w:rsid w:val="00B31196"/>
    <w:rsid w:val="00B314AC"/>
    <w:rsid w:val="00B3197B"/>
    <w:rsid w:val="00B31A06"/>
    <w:rsid w:val="00B31C1F"/>
    <w:rsid w:val="00B32364"/>
    <w:rsid w:val="00B329C7"/>
    <w:rsid w:val="00B32B04"/>
    <w:rsid w:val="00B32E10"/>
    <w:rsid w:val="00B33BCE"/>
    <w:rsid w:val="00B33E21"/>
    <w:rsid w:val="00B3579F"/>
    <w:rsid w:val="00B35BEB"/>
    <w:rsid w:val="00B361C7"/>
    <w:rsid w:val="00B365C7"/>
    <w:rsid w:val="00B3688C"/>
    <w:rsid w:val="00B3690A"/>
    <w:rsid w:val="00B37144"/>
    <w:rsid w:val="00B378FE"/>
    <w:rsid w:val="00B40232"/>
    <w:rsid w:val="00B403DD"/>
    <w:rsid w:val="00B40805"/>
    <w:rsid w:val="00B40E2D"/>
    <w:rsid w:val="00B40F67"/>
    <w:rsid w:val="00B41885"/>
    <w:rsid w:val="00B42111"/>
    <w:rsid w:val="00B425EC"/>
    <w:rsid w:val="00B42A32"/>
    <w:rsid w:val="00B44DBA"/>
    <w:rsid w:val="00B456FF"/>
    <w:rsid w:val="00B462DD"/>
    <w:rsid w:val="00B4636A"/>
    <w:rsid w:val="00B46A17"/>
    <w:rsid w:val="00B46C20"/>
    <w:rsid w:val="00B46C4C"/>
    <w:rsid w:val="00B4758C"/>
    <w:rsid w:val="00B50349"/>
    <w:rsid w:val="00B5047E"/>
    <w:rsid w:val="00B50E09"/>
    <w:rsid w:val="00B51054"/>
    <w:rsid w:val="00B51161"/>
    <w:rsid w:val="00B531B0"/>
    <w:rsid w:val="00B53260"/>
    <w:rsid w:val="00B53396"/>
    <w:rsid w:val="00B53DDE"/>
    <w:rsid w:val="00B542BE"/>
    <w:rsid w:val="00B54449"/>
    <w:rsid w:val="00B54965"/>
    <w:rsid w:val="00B5497C"/>
    <w:rsid w:val="00B55558"/>
    <w:rsid w:val="00B55633"/>
    <w:rsid w:val="00B55962"/>
    <w:rsid w:val="00B55BDF"/>
    <w:rsid w:val="00B55C54"/>
    <w:rsid w:val="00B56230"/>
    <w:rsid w:val="00B56D04"/>
    <w:rsid w:val="00B56F77"/>
    <w:rsid w:val="00B572C4"/>
    <w:rsid w:val="00B57D52"/>
    <w:rsid w:val="00B57D77"/>
    <w:rsid w:val="00B60313"/>
    <w:rsid w:val="00B6124E"/>
    <w:rsid w:val="00B613C6"/>
    <w:rsid w:val="00B614B0"/>
    <w:rsid w:val="00B61542"/>
    <w:rsid w:val="00B61890"/>
    <w:rsid w:val="00B61FF4"/>
    <w:rsid w:val="00B6258A"/>
    <w:rsid w:val="00B62EB8"/>
    <w:rsid w:val="00B63544"/>
    <w:rsid w:val="00B63C57"/>
    <w:rsid w:val="00B63EFC"/>
    <w:rsid w:val="00B64023"/>
    <w:rsid w:val="00B65081"/>
    <w:rsid w:val="00B66A47"/>
    <w:rsid w:val="00B66B6F"/>
    <w:rsid w:val="00B701D5"/>
    <w:rsid w:val="00B70A7C"/>
    <w:rsid w:val="00B735F1"/>
    <w:rsid w:val="00B73A05"/>
    <w:rsid w:val="00B73AD6"/>
    <w:rsid w:val="00B73DBA"/>
    <w:rsid w:val="00B74D2F"/>
    <w:rsid w:val="00B752AB"/>
    <w:rsid w:val="00B75368"/>
    <w:rsid w:val="00B75465"/>
    <w:rsid w:val="00B75DEC"/>
    <w:rsid w:val="00B7760E"/>
    <w:rsid w:val="00B77657"/>
    <w:rsid w:val="00B77B2C"/>
    <w:rsid w:val="00B8045B"/>
    <w:rsid w:val="00B80D40"/>
    <w:rsid w:val="00B82841"/>
    <w:rsid w:val="00B82D99"/>
    <w:rsid w:val="00B82FB2"/>
    <w:rsid w:val="00B832FA"/>
    <w:rsid w:val="00B838D3"/>
    <w:rsid w:val="00B841FE"/>
    <w:rsid w:val="00B84B40"/>
    <w:rsid w:val="00B84E49"/>
    <w:rsid w:val="00B85000"/>
    <w:rsid w:val="00B85284"/>
    <w:rsid w:val="00B85867"/>
    <w:rsid w:val="00B85D06"/>
    <w:rsid w:val="00B85D4C"/>
    <w:rsid w:val="00B8604D"/>
    <w:rsid w:val="00B8661B"/>
    <w:rsid w:val="00B86BB6"/>
    <w:rsid w:val="00B86D38"/>
    <w:rsid w:val="00B8710A"/>
    <w:rsid w:val="00B8770B"/>
    <w:rsid w:val="00B87C5C"/>
    <w:rsid w:val="00B900B9"/>
    <w:rsid w:val="00B90B84"/>
    <w:rsid w:val="00B910CD"/>
    <w:rsid w:val="00B91A6C"/>
    <w:rsid w:val="00B91B04"/>
    <w:rsid w:val="00B91D07"/>
    <w:rsid w:val="00B924C7"/>
    <w:rsid w:val="00B928A0"/>
    <w:rsid w:val="00B937FB"/>
    <w:rsid w:val="00B93A92"/>
    <w:rsid w:val="00B93D66"/>
    <w:rsid w:val="00B93FFB"/>
    <w:rsid w:val="00B94111"/>
    <w:rsid w:val="00B94308"/>
    <w:rsid w:val="00B94566"/>
    <w:rsid w:val="00B94A32"/>
    <w:rsid w:val="00B95F4C"/>
    <w:rsid w:val="00B9611F"/>
    <w:rsid w:val="00B9689F"/>
    <w:rsid w:val="00B96E41"/>
    <w:rsid w:val="00B979BE"/>
    <w:rsid w:val="00B97D30"/>
    <w:rsid w:val="00B97E32"/>
    <w:rsid w:val="00BA0406"/>
    <w:rsid w:val="00BA0C7A"/>
    <w:rsid w:val="00BA23C6"/>
    <w:rsid w:val="00BA2659"/>
    <w:rsid w:val="00BA3CAB"/>
    <w:rsid w:val="00BA4E24"/>
    <w:rsid w:val="00BA4ED6"/>
    <w:rsid w:val="00BA4F5B"/>
    <w:rsid w:val="00BA504E"/>
    <w:rsid w:val="00BA51A1"/>
    <w:rsid w:val="00BA5379"/>
    <w:rsid w:val="00BA53B7"/>
    <w:rsid w:val="00BA589B"/>
    <w:rsid w:val="00BA5C46"/>
    <w:rsid w:val="00BA5C76"/>
    <w:rsid w:val="00BA6A83"/>
    <w:rsid w:val="00BA70CD"/>
    <w:rsid w:val="00BA7A99"/>
    <w:rsid w:val="00BB00F5"/>
    <w:rsid w:val="00BB0223"/>
    <w:rsid w:val="00BB0322"/>
    <w:rsid w:val="00BB0DD5"/>
    <w:rsid w:val="00BB1932"/>
    <w:rsid w:val="00BB25BB"/>
    <w:rsid w:val="00BB2645"/>
    <w:rsid w:val="00BB2952"/>
    <w:rsid w:val="00BB2B4D"/>
    <w:rsid w:val="00BB37E6"/>
    <w:rsid w:val="00BB3F24"/>
    <w:rsid w:val="00BB452B"/>
    <w:rsid w:val="00BB4637"/>
    <w:rsid w:val="00BB4B23"/>
    <w:rsid w:val="00BB52F9"/>
    <w:rsid w:val="00BB585E"/>
    <w:rsid w:val="00BB59EE"/>
    <w:rsid w:val="00BB5CFD"/>
    <w:rsid w:val="00BB6455"/>
    <w:rsid w:val="00BB651D"/>
    <w:rsid w:val="00BB6BA1"/>
    <w:rsid w:val="00BB6F38"/>
    <w:rsid w:val="00BB7827"/>
    <w:rsid w:val="00BB7CE0"/>
    <w:rsid w:val="00BC0AAE"/>
    <w:rsid w:val="00BC0B33"/>
    <w:rsid w:val="00BC0D46"/>
    <w:rsid w:val="00BC12CE"/>
    <w:rsid w:val="00BC1566"/>
    <w:rsid w:val="00BC18A6"/>
    <w:rsid w:val="00BC2152"/>
    <w:rsid w:val="00BC255A"/>
    <w:rsid w:val="00BC3342"/>
    <w:rsid w:val="00BC3481"/>
    <w:rsid w:val="00BC3FBC"/>
    <w:rsid w:val="00BC40CB"/>
    <w:rsid w:val="00BC4120"/>
    <w:rsid w:val="00BC4B9F"/>
    <w:rsid w:val="00BC4FEB"/>
    <w:rsid w:val="00BC503B"/>
    <w:rsid w:val="00BC5D3F"/>
    <w:rsid w:val="00BC7A21"/>
    <w:rsid w:val="00BC7B1C"/>
    <w:rsid w:val="00BC7EF3"/>
    <w:rsid w:val="00BD0970"/>
    <w:rsid w:val="00BD0B7D"/>
    <w:rsid w:val="00BD0CF1"/>
    <w:rsid w:val="00BD1E36"/>
    <w:rsid w:val="00BD21C2"/>
    <w:rsid w:val="00BD2A2E"/>
    <w:rsid w:val="00BD31C1"/>
    <w:rsid w:val="00BD33C5"/>
    <w:rsid w:val="00BD3FBF"/>
    <w:rsid w:val="00BD4920"/>
    <w:rsid w:val="00BD4A25"/>
    <w:rsid w:val="00BD55FF"/>
    <w:rsid w:val="00BD5845"/>
    <w:rsid w:val="00BD58D0"/>
    <w:rsid w:val="00BD5EC1"/>
    <w:rsid w:val="00BD65EF"/>
    <w:rsid w:val="00BD71F3"/>
    <w:rsid w:val="00BD7585"/>
    <w:rsid w:val="00BD77B5"/>
    <w:rsid w:val="00BE1085"/>
    <w:rsid w:val="00BE1156"/>
    <w:rsid w:val="00BE1541"/>
    <w:rsid w:val="00BE15AA"/>
    <w:rsid w:val="00BE21C8"/>
    <w:rsid w:val="00BE29DB"/>
    <w:rsid w:val="00BE32A4"/>
    <w:rsid w:val="00BE335C"/>
    <w:rsid w:val="00BE3D06"/>
    <w:rsid w:val="00BE467B"/>
    <w:rsid w:val="00BE4900"/>
    <w:rsid w:val="00BE64ED"/>
    <w:rsid w:val="00BE693D"/>
    <w:rsid w:val="00BE69CE"/>
    <w:rsid w:val="00BE7A6F"/>
    <w:rsid w:val="00BF03C7"/>
    <w:rsid w:val="00BF08D4"/>
    <w:rsid w:val="00BF16D7"/>
    <w:rsid w:val="00BF172D"/>
    <w:rsid w:val="00BF1C49"/>
    <w:rsid w:val="00BF1D26"/>
    <w:rsid w:val="00BF240C"/>
    <w:rsid w:val="00BF3E10"/>
    <w:rsid w:val="00BF3FB7"/>
    <w:rsid w:val="00BF49CE"/>
    <w:rsid w:val="00BF4FDA"/>
    <w:rsid w:val="00BF5278"/>
    <w:rsid w:val="00BF59BA"/>
    <w:rsid w:val="00BF5CD2"/>
    <w:rsid w:val="00BF6335"/>
    <w:rsid w:val="00BF6827"/>
    <w:rsid w:val="00BF6881"/>
    <w:rsid w:val="00BF6C84"/>
    <w:rsid w:val="00BF78E1"/>
    <w:rsid w:val="00C000E5"/>
    <w:rsid w:val="00C001DE"/>
    <w:rsid w:val="00C0093E"/>
    <w:rsid w:val="00C01023"/>
    <w:rsid w:val="00C01413"/>
    <w:rsid w:val="00C01EF3"/>
    <w:rsid w:val="00C02F8D"/>
    <w:rsid w:val="00C03330"/>
    <w:rsid w:val="00C0348C"/>
    <w:rsid w:val="00C047D6"/>
    <w:rsid w:val="00C05023"/>
    <w:rsid w:val="00C05092"/>
    <w:rsid w:val="00C05239"/>
    <w:rsid w:val="00C07C71"/>
    <w:rsid w:val="00C1134D"/>
    <w:rsid w:val="00C11A21"/>
    <w:rsid w:val="00C11A43"/>
    <w:rsid w:val="00C11B09"/>
    <w:rsid w:val="00C12267"/>
    <w:rsid w:val="00C128BD"/>
    <w:rsid w:val="00C13102"/>
    <w:rsid w:val="00C13D75"/>
    <w:rsid w:val="00C13F2F"/>
    <w:rsid w:val="00C14696"/>
    <w:rsid w:val="00C1485A"/>
    <w:rsid w:val="00C15024"/>
    <w:rsid w:val="00C158EF"/>
    <w:rsid w:val="00C15A84"/>
    <w:rsid w:val="00C15B00"/>
    <w:rsid w:val="00C15B1D"/>
    <w:rsid w:val="00C164B1"/>
    <w:rsid w:val="00C16C36"/>
    <w:rsid w:val="00C173D1"/>
    <w:rsid w:val="00C179BA"/>
    <w:rsid w:val="00C17FED"/>
    <w:rsid w:val="00C20192"/>
    <w:rsid w:val="00C20658"/>
    <w:rsid w:val="00C20D8D"/>
    <w:rsid w:val="00C21369"/>
    <w:rsid w:val="00C21E26"/>
    <w:rsid w:val="00C223FA"/>
    <w:rsid w:val="00C2290B"/>
    <w:rsid w:val="00C22AEF"/>
    <w:rsid w:val="00C23986"/>
    <w:rsid w:val="00C239E8"/>
    <w:rsid w:val="00C23FE4"/>
    <w:rsid w:val="00C240FF"/>
    <w:rsid w:val="00C246FF"/>
    <w:rsid w:val="00C2536E"/>
    <w:rsid w:val="00C26055"/>
    <w:rsid w:val="00C26772"/>
    <w:rsid w:val="00C26955"/>
    <w:rsid w:val="00C26E55"/>
    <w:rsid w:val="00C26EEC"/>
    <w:rsid w:val="00C27797"/>
    <w:rsid w:val="00C279B0"/>
    <w:rsid w:val="00C27D58"/>
    <w:rsid w:val="00C301FE"/>
    <w:rsid w:val="00C3036D"/>
    <w:rsid w:val="00C3057B"/>
    <w:rsid w:val="00C30C2C"/>
    <w:rsid w:val="00C31320"/>
    <w:rsid w:val="00C3151F"/>
    <w:rsid w:val="00C3194C"/>
    <w:rsid w:val="00C31F1B"/>
    <w:rsid w:val="00C3286B"/>
    <w:rsid w:val="00C333DF"/>
    <w:rsid w:val="00C335CE"/>
    <w:rsid w:val="00C33966"/>
    <w:rsid w:val="00C34053"/>
    <w:rsid w:val="00C3417C"/>
    <w:rsid w:val="00C346DF"/>
    <w:rsid w:val="00C34A7D"/>
    <w:rsid w:val="00C34ABF"/>
    <w:rsid w:val="00C34CBE"/>
    <w:rsid w:val="00C3530B"/>
    <w:rsid w:val="00C35EEF"/>
    <w:rsid w:val="00C360CE"/>
    <w:rsid w:val="00C377AB"/>
    <w:rsid w:val="00C37AE5"/>
    <w:rsid w:val="00C37EE0"/>
    <w:rsid w:val="00C4025D"/>
    <w:rsid w:val="00C40C0B"/>
    <w:rsid w:val="00C41093"/>
    <w:rsid w:val="00C41155"/>
    <w:rsid w:val="00C41D5B"/>
    <w:rsid w:val="00C420D3"/>
    <w:rsid w:val="00C421AE"/>
    <w:rsid w:val="00C4234E"/>
    <w:rsid w:val="00C42877"/>
    <w:rsid w:val="00C42DA6"/>
    <w:rsid w:val="00C4351C"/>
    <w:rsid w:val="00C43BA0"/>
    <w:rsid w:val="00C43DE8"/>
    <w:rsid w:val="00C44426"/>
    <w:rsid w:val="00C44549"/>
    <w:rsid w:val="00C447ED"/>
    <w:rsid w:val="00C44F8B"/>
    <w:rsid w:val="00C45341"/>
    <w:rsid w:val="00C4583B"/>
    <w:rsid w:val="00C45B42"/>
    <w:rsid w:val="00C45DFE"/>
    <w:rsid w:val="00C467A5"/>
    <w:rsid w:val="00C46CBF"/>
    <w:rsid w:val="00C470AA"/>
    <w:rsid w:val="00C47421"/>
    <w:rsid w:val="00C47695"/>
    <w:rsid w:val="00C50429"/>
    <w:rsid w:val="00C5045F"/>
    <w:rsid w:val="00C5097C"/>
    <w:rsid w:val="00C51CAE"/>
    <w:rsid w:val="00C52673"/>
    <w:rsid w:val="00C53792"/>
    <w:rsid w:val="00C53DAE"/>
    <w:rsid w:val="00C53DED"/>
    <w:rsid w:val="00C53FF7"/>
    <w:rsid w:val="00C54174"/>
    <w:rsid w:val="00C54466"/>
    <w:rsid w:val="00C54AC7"/>
    <w:rsid w:val="00C5591F"/>
    <w:rsid w:val="00C5659C"/>
    <w:rsid w:val="00C57936"/>
    <w:rsid w:val="00C6086B"/>
    <w:rsid w:val="00C60BF1"/>
    <w:rsid w:val="00C60C60"/>
    <w:rsid w:val="00C610A9"/>
    <w:rsid w:val="00C61D9E"/>
    <w:rsid w:val="00C62CE7"/>
    <w:rsid w:val="00C63123"/>
    <w:rsid w:val="00C63134"/>
    <w:rsid w:val="00C63229"/>
    <w:rsid w:val="00C64A10"/>
    <w:rsid w:val="00C64D56"/>
    <w:rsid w:val="00C65D8D"/>
    <w:rsid w:val="00C65EB3"/>
    <w:rsid w:val="00C66098"/>
    <w:rsid w:val="00C662C4"/>
    <w:rsid w:val="00C6645B"/>
    <w:rsid w:val="00C66E68"/>
    <w:rsid w:val="00C67536"/>
    <w:rsid w:val="00C677F1"/>
    <w:rsid w:val="00C709BA"/>
    <w:rsid w:val="00C70B6C"/>
    <w:rsid w:val="00C70F3C"/>
    <w:rsid w:val="00C712B5"/>
    <w:rsid w:val="00C71BE2"/>
    <w:rsid w:val="00C71D38"/>
    <w:rsid w:val="00C72F89"/>
    <w:rsid w:val="00C73823"/>
    <w:rsid w:val="00C73B1A"/>
    <w:rsid w:val="00C74353"/>
    <w:rsid w:val="00C74721"/>
    <w:rsid w:val="00C74A75"/>
    <w:rsid w:val="00C752A1"/>
    <w:rsid w:val="00C7641B"/>
    <w:rsid w:val="00C7665A"/>
    <w:rsid w:val="00C76B0F"/>
    <w:rsid w:val="00C76B26"/>
    <w:rsid w:val="00C77083"/>
    <w:rsid w:val="00C772E1"/>
    <w:rsid w:val="00C77AD8"/>
    <w:rsid w:val="00C77F51"/>
    <w:rsid w:val="00C80906"/>
    <w:rsid w:val="00C81313"/>
    <w:rsid w:val="00C81D04"/>
    <w:rsid w:val="00C82672"/>
    <w:rsid w:val="00C82ADE"/>
    <w:rsid w:val="00C837E5"/>
    <w:rsid w:val="00C837FB"/>
    <w:rsid w:val="00C8491E"/>
    <w:rsid w:val="00C852D5"/>
    <w:rsid w:val="00C8580E"/>
    <w:rsid w:val="00C85AD6"/>
    <w:rsid w:val="00C867B7"/>
    <w:rsid w:val="00C86CF4"/>
    <w:rsid w:val="00C87474"/>
    <w:rsid w:val="00C8775F"/>
    <w:rsid w:val="00C87890"/>
    <w:rsid w:val="00C87B79"/>
    <w:rsid w:val="00C90129"/>
    <w:rsid w:val="00C906A8"/>
    <w:rsid w:val="00C9091D"/>
    <w:rsid w:val="00C90A77"/>
    <w:rsid w:val="00C90BB0"/>
    <w:rsid w:val="00C91BD8"/>
    <w:rsid w:val="00C924E3"/>
    <w:rsid w:val="00C926B1"/>
    <w:rsid w:val="00C92CDD"/>
    <w:rsid w:val="00C93055"/>
    <w:rsid w:val="00C93DA1"/>
    <w:rsid w:val="00C94377"/>
    <w:rsid w:val="00C9493D"/>
    <w:rsid w:val="00C94A65"/>
    <w:rsid w:val="00C94ABE"/>
    <w:rsid w:val="00C95869"/>
    <w:rsid w:val="00C95ACC"/>
    <w:rsid w:val="00C96105"/>
    <w:rsid w:val="00CA0409"/>
    <w:rsid w:val="00CA1630"/>
    <w:rsid w:val="00CA1768"/>
    <w:rsid w:val="00CA1EAC"/>
    <w:rsid w:val="00CA3A38"/>
    <w:rsid w:val="00CA40EB"/>
    <w:rsid w:val="00CA41CA"/>
    <w:rsid w:val="00CA4D13"/>
    <w:rsid w:val="00CA4FBE"/>
    <w:rsid w:val="00CA5CAC"/>
    <w:rsid w:val="00CA5E2C"/>
    <w:rsid w:val="00CA634C"/>
    <w:rsid w:val="00CA6B2C"/>
    <w:rsid w:val="00CA6C51"/>
    <w:rsid w:val="00CA7955"/>
    <w:rsid w:val="00CA7B1A"/>
    <w:rsid w:val="00CB002B"/>
    <w:rsid w:val="00CB04BB"/>
    <w:rsid w:val="00CB1000"/>
    <w:rsid w:val="00CB1063"/>
    <w:rsid w:val="00CB1370"/>
    <w:rsid w:val="00CB21ED"/>
    <w:rsid w:val="00CB23CE"/>
    <w:rsid w:val="00CB24A1"/>
    <w:rsid w:val="00CB2B2B"/>
    <w:rsid w:val="00CB2FFB"/>
    <w:rsid w:val="00CB391D"/>
    <w:rsid w:val="00CB39F4"/>
    <w:rsid w:val="00CB3E4C"/>
    <w:rsid w:val="00CB3EA8"/>
    <w:rsid w:val="00CB44A0"/>
    <w:rsid w:val="00CB4B9A"/>
    <w:rsid w:val="00CB5754"/>
    <w:rsid w:val="00CB5988"/>
    <w:rsid w:val="00CB5CB0"/>
    <w:rsid w:val="00CB6010"/>
    <w:rsid w:val="00CB6102"/>
    <w:rsid w:val="00CB68B9"/>
    <w:rsid w:val="00CB7076"/>
    <w:rsid w:val="00CB7241"/>
    <w:rsid w:val="00CB7B92"/>
    <w:rsid w:val="00CC052C"/>
    <w:rsid w:val="00CC06D2"/>
    <w:rsid w:val="00CC0C26"/>
    <w:rsid w:val="00CC264F"/>
    <w:rsid w:val="00CC28F7"/>
    <w:rsid w:val="00CC2E45"/>
    <w:rsid w:val="00CC2FB4"/>
    <w:rsid w:val="00CC35A2"/>
    <w:rsid w:val="00CC3C11"/>
    <w:rsid w:val="00CC527F"/>
    <w:rsid w:val="00CC57B6"/>
    <w:rsid w:val="00CC5D1C"/>
    <w:rsid w:val="00CC615E"/>
    <w:rsid w:val="00CC6360"/>
    <w:rsid w:val="00CC69F3"/>
    <w:rsid w:val="00CC6BD6"/>
    <w:rsid w:val="00CC7B09"/>
    <w:rsid w:val="00CC7CDF"/>
    <w:rsid w:val="00CD00D2"/>
    <w:rsid w:val="00CD01B6"/>
    <w:rsid w:val="00CD0382"/>
    <w:rsid w:val="00CD0A37"/>
    <w:rsid w:val="00CD0A6F"/>
    <w:rsid w:val="00CD0E6B"/>
    <w:rsid w:val="00CD1395"/>
    <w:rsid w:val="00CD169D"/>
    <w:rsid w:val="00CD16EA"/>
    <w:rsid w:val="00CD1E38"/>
    <w:rsid w:val="00CD21E1"/>
    <w:rsid w:val="00CD2297"/>
    <w:rsid w:val="00CD27D1"/>
    <w:rsid w:val="00CD3605"/>
    <w:rsid w:val="00CD3950"/>
    <w:rsid w:val="00CD3A63"/>
    <w:rsid w:val="00CD3B66"/>
    <w:rsid w:val="00CD3CAC"/>
    <w:rsid w:val="00CD4E4A"/>
    <w:rsid w:val="00CD5221"/>
    <w:rsid w:val="00CD5A52"/>
    <w:rsid w:val="00CD5CFD"/>
    <w:rsid w:val="00CD7139"/>
    <w:rsid w:val="00CD7187"/>
    <w:rsid w:val="00CD752A"/>
    <w:rsid w:val="00CD7BCC"/>
    <w:rsid w:val="00CE00A7"/>
    <w:rsid w:val="00CE0339"/>
    <w:rsid w:val="00CE05FE"/>
    <w:rsid w:val="00CE07CB"/>
    <w:rsid w:val="00CE11DF"/>
    <w:rsid w:val="00CE150F"/>
    <w:rsid w:val="00CE25EB"/>
    <w:rsid w:val="00CE2A3B"/>
    <w:rsid w:val="00CE2DEC"/>
    <w:rsid w:val="00CE2E05"/>
    <w:rsid w:val="00CE324E"/>
    <w:rsid w:val="00CE3431"/>
    <w:rsid w:val="00CE3B69"/>
    <w:rsid w:val="00CE4238"/>
    <w:rsid w:val="00CE4294"/>
    <w:rsid w:val="00CE4739"/>
    <w:rsid w:val="00CE4D4F"/>
    <w:rsid w:val="00CE4DC2"/>
    <w:rsid w:val="00CE5695"/>
    <w:rsid w:val="00CE58C0"/>
    <w:rsid w:val="00CE61CE"/>
    <w:rsid w:val="00CE61F0"/>
    <w:rsid w:val="00CE643A"/>
    <w:rsid w:val="00CE679E"/>
    <w:rsid w:val="00CE6F35"/>
    <w:rsid w:val="00CE707B"/>
    <w:rsid w:val="00CE7869"/>
    <w:rsid w:val="00CE7E40"/>
    <w:rsid w:val="00CF0BA3"/>
    <w:rsid w:val="00CF132F"/>
    <w:rsid w:val="00CF138B"/>
    <w:rsid w:val="00CF1CA3"/>
    <w:rsid w:val="00CF1CC9"/>
    <w:rsid w:val="00CF2083"/>
    <w:rsid w:val="00CF2316"/>
    <w:rsid w:val="00CF23B7"/>
    <w:rsid w:val="00CF2414"/>
    <w:rsid w:val="00CF247A"/>
    <w:rsid w:val="00CF2A83"/>
    <w:rsid w:val="00CF2BCA"/>
    <w:rsid w:val="00CF2FFD"/>
    <w:rsid w:val="00CF303C"/>
    <w:rsid w:val="00CF3355"/>
    <w:rsid w:val="00CF38F1"/>
    <w:rsid w:val="00CF3C61"/>
    <w:rsid w:val="00CF3E7D"/>
    <w:rsid w:val="00CF54F7"/>
    <w:rsid w:val="00CF5578"/>
    <w:rsid w:val="00CF57B3"/>
    <w:rsid w:val="00CF60A1"/>
    <w:rsid w:val="00CF68B8"/>
    <w:rsid w:val="00CF6D9D"/>
    <w:rsid w:val="00CF6FDD"/>
    <w:rsid w:val="00CF7047"/>
    <w:rsid w:val="00CF7138"/>
    <w:rsid w:val="00CF7852"/>
    <w:rsid w:val="00CF78D7"/>
    <w:rsid w:val="00D011DB"/>
    <w:rsid w:val="00D018C1"/>
    <w:rsid w:val="00D01979"/>
    <w:rsid w:val="00D01A55"/>
    <w:rsid w:val="00D01B9F"/>
    <w:rsid w:val="00D021E1"/>
    <w:rsid w:val="00D02C1B"/>
    <w:rsid w:val="00D03349"/>
    <w:rsid w:val="00D0387A"/>
    <w:rsid w:val="00D03B53"/>
    <w:rsid w:val="00D03F94"/>
    <w:rsid w:val="00D045FA"/>
    <w:rsid w:val="00D04DDC"/>
    <w:rsid w:val="00D0564C"/>
    <w:rsid w:val="00D05813"/>
    <w:rsid w:val="00D06522"/>
    <w:rsid w:val="00D06AF3"/>
    <w:rsid w:val="00D06D06"/>
    <w:rsid w:val="00D06FFD"/>
    <w:rsid w:val="00D07188"/>
    <w:rsid w:val="00D07CF1"/>
    <w:rsid w:val="00D11B3C"/>
    <w:rsid w:val="00D12A72"/>
    <w:rsid w:val="00D12C7E"/>
    <w:rsid w:val="00D13BAC"/>
    <w:rsid w:val="00D14BEA"/>
    <w:rsid w:val="00D14F2C"/>
    <w:rsid w:val="00D1507E"/>
    <w:rsid w:val="00D1574D"/>
    <w:rsid w:val="00D16B55"/>
    <w:rsid w:val="00D16E86"/>
    <w:rsid w:val="00D16F9C"/>
    <w:rsid w:val="00D1738D"/>
    <w:rsid w:val="00D17E2E"/>
    <w:rsid w:val="00D208A5"/>
    <w:rsid w:val="00D20938"/>
    <w:rsid w:val="00D210AC"/>
    <w:rsid w:val="00D21A51"/>
    <w:rsid w:val="00D21AFB"/>
    <w:rsid w:val="00D21BA3"/>
    <w:rsid w:val="00D21E8F"/>
    <w:rsid w:val="00D2308B"/>
    <w:rsid w:val="00D239BF"/>
    <w:rsid w:val="00D241F8"/>
    <w:rsid w:val="00D24486"/>
    <w:rsid w:val="00D249AE"/>
    <w:rsid w:val="00D25950"/>
    <w:rsid w:val="00D25C7B"/>
    <w:rsid w:val="00D269A7"/>
    <w:rsid w:val="00D26C3A"/>
    <w:rsid w:val="00D26C8A"/>
    <w:rsid w:val="00D26CF1"/>
    <w:rsid w:val="00D2739F"/>
    <w:rsid w:val="00D27971"/>
    <w:rsid w:val="00D279AC"/>
    <w:rsid w:val="00D27CDE"/>
    <w:rsid w:val="00D317F6"/>
    <w:rsid w:val="00D31EC6"/>
    <w:rsid w:val="00D31FDE"/>
    <w:rsid w:val="00D32300"/>
    <w:rsid w:val="00D327FB"/>
    <w:rsid w:val="00D32964"/>
    <w:rsid w:val="00D32E84"/>
    <w:rsid w:val="00D33023"/>
    <w:rsid w:val="00D33095"/>
    <w:rsid w:val="00D334E2"/>
    <w:rsid w:val="00D33ADA"/>
    <w:rsid w:val="00D34162"/>
    <w:rsid w:val="00D3494C"/>
    <w:rsid w:val="00D35432"/>
    <w:rsid w:val="00D35521"/>
    <w:rsid w:val="00D35E76"/>
    <w:rsid w:val="00D35E89"/>
    <w:rsid w:val="00D36309"/>
    <w:rsid w:val="00D366C8"/>
    <w:rsid w:val="00D3671F"/>
    <w:rsid w:val="00D36883"/>
    <w:rsid w:val="00D37353"/>
    <w:rsid w:val="00D37591"/>
    <w:rsid w:val="00D4020A"/>
    <w:rsid w:val="00D405B2"/>
    <w:rsid w:val="00D405C4"/>
    <w:rsid w:val="00D40ED7"/>
    <w:rsid w:val="00D418F6"/>
    <w:rsid w:val="00D41AFE"/>
    <w:rsid w:val="00D42B90"/>
    <w:rsid w:val="00D431AD"/>
    <w:rsid w:val="00D43539"/>
    <w:rsid w:val="00D439C2"/>
    <w:rsid w:val="00D44081"/>
    <w:rsid w:val="00D4468F"/>
    <w:rsid w:val="00D44EEB"/>
    <w:rsid w:val="00D450B5"/>
    <w:rsid w:val="00D457EE"/>
    <w:rsid w:val="00D45D70"/>
    <w:rsid w:val="00D461A3"/>
    <w:rsid w:val="00D4638F"/>
    <w:rsid w:val="00D46863"/>
    <w:rsid w:val="00D5007F"/>
    <w:rsid w:val="00D504EB"/>
    <w:rsid w:val="00D5092B"/>
    <w:rsid w:val="00D510D5"/>
    <w:rsid w:val="00D519FF"/>
    <w:rsid w:val="00D51FB7"/>
    <w:rsid w:val="00D52BBE"/>
    <w:rsid w:val="00D52D33"/>
    <w:rsid w:val="00D52D66"/>
    <w:rsid w:val="00D53A88"/>
    <w:rsid w:val="00D54202"/>
    <w:rsid w:val="00D545D8"/>
    <w:rsid w:val="00D5480E"/>
    <w:rsid w:val="00D54D39"/>
    <w:rsid w:val="00D54D4A"/>
    <w:rsid w:val="00D557F7"/>
    <w:rsid w:val="00D5587D"/>
    <w:rsid w:val="00D56211"/>
    <w:rsid w:val="00D564CC"/>
    <w:rsid w:val="00D56D34"/>
    <w:rsid w:val="00D56FB2"/>
    <w:rsid w:val="00D577BD"/>
    <w:rsid w:val="00D6081B"/>
    <w:rsid w:val="00D61143"/>
    <w:rsid w:val="00D62B59"/>
    <w:rsid w:val="00D6316D"/>
    <w:rsid w:val="00D632E0"/>
    <w:rsid w:val="00D6348B"/>
    <w:rsid w:val="00D637D2"/>
    <w:rsid w:val="00D63D4D"/>
    <w:rsid w:val="00D643EC"/>
    <w:rsid w:val="00D64EFF"/>
    <w:rsid w:val="00D65646"/>
    <w:rsid w:val="00D66582"/>
    <w:rsid w:val="00D66EE0"/>
    <w:rsid w:val="00D66F00"/>
    <w:rsid w:val="00D676AF"/>
    <w:rsid w:val="00D67B74"/>
    <w:rsid w:val="00D67ED3"/>
    <w:rsid w:val="00D717B5"/>
    <w:rsid w:val="00D722BE"/>
    <w:rsid w:val="00D728ED"/>
    <w:rsid w:val="00D72FAD"/>
    <w:rsid w:val="00D7410C"/>
    <w:rsid w:val="00D75515"/>
    <w:rsid w:val="00D757D9"/>
    <w:rsid w:val="00D75C22"/>
    <w:rsid w:val="00D75E3F"/>
    <w:rsid w:val="00D761D3"/>
    <w:rsid w:val="00D763AB"/>
    <w:rsid w:val="00D76675"/>
    <w:rsid w:val="00D766AA"/>
    <w:rsid w:val="00D76E14"/>
    <w:rsid w:val="00D772A0"/>
    <w:rsid w:val="00D77B3B"/>
    <w:rsid w:val="00D80086"/>
    <w:rsid w:val="00D807AE"/>
    <w:rsid w:val="00D80FF7"/>
    <w:rsid w:val="00D8117F"/>
    <w:rsid w:val="00D81E7C"/>
    <w:rsid w:val="00D82977"/>
    <w:rsid w:val="00D83725"/>
    <w:rsid w:val="00D839B1"/>
    <w:rsid w:val="00D844D1"/>
    <w:rsid w:val="00D84B80"/>
    <w:rsid w:val="00D85081"/>
    <w:rsid w:val="00D8523B"/>
    <w:rsid w:val="00D85846"/>
    <w:rsid w:val="00D85AA3"/>
    <w:rsid w:val="00D869C4"/>
    <w:rsid w:val="00D87207"/>
    <w:rsid w:val="00D878D8"/>
    <w:rsid w:val="00D87CB3"/>
    <w:rsid w:val="00D90A66"/>
    <w:rsid w:val="00D90C25"/>
    <w:rsid w:val="00D91270"/>
    <w:rsid w:val="00D91FAC"/>
    <w:rsid w:val="00D920F4"/>
    <w:rsid w:val="00D94073"/>
    <w:rsid w:val="00D94686"/>
    <w:rsid w:val="00D95F3E"/>
    <w:rsid w:val="00D96AB3"/>
    <w:rsid w:val="00D97067"/>
    <w:rsid w:val="00D970C0"/>
    <w:rsid w:val="00D979E2"/>
    <w:rsid w:val="00DA02B0"/>
    <w:rsid w:val="00DA0758"/>
    <w:rsid w:val="00DA0910"/>
    <w:rsid w:val="00DA1627"/>
    <w:rsid w:val="00DA176B"/>
    <w:rsid w:val="00DA1999"/>
    <w:rsid w:val="00DA1AE9"/>
    <w:rsid w:val="00DA3158"/>
    <w:rsid w:val="00DA3FAE"/>
    <w:rsid w:val="00DA4603"/>
    <w:rsid w:val="00DA46EF"/>
    <w:rsid w:val="00DA4CCC"/>
    <w:rsid w:val="00DA51DD"/>
    <w:rsid w:val="00DA69A6"/>
    <w:rsid w:val="00DA6A3C"/>
    <w:rsid w:val="00DB096A"/>
    <w:rsid w:val="00DB0BA5"/>
    <w:rsid w:val="00DB1507"/>
    <w:rsid w:val="00DB1D34"/>
    <w:rsid w:val="00DB1D5C"/>
    <w:rsid w:val="00DB28EF"/>
    <w:rsid w:val="00DB3349"/>
    <w:rsid w:val="00DB33F5"/>
    <w:rsid w:val="00DB3431"/>
    <w:rsid w:val="00DB36A7"/>
    <w:rsid w:val="00DB37A8"/>
    <w:rsid w:val="00DB3C15"/>
    <w:rsid w:val="00DB3C3E"/>
    <w:rsid w:val="00DB4770"/>
    <w:rsid w:val="00DB4D69"/>
    <w:rsid w:val="00DB502A"/>
    <w:rsid w:val="00DB548E"/>
    <w:rsid w:val="00DB558F"/>
    <w:rsid w:val="00DB5A41"/>
    <w:rsid w:val="00DB607B"/>
    <w:rsid w:val="00DB6E7E"/>
    <w:rsid w:val="00DB7248"/>
    <w:rsid w:val="00DB76F2"/>
    <w:rsid w:val="00DB77C2"/>
    <w:rsid w:val="00DB7D97"/>
    <w:rsid w:val="00DC0FC4"/>
    <w:rsid w:val="00DC17B3"/>
    <w:rsid w:val="00DC2A8D"/>
    <w:rsid w:val="00DC2D70"/>
    <w:rsid w:val="00DC2E32"/>
    <w:rsid w:val="00DC2E73"/>
    <w:rsid w:val="00DC3914"/>
    <w:rsid w:val="00DC4B66"/>
    <w:rsid w:val="00DC4CC5"/>
    <w:rsid w:val="00DC5303"/>
    <w:rsid w:val="00DC5460"/>
    <w:rsid w:val="00DC5ADA"/>
    <w:rsid w:val="00DC5F53"/>
    <w:rsid w:val="00DC6844"/>
    <w:rsid w:val="00DC71CF"/>
    <w:rsid w:val="00DD0050"/>
    <w:rsid w:val="00DD01B7"/>
    <w:rsid w:val="00DD029D"/>
    <w:rsid w:val="00DD06CB"/>
    <w:rsid w:val="00DD0C7B"/>
    <w:rsid w:val="00DD0E3A"/>
    <w:rsid w:val="00DD12DA"/>
    <w:rsid w:val="00DD1509"/>
    <w:rsid w:val="00DD26C1"/>
    <w:rsid w:val="00DD291C"/>
    <w:rsid w:val="00DD3064"/>
    <w:rsid w:val="00DD3734"/>
    <w:rsid w:val="00DD3B5A"/>
    <w:rsid w:val="00DD459D"/>
    <w:rsid w:val="00DD5929"/>
    <w:rsid w:val="00DD5C26"/>
    <w:rsid w:val="00DD5D00"/>
    <w:rsid w:val="00DD5DDD"/>
    <w:rsid w:val="00DD6453"/>
    <w:rsid w:val="00DD69DB"/>
    <w:rsid w:val="00DD6E5F"/>
    <w:rsid w:val="00DD6EEA"/>
    <w:rsid w:val="00DD745A"/>
    <w:rsid w:val="00DD7622"/>
    <w:rsid w:val="00DD7D6F"/>
    <w:rsid w:val="00DD7F77"/>
    <w:rsid w:val="00DE084E"/>
    <w:rsid w:val="00DE0FB0"/>
    <w:rsid w:val="00DE1238"/>
    <w:rsid w:val="00DE174B"/>
    <w:rsid w:val="00DE20E8"/>
    <w:rsid w:val="00DE42E7"/>
    <w:rsid w:val="00DE458B"/>
    <w:rsid w:val="00DE4EC1"/>
    <w:rsid w:val="00DE5799"/>
    <w:rsid w:val="00DE57BE"/>
    <w:rsid w:val="00DE6A5E"/>
    <w:rsid w:val="00DE6AE8"/>
    <w:rsid w:val="00DE6F47"/>
    <w:rsid w:val="00DE7B4E"/>
    <w:rsid w:val="00DE7D13"/>
    <w:rsid w:val="00DF04C5"/>
    <w:rsid w:val="00DF0668"/>
    <w:rsid w:val="00DF0EAB"/>
    <w:rsid w:val="00DF2ADD"/>
    <w:rsid w:val="00DF3110"/>
    <w:rsid w:val="00DF3A48"/>
    <w:rsid w:val="00DF4FAD"/>
    <w:rsid w:val="00DF56D5"/>
    <w:rsid w:val="00DF5F9D"/>
    <w:rsid w:val="00DF6456"/>
    <w:rsid w:val="00DF6A80"/>
    <w:rsid w:val="00DF71BA"/>
    <w:rsid w:val="00DF7215"/>
    <w:rsid w:val="00DF7742"/>
    <w:rsid w:val="00DF7819"/>
    <w:rsid w:val="00E006B9"/>
    <w:rsid w:val="00E007A3"/>
    <w:rsid w:val="00E00E5B"/>
    <w:rsid w:val="00E0168B"/>
    <w:rsid w:val="00E02411"/>
    <w:rsid w:val="00E027BE"/>
    <w:rsid w:val="00E02D0D"/>
    <w:rsid w:val="00E03184"/>
    <w:rsid w:val="00E040AD"/>
    <w:rsid w:val="00E04292"/>
    <w:rsid w:val="00E043F1"/>
    <w:rsid w:val="00E04826"/>
    <w:rsid w:val="00E049ED"/>
    <w:rsid w:val="00E04E90"/>
    <w:rsid w:val="00E04F1B"/>
    <w:rsid w:val="00E05556"/>
    <w:rsid w:val="00E0575D"/>
    <w:rsid w:val="00E05A85"/>
    <w:rsid w:val="00E06CFD"/>
    <w:rsid w:val="00E06D37"/>
    <w:rsid w:val="00E1024F"/>
    <w:rsid w:val="00E1078F"/>
    <w:rsid w:val="00E111A3"/>
    <w:rsid w:val="00E1125E"/>
    <w:rsid w:val="00E11711"/>
    <w:rsid w:val="00E117E2"/>
    <w:rsid w:val="00E11900"/>
    <w:rsid w:val="00E11A0B"/>
    <w:rsid w:val="00E12CAF"/>
    <w:rsid w:val="00E135B7"/>
    <w:rsid w:val="00E1370C"/>
    <w:rsid w:val="00E1382C"/>
    <w:rsid w:val="00E13C47"/>
    <w:rsid w:val="00E13DB6"/>
    <w:rsid w:val="00E14DAF"/>
    <w:rsid w:val="00E14EB1"/>
    <w:rsid w:val="00E15D63"/>
    <w:rsid w:val="00E1779D"/>
    <w:rsid w:val="00E177C1"/>
    <w:rsid w:val="00E17A62"/>
    <w:rsid w:val="00E20FAF"/>
    <w:rsid w:val="00E2121E"/>
    <w:rsid w:val="00E21397"/>
    <w:rsid w:val="00E239AD"/>
    <w:rsid w:val="00E23B8F"/>
    <w:rsid w:val="00E242AB"/>
    <w:rsid w:val="00E24A53"/>
    <w:rsid w:val="00E24AFA"/>
    <w:rsid w:val="00E24E65"/>
    <w:rsid w:val="00E24FEF"/>
    <w:rsid w:val="00E253E6"/>
    <w:rsid w:val="00E257C9"/>
    <w:rsid w:val="00E25E10"/>
    <w:rsid w:val="00E25F68"/>
    <w:rsid w:val="00E262CE"/>
    <w:rsid w:val="00E26710"/>
    <w:rsid w:val="00E27101"/>
    <w:rsid w:val="00E2719B"/>
    <w:rsid w:val="00E2766F"/>
    <w:rsid w:val="00E276AF"/>
    <w:rsid w:val="00E2792C"/>
    <w:rsid w:val="00E305E7"/>
    <w:rsid w:val="00E31948"/>
    <w:rsid w:val="00E31CA4"/>
    <w:rsid w:val="00E31F89"/>
    <w:rsid w:val="00E321F2"/>
    <w:rsid w:val="00E322B5"/>
    <w:rsid w:val="00E32629"/>
    <w:rsid w:val="00E3321D"/>
    <w:rsid w:val="00E33A1A"/>
    <w:rsid w:val="00E33A9C"/>
    <w:rsid w:val="00E34EB7"/>
    <w:rsid w:val="00E35099"/>
    <w:rsid w:val="00E3553B"/>
    <w:rsid w:val="00E356A7"/>
    <w:rsid w:val="00E356FF"/>
    <w:rsid w:val="00E35B8F"/>
    <w:rsid w:val="00E36352"/>
    <w:rsid w:val="00E3637F"/>
    <w:rsid w:val="00E36C5D"/>
    <w:rsid w:val="00E37005"/>
    <w:rsid w:val="00E372A3"/>
    <w:rsid w:val="00E37BD5"/>
    <w:rsid w:val="00E4018B"/>
    <w:rsid w:val="00E40C0E"/>
    <w:rsid w:val="00E40CA7"/>
    <w:rsid w:val="00E4164F"/>
    <w:rsid w:val="00E41AAE"/>
    <w:rsid w:val="00E41DCD"/>
    <w:rsid w:val="00E420C4"/>
    <w:rsid w:val="00E42E43"/>
    <w:rsid w:val="00E44EC2"/>
    <w:rsid w:val="00E45965"/>
    <w:rsid w:val="00E461C3"/>
    <w:rsid w:val="00E47359"/>
    <w:rsid w:val="00E47BA8"/>
    <w:rsid w:val="00E47E54"/>
    <w:rsid w:val="00E500C0"/>
    <w:rsid w:val="00E5015C"/>
    <w:rsid w:val="00E50782"/>
    <w:rsid w:val="00E5126D"/>
    <w:rsid w:val="00E51312"/>
    <w:rsid w:val="00E51F9B"/>
    <w:rsid w:val="00E53185"/>
    <w:rsid w:val="00E53340"/>
    <w:rsid w:val="00E548C3"/>
    <w:rsid w:val="00E548EC"/>
    <w:rsid w:val="00E54E53"/>
    <w:rsid w:val="00E5542F"/>
    <w:rsid w:val="00E55971"/>
    <w:rsid w:val="00E55C19"/>
    <w:rsid w:val="00E56E2D"/>
    <w:rsid w:val="00E56E3B"/>
    <w:rsid w:val="00E56E6A"/>
    <w:rsid w:val="00E56E70"/>
    <w:rsid w:val="00E5794F"/>
    <w:rsid w:val="00E57F1F"/>
    <w:rsid w:val="00E57FD8"/>
    <w:rsid w:val="00E607F1"/>
    <w:rsid w:val="00E62520"/>
    <w:rsid w:val="00E627CB"/>
    <w:rsid w:val="00E62C63"/>
    <w:rsid w:val="00E62E0C"/>
    <w:rsid w:val="00E636F1"/>
    <w:rsid w:val="00E64D73"/>
    <w:rsid w:val="00E65016"/>
    <w:rsid w:val="00E6538E"/>
    <w:rsid w:val="00E655A5"/>
    <w:rsid w:val="00E659AC"/>
    <w:rsid w:val="00E65AE8"/>
    <w:rsid w:val="00E661B0"/>
    <w:rsid w:val="00E666F1"/>
    <w:rsid w:val="00E6691F"/>
    <w:rsid w:val="00E66939"/>
    <w:rsid w:val="00E66FAC"/>
    <w:rsid w:val="00E67267"/>
    <w:rsid w:val="00E675A1"/>
    <w:rsid w:val="00E67CFA"/>
    <w:rsid w:val="00E67E64"/>
    <w:rsid w:val="00E67FBB"/>
    <w:rsid w:val="00E70DBC"/>
    <w:rsid w:val="00E70E1B"/>
    <w:rsid w:val="00E710A7"/>
    <w:rsid w:val="00E7219C"/>
    <w:rsid w:val="00E72F2F"/>
    <w:rsid w:val="00E72F57"/>
    <w:rsid w:val="00E72F8E"/>
    <w:rsid w:val="00E730F3"/>
    <w:rsid w:val="00E7372B"/>
    <w:rsid w:val="00E73B77"/>
    <w:rsid w:val="00E74286"/>
    <w:rsid w:val="00E744CA"/>
    <w:rsid w:val="00E74542"/>
    <w:rsid w:val="00E748A7"/>
    <w:rsid w:val="00E74AB2"/>
    <w:rsid w:val="00E74BBF"/>
    <w:rsid w:val="00E74D67"/>
    <w:rsid w:val="00E754A8"/>
    <w:rsid w:val="00E7557A"/>
    <w:rsid w:val="00E75761"/>
    <w:rsid w:val="00E75A03"/>
    <w:rsid w:val="00E75D12"/>
    <w:rsid w:val="00E75E1A"/>
    <w:rsid w:val="00E76029"/>
    <w:rsid w:val="00E76355"/>
    <w:rsid w:val="00E76D73"/>
    <w:rsid w:val="00E77E9F"/>
    <w:rsid w:val="00E80016"/>
    <w:rsid w:val="00E8063D"/>
    <w:rsid w:val="00E81313"/>
    <w:rsid w:val="00E818A1"/>
    <w:rsid w:val="00E82451"/>
    <w:rsid w:val="00E83479"/>
    <w:rsid w:val="00E8365A"/>
    <w:rsid w:val="00E83E03"/>
    <w:rsid w:val="00E83F66"/>
    <w:rsid w:val="00E84708"/>
    <w:rsid w:val="00E84EC5"/>
    <w:rsid w:val="00E85281"/>
    <w:rsid w:val="00E857AE"/>
    <w:rsid w:val="00E85A29"/>
    <w:rsid w:val="00E860CD"/>
    <w:rsid w:val="00E862DC"/>
    <w:rsid w:val="00E86749"/>
    <w:rsid w:val="00E87A4A"/>
    <w:rsid w:val="00E90AEC"/>
    <w:rsid w:val="00E9189D"/>
    <w:rsid w:val="00E925BB"/>
    <w:rsid w:val="00E92E5D"/>
    <w:rsid w:val="00E93172"/>
    <w:rsid w:val="00E93D13"/>
    <w:rsid w:val="00E9406D"/>
    <w:rsid w:val="00E9406E"/>
    <w:rsid w:val="00E941E5"/>
    <w:rsid w:val="00E9496E"/>
    <w:rsid w:val="00E94AED"/>
    <w:rsid w:val="00E94C64"/>
    <w:rsid w:val="00E94E02"/>
    <w:rsid w:val="00E95BE0"/>
    <w:rsid w:val="00E960FE"/>
    <w:rsid w:val="00E962F5"/>
    <w:rsid w:val="00E96409"/>
    <w:rsid w:val="00E978A6"/>
    <w:rsid w:val="00EA05A9"/>
    <w:rsid w:val="00EA0735"/>
    <w:rsid w:val="00EA0D1A"/>
    <w:rsid w:val="00EA1131"/>
    <w:rsid w:val="00EA21A7"/>
    <w:rsid w:val="00EA2CCF"/>
    <w:rsid w:val="00EA32AF"/>
    <w:rsid w:val="00EA34FE"/>
    <w:rsid w:val="00EA3514"/>
    <w:rsid w:val="00EA462B"/>
    <w:rsid w:val="00EA46CE"/>
    <w:rsid w:val="00EA4DEB"/>
    <w:rsid w:val="00EA5357"/>
    <w:rsid w:val="00EA5369"/>
    <w:rsid w:val="00EA5950"/>
    <w:rsid w:val="00EA5953"/>
    <w:rsid w:val="00EA5BA7"/>
    <w:rsid w:val="00EA6380"/>
    <w:rsid w:val="00EA68CC"/>
    <w:rsid w:val="00EA6908"/>
    <w:rsid w:val="00EA7CE6"/>
    <w:rsid w:val="00EB062C"/>
    <w:rsid w:val="00EB106A"/>
    <w:rsid w:val="00EB14BA"/>
    <w:rsid w:val="00EB194F"/>
    <w:rsid w:val="00EB19BE"/>
    <w:rsid w:val="00EB1D46"/>
    <w:rsid w:val="00EB2420"/>
    <w:rsid w:val="00EB2A17"/>
    <w:rsid w:val="00EB3675"/>
    <w:rsid w:val="00EB3853"/>
    <w:rsid w:val="00EB3CFB"/>
    <w:rsid w:val="00EB4398"/>
    <w:rsid w:val="00EB49A4"/>
    <w:rsid w:val="00EB4ABD"/>
    <w:rsid w:val="00EB4AC4"/>
    <w:rsid w:val="00EB4BA0"/>
    <w:rsid w:val="00EB4C15"/>
    <w:rsid w:val="00EB4C60"/>
    <w:rsid w:val="00EB6749"/>
    <w:rsid w:val="00EB7242"/>
    <w:rsid w:val="00EB7636"/>
    <w:rsid w:val="00EB76CD"/>
    <w:rsid w:val="00EB7B67"/>
    <w:rsid w:val="00EC04FE"/>
    <w:rsid w:val="00EC093A"/>
    <w:rsid w:val="00EC12EA"/>
    <w:rsid w:val="00EC1C91"/>
    <w:rsid w:val="00EC1F30"/>
    <w:rsid w:val="00EC2F87"/>
    <w:rsid w:val="00EC311A"/>
    <w:rsid w:val="00EC3FF9"/>
    <w:rsid w:val="00EC43FF"/>
    <w:rsid w:val="00EC4784"/>
    <w:rsid w:val="00EC4A5A"/>
    <w:rsid w:val="00EC5442"/>
    <w:rsid w:val="00EC563A"/>
    <w:rsid w:val="00EC56BE"/>
    <w:rsid w:val="00EC6056"/>
    <w:rsid w:val="00EC717B"/>
    <w:rsid w:val="00EC758C"/>
    <w:rsid w:val="00EC76A7"/>
    <w:rsid w:val="00EC7BFC"/>
    <w:rsid w:val="00ED00C8"/>
    <w:rsid w:val="00ED0350"/>
    <w:rsid w:val="00ED0672"/>
    <w:rsid w:val="00ED0C61"/>
    <w:rsid w:val="00ED10E1"/>
    <w:rsid w:val="00ED198D"/>
    <w:rsid w:val="00ED294A"/>
    <w:rsid w:val="00ED2AC6"/>
    <w:rsid w:val="00ED3F0F"/>
    <w:rsid w:val="00ED459C"/>
    <w:rsid w:val="00ED459E"/>
    <w:rsid w:val="00ED4874"/>
    <w:rsid w:val="00ED4B2C"/>
    <w:rsid w:val="00ED5590"/>
    <w:rsid w:val="00ED63B1"/>
    <w:rsid w:val="00ED67A1"/>
    <w:rsid w:val="00ED7D68"/>
    <w:rsid w:val="00EE0132"/>
    <w:rsid w:val="00EE0426"/>
    <w:rsid w:val="00EE0B90"/>
    <w:rsid w:val="00EE0E2E"/>
    <w:rsid w:val="00EE26C7"/>
    <w:rsid w:val="00EE27C3"/>
    <w:rsid w:val="00EE2AAE"/>
    <w:rsid w:val="00EE3006"/>
    <w:rsid w:val="00EE3221"/>
    <w:rsid w:val="00EE42B9"/>
    <w:rsid w:val="00EE467E"/>
    <w:rsid w:val="00EE49C9"/>
    <w:rsid w:val="00EE4FB5"/>
    <w:rsid w:val="00EE5437"/>
    <w:rsid w:val="00EE5931"/>
    <w:rsid w:val="00EE6011"/>
    <w:rsid w:val="00EE6790"/>
    <w:rsid w:val="00EE6976"/>
    <w:rsid w:val="00EE740D"/>
    <w:rsid w:val="00EE7760"/>
    <w:rsid w:val="00EE7ECC"/>
    <w:rsid w:val="00EF062B"/>
    <w:rsid w:val="00EF0FE2"/>
    <w:rsid w:val="00EF16C0"/>
    <w:rsid w:val="00EF1873"/>
    <w:rsid w:val="00EF20EA"/>
    <w:rsid w:val="00EF383B"/>
    <w:rsid w:val="00EF388B"/>
    <w:rsid w:val="00EF389E"/>
    <w:rsid w:val="00EF3D0B"/>
    <w:rsid w:val="00EF3E71"/>
    <w:rsid w:val="00EF3EB7"/>
    <w:rsid w:val="00EF4ECF"/>
    <w:rsid w:val="00EF502C"/>
    <w:rsid w:val="00EF5788"/>
    <w:rsid w:val="00EF6074"/>
    <w:rsid w:val="00EF6D9A"/>
    <w:rsid w:val="00F00387"/>
    <w:rsid w:val="00F00BFB"/>
    <w:rsid w:val="00F02080"/>
    <w:rsid w:val="00F03215"/>
    <w:rsid w:val="00F035F7"/>
    <w:rsid w:val="00F03876"/>
    <w:rsid w:val="00F0502F"/>
    <w:rsid w:val="00F056F2"/>
    <w:rsid w:val="00F05C54"/>
    <w:rsid w:val="00F05F01"/>
    <w:rsid w:val="00F06142"/>
    <w:rsid w:val="00F06ECE"/>
    <w:rsid w:val="00F070AB"/>
    <w:rsid w:val="00F070C1"/>
    <w:rsid w:val="00F07566"/>
    <w:rsid w:val="00F1181F"/>
    <w:rsid w:val="00F11900"/>
    <w:rsid w:val="00F11C7A"/>
    <w:rsid w:val="00F1216B"/>
    <w:rsid w:val="00F12999"/>
    <w:rsid w:val="00F13985"/>
    <w:rsid w:val="00F14568"/>
    <w:rsid w:val="00F1492C"/>
    <w:rsid w:val="00F14E8B"/>
    <w:rsid w:val="00F14EF4"/>
    <w:rsid w:val="00F14FD3"/>
    <w:rsid w:val="00F15173"/>
    <w:rsid w:val="00F15A40"/>
    <w:rsid w:val="00F15C33"/>
    <w:rsid w:val="00F161A0"/>
    <w:rsid w:val="00F16E4B"/>
    <w:rsid w:val="00F17819"/>
    <w:rsid w:val="00F17AEF"/>
    <w:rsid w:val="00F20149"/>
    <w:rsid w:val="00F209AE"/>
    <w:rsid w:val="00F209FA"/>
    <w:rsid w:val="00F20A8C"/>
    <w:rsid w:val="00F20D13"/>
    <w:rsid w:val="00F20FE3"/>
    <w:rsid w:val="00F21070"/>
    <w:rsid w:val="00F211FA"/>
    <w:rsid w:val="00F21A22"/>
    <w:rsid w:val="00F21C15"/>
    <w:rsid w:val="00F235FB"/>
    <w:rsid w:val="00F24B21"/>
    <w:rsid w:val="00F24B3A"/>
    <w:rsid w:val="00F256CD"/>
    <w:rsid w:val="00F25A7C"/>
    <w:rsid w:val="00F25BFC"/>
    <w:rsid w:val="00F25E79"/>
    <w:rsid w:val="00F26CC7"/>
    <w:rsid w:val="00F26FD1"/>
    <w:rsid w:val="00F270F1"/>
    <w:rsid w:val="00F271F5"/>
    <w:rsid w:val="00F2736B"/>
    <w:rsid w:val="00F2788D"/>
    <w:rsid w:val="00F278BB"/>
    <w:rsid w:val="00F27A10"/>
    <w:rsid w:val="00F30C1C"/>
    <w:rsid w:val="00F31255"/>
    <w:rsid w:val="00F31B9D"/>
    <w:rsid w:val="00F31CF1"/>
    <w:rsid w:val="00F32188"/>
    <w:rsid w:val="00F3227B"/>
    <w:rsid w:val="00F32743"/>
    <w:rsid w:val="00F33190"/>
    <w:rsid w:val="00F335D7"/>
    <w:rsid w:val="00F34352"/>
    <w:rsid w:val="00F35516"/>
    <w:rsid w:val="00F3583E"/>
    <w:rsid w:val="00F3636D"/>
    <w:rsid w:val="00F36475"/>
    <w:rsid w:val="00F365B7"/>
    <w:rsid w:val="00F36861"/>
    <w:rsid w:val="00F37000"/>
    <w:rsid w:val="00F3715F"/>
    <w:rsid w:val="00F374D7"/>
    <w:rsid w:val="00F37792"/>
    <w:rsid w:val="00F37ECE"/>
    <w:rsid w:val="00F37F2D"/>
    <w:rsid w:val="00F40488"/>
    <w:rsid w:val="00F411AB"/>
    <w:rsid w:val="00F41607"/>
    <w:rsid w:val="00F42D40"/>
    <w:rsid w:val="00F42E34"/>
    <w:rsid w:val="00F433D0"/>
    <w:rsid w:val="00F43436"/>
    <w:rsid w:val="00F436EF"/>
    <w:rsid w:val="00F43E0F"/>
    <w:rsid w:val="00F4405D"/>
    <w:rsid w:val="00F44CBD"/>
    <w:rsid w:val="00F455F9"/>
    <w:rsid w:val="00F45BBD"/>
    <w:rsid w:val="00F45F75"/>
    <w:rsid w:val="00F4612E"/>
    <w:rsid w:val="00F46951"/>
    <w:rsid w:val="00F46BE7"/>
    <w:rsid w:val="00F46D8D"/>
    <w:rsid w:val="00F47411"/>
    <w:rsid w:val="00F47DC0"/>
    <w:rsid w:val="00F504ED"/>
    <w:rsid w:val="00F510D8"/>
    <w:rsid w:val="00F51BD6"/>
    <w:rsid w:val="00F51D07"/>
    <w:rsid w:val="00F528FE"/>
    <w:rsid w:val="00F52E7D"/>
    <w:rsid w:val="00F548AD"/>
    <w:rsid w:val="00F55109"/>
    <w:rsid w:val="00F555A3"/>
    <w:rsid w:val="00F55820"/>
    <w:rsid w:val="00F55A4B"/>
    <w:rsid w:val="00F55DB8"/>
    <w:rsid w:val="00F55E36"/>
    <w:rsid w:val="00F56128"/>
    <w:rsid w:val="00F5617A"/>
    <w:rsid w:val="00F56552"/>
    <w:rsid w:val="00F5657D"/>
    <w:rsid w:val="00F56676"/>
    <w:rsid w:val="00F56AAE"/>
    <w:rsid w:val="00F56BDA"/>
    <w:rsid w:val="00F5708F"/>
    <w:rsid w:val="00F57154"/>
    <w:rsid w:val="00F57242"/>
    <w:rsid w:val="00F57435"/>
    <w:rsid w:val="00F579D4"/>
    <w:rsid w:val="00F57DC1"/>
    <w:rsid w:val="00F6109A"/>
    <w:rsid w:val="00F61154"/>
    <w:rsid w:val="00F611A7"/>
    <w:rsid w:val="00F61BFD"/>
    <w:rsid w:val="00F63073"/>
    <w:rsid w:val="00F63138"/>
    <w:rsid w:val="00F6377C"/>
    <w:rsid w:val="00F63C16"/>
    <w:rsid w:val="00F63FC9"/>
    <w:rsid w:val="00F6490E"/>
    <w:rsid w:val="00F6497A"/>
    <w:rsid w:val="00F64B71"/>
    <w:rsid w:val="00F64BA6"/>
    <w:rsid w:val="00F64E25"/>
    <w:rsid w:val="00F6521A"/>
    <w:rsid w:val="00F65524"/>
    <w:rsid w:val="00F65908"/>
    <w:rsid w:val="00F65CC7"/>
    <w:rsid w:val="00F65E9F"/>
    <w:rsid w:val="00F66189"/>
    <w:rsid w:val="00F66F04"/>
    <w:rsid w:val="00F672E1"/>
    <w:rsid w:val="00F67BD3"/>
    <w:rsid w:val="00F70150"/>
    <w:rsid w:val="00F70284"/>
    <w:rsid w:val="00F70A1B"/>
    <w:rsid w:val="00F70E0F"/>
    <w:rsid w:val="00F70E2B"/>
    <w:rsid w:val="00F70FF0"/>
    <w:rsid w:val="00F7106C"/>
    <w:rsid w:val="00F7180D"/>
    <w:rsid w:val="00F71FF7"/>
    <w:rsid w:val="00F72774"/>
    <w:rsid w:val="00F732D0"/>
    <w:rsid w:val="00F73487"/>
    <w:rsid w:val="00F7391B"/>
    <w:rsid w:val="00F73D87"/>
    <w:rsid w:val="00F73D9B"/>
    <w:rsid w:val="00F740BD"/>
    <w:rsid w:val="00F74282"/>
    <w:rsid w:val="00F74CD6"/>
    <w:rsid w:val="00F7514C"/>
    <w:rsid w:val="00F76C8D"/>
    <w:rsid w:val="00F777E7"/>
    <w:rsid w:val="00F77E11"/>
    <w:rsid w:val="00F8056E"/>
    <w:rsid w:val="00F82208"/>
    <w:rsid w:val="00F82576"/>
    <w:rsid w:val="00F8267B"/>
    <w:rsid w:val="00F83214"/>
    <w:rsid w:val="00F83C7D"/>
    <w:rsid w:val="00F83F8E"/>
    <w:rsid w:val="00F84240"/>
    <w:rsid w:val="00F84518"/>
    <w:rsid w:val="00F84BE5"/>
    <w:rsid w:val="00F84BEC"/>
    <w:rsid w:val="00F84DA6"/>
    <w:rsid w:val="00F85174"/>
    <w:rsid w:val="00F85425"/>
    <w:rsid w:val="00F85C2A"/>
    <w:rsid w:val="00F86169"/>
    <w:rsid w:val="00F9044A"/>
    <w:rsid w:val="00F90457"/>
    <w:rsid w:val="00F906F6"/>
    <w:rsid w:val="00F90969"/>
    <w:rsid w:val="00F92503"/>
    <w:rsid w:val="00F9259A"/>
    <w:rsid w:val="00F925AE"/>
    <w:rsid w:val="00F929DB"/>
    <w:rsid w:val="00F931B4"/>
    <w:rsid w:val="00F935FB"/>
    <w:rsid w:val="00F936F9"/>
    <w:rsid w:val="00F93DAB"/>
    <w:rsid w:val="00F93E7B"/>
    <w:rsid w:val="00F94EAE"/>
    <w:rsid w:val="00F94F3F"/>
    <w:rsid w:val="00F953CF"/>
    <w:rsid w:val="00F95BBC"/>
    <w:rsid w:val="00F96515"/>
    <w:rsid w:val="00F96A24"/>
    <w:rsid w:val="00F96B8E"/>
    <w:rsid w:val="00F97B4C"/>
    <w:rsid w:val="00FA0006"/>
    <w:rsid w:val="00FA05BE"/>
    <w:rsid w:val="00FA1045"/>
    <w:rsid w:val="00FA2893"/>
    <w:rsid w:val="00FA35DE"/>
    <w:rsid w:val="00FA4950"/>
    <w:rsid w:val="00FA4B06"/>
    <w:rsid w:val="00FA5968"/>
    <w:rsid w:val="00FA5B6A"/>
    <w:rsid w:val="00FA63F2"/>
    <w:rsid w:val="00FA673C"/>
    <w:rsid w:val="00FA6A01"/>
    <w:rsid w:val="00FA730F"/>
    <w:rsid w:val="00FA7D67"/>
    <w:rsid w:val="00FB04EE"/>
    <w:rsid w:val="00FB0EE1"/>
    <w:rsid w:val="00FB1086"/>
    <w:rsid w:val="00FB14C0"/>
    <w:rsid w:val="00FB1ACF"/>
    <w:rsid w:val="00FB2696"/>
    <w:rsid w:val="00FB2ABD"/>
    <w:rsid w:val="00FB3235"/>
    <w:rsid w:val="00FB38AE"/>
    <w:rsid w:val="00FB3F65"/>
    <w:rsid w:val="00FB4274"/>
    <w:rsid w:val="00FB49F2"/>
    <w:rsid w:val="00FB598F"/>
    <w:rsid w:val="00FB5F78"/>
    <w:rsid w:val="00FB682C"/>
    <w:rsid w:val="00FB69AB"/>
    <w:rsid w:val="00FB6DCB"/>
    <w:rsid w:val="00FB7A24"/>
    <w:rsid w:val="00FB7C70"/>
    <w:rsid w:val="00FC0001"/>
    <w:rsid w:val="00FC02B4"/>
    <w:rsid w:val="00FC0CAB"/>
    <w:rsid w:val="00FC129D"/>
    <w:rsid w:val="00FC1D53"/>
    <w:rsid w:val="00FC249E"/>
    <w:rsid w:val="00FC2DA9"/>
    <w:rsid w:val="00FC309D"/>
    <w:rsid w:val="00FC359D"/>
    <w:rsid w:val="00FC46B9"/>
    <w:rsid w:val="00FC4ED3"/>
    <w:rsid w:val="00FC4F60"/>
    <w:rsid w:val="00FC5213"/>
    <w:rsid w:val="00FC5455"/>
    <w:rsid w:val="00FC583F"/>
    <w:rsid w:val="00FC68B6"/>
    <w:rsid w:val="00FC6C96"/>
    <w:rsid w:val="00FC7E04"/>
    <w:rsid w:val="00FD0BA6"/>
    <w:rsid w:val="00FD12AD"/>
    <w:rsid w:val="00FD1C82"/>
    <w:rsid w:val="00FD2057"/>
    <w:rsid w:val="00FD22CC"/>
    <w:rsid w:val="00FD31A1"/>
    <w:rsid w:val="00FD46FE"/>
    <w:rsid w:val="00FD4A57"/>
    <w:rsid w:val="00FD5209"/>
    <w:rsid w:val="00FD53D5"/>
    <w:rsid w:val="00FD5819"/>
    <w:rsid w:val="00FD5B1B"/>
    <w:rsid w:val="00FD60FD"/>
    <w:rsid w:val="00FD6810"/>
    <w:rsid w:val="00FD7188"/>
    <w:rsid w:val="00FE00AD"/>
    <w:rsid w:val="00FE024F"/>
    <w:rsid w:val="00FE0FDF"/>
    <w:rsid w:val="00FE19A2"/>
    <w:rsid w:val="00FE1CE2"/>
    <w:rsid w:val="00FE2119"/>
    <w:rsid w:val="00FE2202"/>
    <w:rsid w:val="00FE23DA"/>
    <w:rsid w:val="00FE2712"/>
    <w:rsid w:val="00FE3150"/>
    <w:rsid w:val="00FE4EE6"/>
    <w:rsid w:val="00FE52AB"/>
    <w:rsid w:val="00FE531E"/>
    <w:rsid w:val="00FE57BE"/>
    <w:rsid w:val="00FE59DE"/>
    <w:rsid w:val="00FE5A22"/>
    <w:rsid w:val="00FE5A35"/>
    <w:rsid w:val="00FE5BB1"/>
    <w:rsid w:val="00FE5E8C"/>
    <w:rsid w:val="00FE67AF"/>
    <w:rsid w:val="00FE6824"/>
    <w:rsid w:val="00FE6DA8"/>
    <w:rsid w:val="00FE743B"/>
    <w:rsid w:val="00FF00EA"/>
    <w:rsid w:val="00FF0849"/>
    <w:rsid w:val="00FF0B5A"/>
    <w:rsid w:val="00FF0D37"/>
    <w:rsid w:val="00FF0E5A"/>
    <w:rsid w:val="00FF20B3"/>
    <w:rsid w:val="00FF2536"/>
    <w:rsid w:val="00FF360B"/>
    <w:rsid w:val="00FF438D"/>
    <w:rsid w:val="00FF4610"/>
    <w:rsid w:val="00FF4646"/>
    <w:rsid w:val="00FF5026"/>
    <w:rsid w:val="00FF63C7"/>
    <w:rsid w:val="00FF6E60"/>
    <w:rsid w:val="00FF71F5"/>
    <w:rsid w:val="00FF7BF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2BE9F3"/>
  <w15:docId w15:val="{5238399F-EB0D-4F47-BE34-61317B18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223"/>
    <w:pPr>
      <w:spacing w:after="0" w:line="240" w:lineRule="auto"/>
    </w:pPr>
    <w:rPr>
      <w:rFonts w:ascii="Times New Roman" w:eastAsia="Times New Roman" w:hAnsi="Times New Roman" w:cs="Times New Roman"/>
      <w:sz w:val="20"/>
      <w:szCs w:val="20"/>
      <w:lang w:eastAsia="es-MX"/>
    </w:rPr>
  </w:style>
  <w:style w:type="paragraph" w:styleId="Heading1">
    <w:name w:val="heading 1"/>
    <w:basedOn w:val="Normal"/>
    <w:next w:val="Normal"/>
    <w:link w:val="Heading1Char"/>
    <w:uiPriority w:val="9"/>
    <w:qFormat/>
    <w:rsid w:val="0065734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ListParagraph"/>
    <w:next w:val="Normal"/>
    <w:link w:val="Heading3Char"/>
    <w:uiPriority w:val="1"/>
    <w:unhideWhenUsed/>
    <w:qFormat/>
    <w:rsid w:val="006527EB"/>
    <w:pPr>
      <w:numPr>
        <w:numId w:val="2"/>
      </w:numPr>
      <w:spacing w:before="360" w:after="360" w:line="360" w:lineRule="auto"/>
      <w:contextualSpacing/>
      <w:jc w:val="center"/>
      <w:outlineLvl w:val="2"/>
    </w:pPr>
    <w:rPr>
      <w:rFonts w:ascii="Arial" w:eastAsiaTheme="minorHAnsi" w:hAnsi="Arial" w:cs="Arial"/>
      <w:b/>
      <w:sz w:val="26"/>
      <w:szCs w:val="26"/>
      <w:lang w:eastAsia="en-US"/>
    </w:rPr>
  </w:style>
  <w:style w:type="paragraph" w:styleId="Heading5">
    <w:name w:val="heading 5"/>
    <w:basedOn w:val="Normal"/>
    <w:next w:val="Normal"/>
    <w:link w:val="Heading5Char"/>
    <w:uiPriority w:val="9"/>
    <w:semiHidden/>
    <w:unhideWhenUsed/>
    <w:qFormat/>
    <w:rsid w:val="0098078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te1datos">
    <w:name w:val="corte1 datos"/>
    <w:basedOn w:val="Normal"/>
    <w:link w:val="corte1datosCar"/>
    <w:uiPriority w:val="99"/>
    <w:rsid w:val="00BB0223"/>
    <w:pPr>
      <w:ind w:left="2552"/>
    </w:pPr>
    <w:rPr>
      <w:rFonts w:ascii="Arial" w:hAnsi="Arial"/>
      <w:b/>
      <w:caps/>
      <w:sz w:val="30"/>
    </w:rPr>
  </w:style>
  <w:style w:type="paragraph" w:customStyle="1" w:styleId="corte2ponente">
    <w:name w:val="corte2 ponente"/>
    <w:basedOn w:val="Normal"/>
    <w:link w:val="corte2ponenteCar"/>
    <w:qFormat/>
    <w:rsid w:val="00BB0223"/>
    <w:rPr>
      <w:rFonts w:ascii="Arial" w:hAnsi="Arial"/>
      <w:b/>
      <w:caps/>
      <w:sz w:val="30"/>
    </w:rPr>
  </w:style>
  <w:style w:type="paragraph" w:customStyle="1" w:styleId="corte3centro">
    <w:name w:val="corte3 centro"/>
    <w:basedOn w:val="Normal"/>
    <w:link w:val="corte3centroCar"/>
    <w:rsid w:val="00BB0223"/>
    <w:pPr>
      <w:spacing w:line="360" w:lineRule="auto"/>
      <w:jc w:val="center"/>
    </w:pPr>
    <w:rPr>
      <w:rFonts w:ascii="Arial" w:hAnsi="Arial"/>
      <w:b/>
      <w:sz w:val="30"/>
    </w:rPr>
  </w:style>
  <w:style w:type="paragraph" w:styleId="Header">
    <w:name w:val="header"/>
    <w:basedOn w:val="Normal"/>
    <w:link w:val="HeaderChar"/>
    <w:uiPriority w:val="99"/>
    <w:rsid w:val="00BB0223"/>
    <w:pPr>
      <w:tabs>
        <w:tab w:val="center" w:pos="4252"/>
        <w:tab w:val="right" w:pos="8504"/>
      </w:tabs>
    </w:pPr>
  </w:style>
  <w:style w:type="character" w:customStyle="1" w:styleId="HeaderChar">
    <w:name w:val="Header Char"/>
    <w:basedOn w:val="DefaultParagraphFont"/>
    <w:link w:val="Header"/>
    <w:uiPriority w:val="99"/>
    <w:rsid w:val="00BB0223"/>
    <w:rPr>
      <w:rFonts w:ascii="Times New Roman" w:eastAsia="Times New Roman" w:hAnsi="Times New Roman" w:cs="Times New Roman"/>
      <w:sz w:val="20"/>
      <w:szCs w:val="20"/>
      <w:lang w:eastAsia="es-MX"/>
    </w:rPr>
  </w:style>
  <w:style w:type="paragraph" w:styleId="Footer">
    <w:name w:val="footer"/>
    <w:basedOn w:val="Normal"/>
    <w:link w:val="FooterChar"/>
    <w:uiPriority w:val="99"/>
    <w:rsid w:val="00BB0223"/>
    <w:pPr>
      <w:tabs>
        <w:tab w:val="center" w:pos="4252"/>
        <w:tab w:val="right" w:pos="8504"/>
      </w:tabs>
    </w:pPr>
    <w:rPr>
      <w:lang w:val="es-ES_tradnl"/>
    </w:rPr>
  </w:style>
  <w:style w:type="character" w:customStyle="1" w:styleId="FooterChar">
    <w:name w:val="Footer Char"/>
    <w:basedOn w:val="DefaultParagraphFont"/>
    <w:link w:val="Footer"/>
    <w:uiPriority w:val="99"/>
    <w:rsid w:val="00BB0223"/>
    <w:rPr>
      <w:rFonts w:ascii="Times New Roman" w:eastAsia="Times New Roman" w:hAnsi="Times New Roman" w:cs="Times New Roman"/>
      <w:sz w:val="20"/>
      <w:szCs w:val="20"/>
      <w:lang w:val="es-ES_tradnl" w:eastAsia="es-MX"/>
    </w:rPr>
  </w:style>
  <w:style w:type="character" w:styleId="PageNumber">
    <w:name w:val="page number"/>
    <w:uiPriority w:val="99"/>
    <w:rsid w:val="00BB0223"/>
    <w:rPr>
      <w:rFonts w:cs="Times New Roman"/>
    </w:rPr>
  </w:style>
  <w:style w:type="paragraph" w:customStyle="1" w:styleId="corte4fondoCarCarCarCarCar">
    <w:name w:val="corte4 fondo Car Car Car Car Car"/>
    <w:basedOn w:val="Normal"/>
    <w:link w:val="corte4fondoCarCarCarCarCarCar"/>
    <w:uiPriority w:val="99"/>
    <w:rsid w:val="00BB0223"/>
    <w:pPr>
      <w:spacing w:line="360" w:lineRule="auto"/>
      <w:ind w:firstLine="709"/>
      <w:jc w:val="both"/>
    </w:pPr>
    <w:rPr>
      <w:rFonts w:ascii="Arial" w:hAnsi="Arial"/>
      <w:sz w:val="30"/>
      <w:lang w:val="es-ES_tradnl"/>
    </w:rPr>
  </w:style>
  <w:style w:type="character" w:customStyle="1" w:styleId="corte4fondoCarCarCarCarCarCar">
    <w:name w:val="corte4 fondo Car Car Car Car Car Car"/>
    <w:link w:val="corte4fondoCarCarCarCarCar"/>
    <w:uiPriority w:val="99"/>
    <w:locked/>
    <w:rsid w:val="00BB0223"/>
    <w:rPr>
      <w:rFonts w:ascii="Arial" w:eastAsia="Times New Roman" w:hAnsi="Arial" w:cs="Times New Roman"/>
      <w:sz w:val="30"/>
      <w:szCs w:val="20"/>
      <w:lang w:val="es-ES_tradnl" w:eastAsia="es-MX"/>
    </w:rPr>
  </w:style>
  <w:style w:type="paragraph" w:customStyle="1" w:styleId="corte4fondoCar">
    <w:name w:val="corte4 fondo Car"/>
    <w:basedOn w:val="Normal"/>
    <w:link w:val="corte4fondoCarCar1"/>
    <w:rsid w:val="00BB0223"/>
    <w:pPr>
      <w:spacing w:line="360" w:lineRule="auto"/>
      <w:ind w:firstLine="709"/>
      <w:jc w:val="both"/>
    </w:pPr>
    <w:rPr>
      <w:rFonts w:ascii="Arial" w:hAnsi="Arial"/>
      <w:sz w:val="30"/>
      <w:lang w:val="es-ES_tradnl" w:eastAsia="es-ES"/>
    </w:rPr>
  </w:style>
  <w:style w:type="paragraph" w:customStyle="1" w:styleId="corte4fondoCarCar">
    <w:name w:val="corte4 fondo Car Car"/>
    <w:basedOn w:val="Normal"/>
    <w:link w:val="corte4fondoCarCarCar1"/>
    <w:uiPriority w:val="99"/>
    <w:rsid w:val="00BB0223"/>
    <w:pPr>
      <w:spacing w:line="360" w:lineRule="auto"/>
      <w:ind w:firstLine="709"/>
      <w:jc w:val="both"/>
    </w:pPr>
    <w:rPr>
      <w:rFonts w:ascii="Arial" w:hAnsi="Arial"/>
      <w:sz w:val="30"/>
      <w:lang w:val="es-ES_tradnl"/>
    </w:rPr>
  </w:style>
  <w:style w:type="paragraph" w:styleId="FootnoteText">
    <w:name w:val="footnote text"/>
    <w:aliases w:val="Footnote Text Char Char Char Char Char Car,Footnote Text Char Char Char Char Car,Footnote reference Car,FA Fu Car,Car Car,Footnote Text Char Char Char Car,Car Car Car1,Car Car Car Car,Footnote Text Cha Car,FA Fußnotentext Car,Ca Ca,FA Fu"/>
    <w:basedOn w:val="Normal"/>
    <w:link w:val="FootnoteTextChar"/>
    <w:qFormat/>
    <w:rsid w:val="00BB0223"/>
  </w:style>
  <w:style w:type="character" w:customStyle="1" w:styleId="FootnoteTextChar">
    <w:name w:val="Footnote Text Char"/>
    <w:aliases w:val="Footnote Text Char Char Char Char Char Car Char,Footnote Text Char Char Char Char Car Char,Footnote reference Car Char,FA Fu Car Char,Car Car Char,Footnote Text Char Char Char Car Char,Car Car Car1 Char,Car Car Car Car Char,Ca Ca Char"/>
    <w:basedOn w:val="DefaultParagraphFont"/>
    <w:link w:val="FootnoteText"/>
    <w:qFormat/>
    <w:rsid w:val="00BB0223"/>
    <w:rPr>
      <w:rFonts w:ascii="Times New Roman" w:eastAsia="Times New Roman" w:hAnsi="Times New Roman" w:cs="Times New Roman"/>
      <w:sz w:val="20"/>
      <w:szCs w:val="20"/>
      <w:lang w:eastAsia="es-MX"/>
    </w:rPr>
  </w:style>
  <w:style w:type="character" w:styleId="FootnoteReference">
    <w:name w:val="footnote reference"/>
    <w:aliases w:val="Ref. de nota al pie 2,Texto de nota al pie,Footnotes refss,Appel note de bas de page,referencia nota al pie,BVI fnr,Footnote number,f,4_G,16 Point,Superscript 6 Point,Texto nota al pie,Footnote Reference Char3,Ref,de nota al pie,ftre"/>
    <w:link w:val="4GChar"/>
    <w:uiPriority w:val="99"/>
    <w:qFormat/>
    <w:rsid w:val="00BB0223"/>
    <w:rPr>
      <w:vertAlign w:val="superscript"/>
    </w:rPr>
  </w:style>
  <w:style w:type="character" w:customStyle="1" w:styleId="corte4fondoCarCarCar1">
    <w:name w:val="corte4 fondo Car Car Car1"/>
    <w:link w:val="corte4fondoCarCar"/>
    <w:uiPriority w:val="99"/>
    <w:locked/>
    <w:rsid w:val="00BB0223"/>
    <w:rPr>
      <w:rFonts w:ascii="Arial" w:eastAsia="Times New Roman" w:hAnsi="Arial" w:cs="Times New Roman"/>
      <w:sz w:val="30"/>
      <w:szCs w:val="20"/>
      <w:lang w:val="es-ES_tradnl" w:eastAsia="es-MX"/>
    </w:rPr>
  </w:style>
  <w:style w:type="character" w:customStyle="1" w:styleId="corte4fondoCarCar1">
    <w:name w:val="corte4 fondo Car Car1"/>
    <w:link w:val="corte4fondoCar"/>
    <w:locked/>
    <w:rsid w:val="00BB0223"/>
    <w:rPr>
      <w:rFonts w:ascii="Arial" w:eastAsia="Times New Roman" w:hAnsi="Arial" w:cs="Times New Roman"/>
      <w:sz w:val="30"/>
      <w:szCs w:val="20"/>
      <w:lang w:val="es-ES_tradnl" w:eastAsia="es-ES"/>
    </w:rPr>
  </w:style>
  <w:style w:type="paragraph" w:customStyle="1" w:styleId="corte4fondo">
    <w:name w:val="corte4 fondo"/>
    <w:basedOn w:val="Normal"/>
    <w:link w:val="corte4fondoCar3"/>
    <w:qFormat/>
    <w:rsid w:val="00BB0223"/>
    <w:pPr>
      <w:spacing w:line="360" w:lineRule="auto"/>
      <w:ind w:firstLine="709"/>
      <w:jc w:val="both"/>
    </w:pPr>
    <w:rPr>
      <w:rFonts w:ascii="Arial" w:hAnsi="Arial"/>
      <w:sz w:val="30"/>
      <w:lang w:val="es-ES_tradnl"/>
    </w:rPr>
  </w:style>
  <w:style w:type="paragraph" w:customStyle="1" w:styleId="TEXTONORMAL">
    <w:name w:val="TEXTO NORMAL"/>
    <w:basedOn w:val="Normal"/>
    <w:link w:val="TEXTONORMALCar"/>
    <w:rsid w:val="00BB0223"/>
    <w:pPr>
      <w:spacing w:line="360" w:lineRule="auto"/>
      <w:ind w:firstLine="709"/>
      <w:jc w:val="both"/>
    </w:pPr>
    <w:rPr>
      <w:rFonts w:ascii="Arial" w:hAnsi="Arial"/>
      <w:sz w:val="28"/>
      <w:lang w:eastAsia="es-ES"/>
    </w:rPr>
  </w:style>
  <w:style w:type="character" w:customStyle="1" w:styleId="TEXTONORMALCar">
    <w:name w:val="TEXTO NORMAL Car"/>
    <w:link w:val="TEXTONORMAL"/>
    <w:locked/>
    <w:rsid w:val="00BB0223"/>
    <w:rPr>
      <w:rFonts w:ascii="Arial" w:eastAsia="Times New Roman" w:hAnsi="Arial" w:cs="Times New Roman"/>
      <w:sz w:val="28"/>
      <w:szCs w:val="20"/>
      <w:lang w:eastAsia="es-ES"/>
    </w:rPr>
  </w:style>
  <w:style w:type="character" w:customStyle="1" w:styleId="corte4fondoCar3">
    <w:name w:val="corte4 fondo Car3"/>
    <w:link w:val="corte4fondo"/>
    <w:locked/>
    <w:rsid w:val="00BB0223"/>
    <w:rPr>
      <w:rFonts w:ascii="Arial" w:eastAsia="Times New Roman" w:hAnsi="Arial" w:cs="Times New Roman"/>
      <w:sz w:val="30"/>
      <w:szCs w:val="20"/>
      <w:lang w:val="es-ES_tradnl" w:eastAsia="es-MX"/>
    </w:rPr>
  </w:style>
  <w:style w:type="character" w:customStyle="1" w:styleId="corte2ponenteCar">
    <w:name w:val="corte2 ponente Car"/>
    <w:link w:val="corte2ponente"/>
    <w:locked/>
    <w:rsid w:val="00BB0223"/>
    <w:rPr>
      <w:rFonts w:ascii="Arial" w:eastAsia="Times New Roman" w:hAnsi="Arial" w:cs="Times New Roman"/>
      <w:b/>
      <w:caps/>
      <w:sz w:val="30"/>
      <w:szCs w:val="20"/>
      <w:lang w:eastAsia="es-MX"/>
    </w:rPr>
  </w:style>
  <w:style w:type="character" w:customStyle="1" w:styleId="corte3centroCar">
    <w:name w:val="corte3 centro Car"/>
    <w:link w:val="corte3centro"/>
    <w:locked/>
    <w:rsid w:val="00BB0223"/>
    <w:rPr>
      <w:rFonts w:ascii="Arial" w:eastAsia="Times New Roman" w:hAnsi="Arial" w:cs="Times New Roman"/>
      <w:b/>
      <w:sz w:val="30"/>
      <w:szCs w:val="20"/>
      <w:lang w:eastAsia="es-MX"/>
    </w:rPr>
  </w:style>
  <w:style w:type="paragraph" w:customStyle="1" w:styleId="Normal0">
    <w:name w:val="[Normal]"/>
    <w:rsid w:val="00BB0223"/>
    <w:pPr>
      <w:autoSpaceDE w:val="0"/>
      <w:autoSpaceDN w:val="0"/>
      <w:adjustRightInd w:val="0"/>
      <w:spacing w:after="0" w:line="240" w:lineRule="auto"/>
    </w:pPr>
    <w:rPr>
      <w:rFonts w:ascii="Arial" w:eastAsia="Times New Roman" w:hAnsi="Arial" w:cs="Arial"/>
      <w:sz w:val="24"/>
      <w:szCs w:val="24"/>
      <w:lang w:eastAsia="es-MX"/>
    </w:rPr>
  </w:style>
  <w:style w:type="paragraph" w:customStyle="1" w:styleId="Prrafodelista1">
    <w:name w:val="Párrafo de lista1"/>
    <w:basedOn w:val="Normal"/>
    <w:uiPriority w:val="99"/>
    <w:rsid w:val="00BB0223"/>
    <w:pPr>
      <w:ind w:left="708"/>
    </w:pPr>
  </w:style>
  <w:style w:type="character" w:customStyle="1" w:styleId="corte1datosCar">
    <w:name w:val="corte1 datos Car"/>
    <w:link w:val="corte1datos"/>
    <w:uiPriority w:val="99"/>
    <w:locked/>
    <w:rsid w:val="00BB0223"/>
    <w:rPr>
      <w:rFonts w:ascii="Arial" w:eastAsia="Times New Roman" w:hAnsi="Arial" w:cs="Times New Roman"/>
      <w:b/>
      <w:caps/>
      <w:sz w:val="30"/>
      <w:szCs w:val="20"/>
      <w:lang w:eastAsia="es-MX"/>
    </w:rPr>
  </w:style>
  <w:style w:type="paragraph" w:customStyle="1" w:styleId="corte4fondoCarCarCar3">
    <w:name w:val="corte4 fondo Car Car Car3"/>
    <w:basedOn w:val="Normal"/>
    <w:uiPriority w:val="99"/>
    <w:rsid w:val="00BB0223"/>
    <w:pPr>
      <w:snapToGrid w:val="0"/>
      <w:spacing w:line="360" w:lineRule="auto"/>
      <w:ind w:firstLine="709"/>
      <w:jc w:val="both"/>
    </w:pPr>
    <w:rPr>
      <w:rFonts w:ascii="Arial" w:hAnsi="Arial"/>
      <w:sz w:val="30"/>
      <w:lang w:val="es-ES_tradnl" w:eastAsia="es-ES"/>
    </w:rPr>
  </w:style>
  <w:style w:type="character" w:styleId="Strong">
    <w:name w:val="Strong"/>
    <w:uiPriority w:val="22"/>
    <w:qFormat/>
    <w:rsid w:val="00BB0223"/>
    <w:rPr>
      <w:rFonts w:cs="Times New Roman"/>
      <w:b/>
      <w:bCs/>
    </w:rPr>
  </w:style>
  <w:style w:type="paragraph" w:styleId="ListParagraph">
    <w:name w:val="List Paragraph"/>
    <w:aliases w:val="Cita texto,TEXTO GENERAL SENTENCIAS,Footnote,List Paragraph1,Colorful List - Accent 11,Lista vistosa - Énfasis 11,Párrafo de lista2,4 Párrafo de lista,Figuras,Dot pt,No Spacing1,Indicator Text,DH1,PARRAFO,Trascripción,lp1"/>
    <w:basedOn w:val="Normal"/>
    <w:link w:val="ListParagraphChar"/>
    <w:qFormat/>
    <w:rsid w:val="00BB0223"/>
    <w:pPr>
      <w:ind w:left="708"/>
    </w:pPr>
  </w:style>
  <w:style w:type="paragraph" w:customStyle="1" w:styleId="corte4fondoCarCarCar">
    <w:name w:val="corte4 fondo Car Car Car"/>
    <w:basedOn w:val="Normal"/>
    <w:link w:val="corte4fondoCarCarCarCar"/>
    <w:rsid w:val="0060766B"/>
    <w:pPr>
      <w:spacing w:line="360" w:lineRule="auto"/>
      <w:ind w:firstLine="709"/>
      <w:jc w:val="both"/>
    </w:pPr>
    <w:rPr>
      <w:rFonts w:ascii="Arial" w:hAnsi="Arial" w:cs="Arial"/>
      <w:sz w:val="30"/>
      <w:szCs w:val="30"/>
    </w:rPr>
  </w:style>
  <w:style w:type="character" w:customStyle="1" w:styleId="corte4fondoCar1">
    <w:name w:val="corte4 fondo Car1"/>
    <w:basedOn w:val="DefaultParagraphFont"/>
    <w:qFormat/>
    <w:rsid w:val="00DD06CB"/>
    <w:rPr>
      <w:rFonts w:ascii="Arial" w:eastAsia="Times New Roman" w:hAnsi="Arial" w:cs="Times New Roman"/>
      <w:sz w:val="30"/>
      <w:szCs w:val="24"/>
      <w:lang w:eastAsia="es-ES"/>
    </w:rPr>
  </w:style>
  <w:style w:type="character" w:customStyle="1" w:styleId="corte4fondoCar2">
    <w:name w:val="corte4 fondo Car2"/>
    <w:rsid w:val="0049077B"/>
    <w:rPr>
      <w:rFonts w:ascii="Arial" w:eastAsia="Times New Roman" w:hAnsi="Arial" w:cs="Times New Roman"/>
      <w:sz w:val="30"/>
      <w:szCs w:val="20"/>
      <w:lang w:val="es-ES_tradnl" w:eastAsia="es-MX"/>
    </w:rPr>
  </w:style>
  <w:style w:type="paragraph" w:styleId="BodyTextIndent">
    <w:name w:val="Body Text Indent"/>
    <w:basedOn w:val="Normal"/>
    <w:link w:val="BodyTextIndentChar"/>
    <w:rsid w:val="009314EB"/>
    <w:pPr>
      <w:spacing w:line="480" w:lineRule="auto"/>
      <w:jc w:val="both"/>
    </w:pPr>
    <w:rPr>
      <w:rFonts w:ascii="Arial" w:hAnsi="Arial"/>
      <w:b/>
      <w:i/>
      <w:sz w:val="32"/>
      <w:lang w:val="es-ES" w:eastAsia="es-ES"/>
    </w:rPr>
  </w:style>
  <w:style w:type="character" w:customStyle="1" w:styleId="BodyTextIndentChar">
    <w:name w:val="Body Text Indent Char"/>
    <w:basedOn w:val="DefaultParagraphFont"/>
    <w:link w:val="BodyTextIndent"/>
    <w:rsid w:val="009314EB"/>
    <w:rPr>
      <w:rFonts w:ascii="Arial" w:eastAsia="Times New Roman" w:hAnsi="Arial" w:cs="Times New Roman"/>
      <w:b/>
      <w:i/>
      <w:sz w:val="32"/>
      <w:szCs w:val="20"/>
      <w:lang w:val="es-ES" w:eastAsia="es-ES"/>
    </w:rPr>
  </w:style>
  <w:style w:type="character" w:customStyle="1" w:styleId="TextonotapieCar1">
    <w:name w:val="Texto nota pie Car1"/>
    <w:aliases w:val="FA Fu?notentext Car,Texto nota pie Car Car1,Ca Car,Car3 Car,FA Fuﬂnotentext Car,Footnote Text Char Char Char Car1,Footnote Text Cha Car1,FA Fußnotentext Car1,FA Fu?notentext Car1,FA Fuﬂnotentext Car1"/>
    <w:basedOn w:val="DefaultParagraphFont"/>
    <w:rsid w:val="00F76C8D"/>
    <w:rPr>
      <w:lang w:val="es-MX" w:eastAsia="es-MX" w:bidi="ar-SA"/>
    </w:rPr>
  </w:style>
  <w:style w:type="paragraph" w:styleId="PlainText">
    <w:name w:val="Plain Text"/>
    <w:basedOn w:val="Normal"/>
    <w:link w:val="PlainTextChar"/>
    <w:uiPriority w:val="99"/>
    <w:semiHidden/>
    <w:unhideWhenUsed/>
    <w:rsid w:val="00477F34"/>
    <w:rPr>
      <w:rFonts w:ascii="Consolas" w:hAnsi="Consolas"/>
      <w:sz w:val="21"/>
      <w:szCs w:val="21"/>
    </w:rPr>
  </w:style>
  <w:style w:type="character" w:customStyle="1" w:styleId="PlainTextChar">
    <w:name w:val="Plain Text Char"/>
    <w:basedOn w:val="DefaultParagraphFont"/>
    <w:link w:val="PlainText"/>
    <w:uiPriority w:val="99"/>
    <w:semiHidden/>
    <w:rsid w:val="00477F34"/>
    <w:rPr>
      <w:rFonts w:ascii="Consolas" w:eastAsia="Times New Roman" w:hAnsi="Consolas" w:cs="Times New Roman"/>
      <w:sz w:val="21"/>
      <w:szCs w:val="21"/>
      <w:lang w:eastAsia="es-MX"/>
    </w:rPr>
  </w:style>
  <w:style w:type="paragraph" w:styleId="BalloonText">
    <w:name w:val="Balloon Text"/>
    <w:basedOn w:val="Normal"/>
    <w:link w:val="BalloonTextChar"/>
    <w:uiPriority w:val="99"/>
    <w:unhideWhenUsed/>
    <w:rsid w:val="008703D4"/>
    <w:rPr>
      <w:rFonts w:ascii="Tahoma" w:hAnsi="Tahoma" w:cs="Tahoma"/>
      <w:sz w:val="16"/>
      <w:szCs w:val="16"/>
    </w:rPr>
  </w:style>
  <w:style w:type="character" w:customStyle="1" w:styleId="BalloonTextChar">
    <w:name w:val="Balloon Text Char"/>
    <w:basedOn w:val="DefaultParagraphFont"/>
    <w:link w:val="BalloonText"/>
    <w:uiPriority w:val="99"/>
    <w:rsid w:val="008703D4"/>
    <w:rPr>
      <w:rFonts w:ascii="Tahoma" w:eastAsia="Times New Roman" w:hAnsi="Tahoma" w:cs="Tahoma"/>
      <w:sz w:val="16"/>
      <w:szCs w:val="16"/>
      <w:lang w:eastAsia="es-MX"/>
    </w:rPr>
  </w:style>
  <w:style w:type="character" w:customStyle="1" w:styleId="corte5transcripcionCar1">
    <w:name w:val="corte5 transcripcion Car1"/>
    <w:link w:val="corte5transcripcion"/>
    <w:locked/>
    <w:rsid w:val="0073052A"/>
    <w:rPr>
      <w:rFonts w:ascii="Arial" w:hAnsi="Arial" w:cs="Arial"/>
      <w:b/>
      <w:i/>
      <w:sz w:val="30"/>
      <w:szCs w:val="24"/>
    </w:rPr>
  </w:style>
  <w:style w:type="paragraph" w:customStyle="1" w:styleId="corte5transcripcion">
    <w:name w:val="corte5 transcripcion"/>
    <w:basedOn w:val="Normal"/>
    <w:link w:val="corte5transcripcionCar1"/>
    <w:qFormat/>
    <w:rsid w:val="0073052A"/>
    <w:pPr>
      <w:spacing w:line="360" w:lineRule="auto"/>
      <w:ind w:left="709" w:right="709"/>
      <w:jc w:val="both"/>
    </w:pPr>
    <w:rPr>
      <w:rFonts w:ascii="Arial" w:eastAsiaTheme="minorHAnsi" w:hAnsi="Arial" w:cs="Arial"/>
      <w:b/>
      <w:i/>
      <w:sz w:val="30"/>
      <w:szCs w:val="24"/>
      <w:lang w:eastAsia="en-US"/>
    </w:rPr>
  </w:style>
  <w:style w:type="character" w:customStyle="1" w:styleId="corte5transcripcionCar">
    <w:name w:val="corte5 transcripcion Car"/>
    <w:locked/>
    <w:rsid w:val="005C40F4"/>
    <w:rPr>
      <w:rFonts w:ascii="Arial" w:eastAsia="Calibri" w:hAnsi="Arial" w:cs="Arial"/>
      <w:b/>
      <w:i/>
      <w:sz w:val="30"/>
      <w:szCs w:val="28"/>
    </w:rPr>
  </w:style>
  <w:style w:type="character" w:customStyle="1" w:styleId="lbl-encabezado-blanco2">
    <w:name w:val="lbl-encabezado-blanco2"/>
    <w:rsid w:val="009640C1"/>
    <w:rPr>
      <w:color w:val="FFFFFF"/>
    </w:rPr>
  </w:style>
  <w:style w:type="paragraph" w:styleId="NoSpacing">
    <w:name w:val="No Spacing"/>
    <w:aliases w:val="RESOLUTIVOS"/>
    <w:link w:val="NoSpacingChar"/>
    <w:uiPriority w:val="1"/>
    <w:qFormat/>
    <w:rsid w:val="0059022F"/>
    <w:pPr>
      <w:spacing w:after="0" w:line="240" w:lineRule="auto"/>
    </w:pPr>
  </w:style>
  <w:style w:type="character" w:customStyle="1" w:styleId="NoSpacingChar">
    <w:name w:val="No Spacing Char"/>
    <w:aliases w:val="RESOLUTIVOS Char"/>
    <w:link w:val="NoSpacing"/>
    <w:uiPriority w:val="1"/>
    <w:rsid w:val="0059022F"/>
  </w:style>
  <w:style w:type="character" w:customStyle="1" w:styleId="corte4fondoCarCarCar2">
    <w:name w:val="corte4 fondo Car Car Car2"/>
    <w:locked/>
    <w:rsid w:val="008C0DBC"/>
    <w:rPr>
      <w:rFonts w:ascii="Arial" w:hAnsi="Arial" w:cs="Arial"/>
      <w:sz w:val="30"/>
      <w:lang w:val="es-ES_tradnl"/>
    </w:rPr>
  </w:style>
  <w:style w:type="character" w:styleId="Hyperlink">
    <w:name w:val="Hyperlink"/>
    <w:basedOn w:val="DefaultParagraphFont"/>
    <w:uiPriority w:val="99"/>
    <w:unhideWhenUsed/>
    <w:rsid w:val="005D4215"/>
    <w:rPr>
      <w:color w:val="0000FF" w:themeColor="hyperlink"/>
      <w:u w:val="single"/>
    </w:rPr>
  </w:style>
  <w:style w:type="paragraph" w:customStyle="1" w:styleId="Estilo">
    <w:name w:val="Estilo"/>
    <w:basedOn w:val="NoSpacing"/>
    <w:link w:val="EstiloCar"/>
    <w:qFormat/>
    <w:rsid w:val="009D48CF"/>
    <w:pPr>
      <w:jc w:val="both"/>
    </w:pPr>
    <w:rPr>
      <w:rFonts w:ascii="Arial" w:hAnsi="Arial"/>
      <w:sz w:val="24"/>
    </w:rPr>
  </w:style>
  <w:style w:type="character" w:customStyle="1" w:styleId="EstiloCar">
    <w:name w:val="Estilo Car"/>
    <w:basedOn w:val="DefaultParagraphFont"/>
    <w:link w:val="Estilo"/>
    <w:qFormat/>
    <w:rsid w:val="009D48CF"/>
    <w:rPr>
      <w:rFonts w:ascii="Arial" w:hAnsi="Arial"/>
      <w:sz w:val="24"/>
    </w:rPr>
  </w:style>
  <w:style w:type="character" w:customStyle="1" w:styleId="red1">
    <w:name w:val="red1"/>
    <w:basedOn w:val="DefaultParagraphFont"/>
    <w:rsid w:val="0086393C"/>
    <w:rPr>
      <w:b/>
      <w:bCs/>
      <w:color w:val="0000FF"/>
      <w:shd w:val="clear" w:color="auto" w:fill="FFFF00"/>
    </w:rPr>
  </w:style>
  <w:style w:type="paragraph" w:customStyle="1" w:styleId="CM22">
    <w:name w:val="CM22"/>
    <w:basedOn w:val="Normal"/>
    <w:next w:val="Normal"/>
    <w:uiPriority w:val="99"/>
    <w:rsid w:val="008618A5"/>
    <w:pPr>
      <w:autoSpaceDE w:val="0"/>
      <w:autoSpaceDN w:val="0"/>
      <w:adjustRightInd w:val="0"/>
      <w:spacing w:line="271" w:lineRule="atLeast"/>
    </w:pPr>
    <w:rPr>
      <w:rFonts w:ascii="Optima" w:eastAsiaTheme="minorHAnsi" w:hAnsi="Optima" w:cstheme="minorBidi"/>
      <w:sz w:val="24"/>
      <w:szCs w:val="24"/>
      <w:lang w:eastAsia="en-US"/>
    </w:rPr>
  </w:style>
  <w:style w:type="paragraph" w:customStyle="1" w:styleId="RESMENESOSNTESIS">
    <w:name w:val="RESÚMENES O SÍNTESIS"/>
    <w:basedOn w:val="TEXTONORMAL"/>
    <w:rsid w:val="00AD75C8"/>
    <w:pPr>
      <w:ind w:left="709" w:firstLine="0"/>
    </w:pPr>
    <w:rPr>
      <w:i/>
      <w:szCs w:val="28"/>
      <w:lang w:val="x-none"/>
    </w:rPr>
  </w:style>
  <w:style w:type="character" w:customStyle="1" w:styleId="corte4fondoCarCarCarCar">
    <w:name w:val="corte4 fondo Car Car Car Car"/>
    <w:basedOn w:val="DefaultParagraphFont"/>
    <w:link w:val="corte4fondoCarCarCar"/>
    <w:locked/>
    <w:rsid w:val="00493650"/>
    <w:rPr>
      <w:rFonts w:ascii="Arial" w:eastAsia="Times New Roman" w:hAnsi="Arial" w:cs="Arial"/>
      <w:sz w:val="30"/>
      <w:szCs w:val="30"/>
      <w:lang w:eastAsia="es-MX"/>
    </w:rPr>
  </w:style>
  <w:style w:type="paragraph" w:customStyle="1" w:styleId="Cuerpoproyectos">
    <w:name w:val="Cuerpo proyectos"/>
    <w:basedOn w:val="Normal"/>
    <w:link w:val="CuerpoproyectosCar"/>
    <w:qFormat/>
    <w:rsid w:val="00D33023"/>
    <w:pPr>
      <w:spacing w:line="360" w:lineRule="auto"/>
      <w:ind w:firstLine="709"/>
      <w:jc w:val="both"/>
    </w:pPr>
    <w:rPr>
      <w:rFonts w:ascii="Arial" w:hAnsi="Arial" w:cs="Arial"/>
      <w:sz w:val="26"/>
      <w:szCs w:val="26"/>
      <w:lang w:val="es-ES" w:eastAsia="es-ES"/>
    </w:rPr>
  </w:style>
  <w:style w:type="character" w:customStyle="1" w:styleId="CuerpoproyectosCar">
    <w:name w:val="Cuerpo proyectos Car"/>
    <w:link w:val="Cuerpoproyectos"/>
    <w:rsid w:val="00D33023"/>
    <w:rPr>
      <w:rFonts w:ascii="Arial" w:eastAsia="Times New Roman" w:hAnsi="Arial" w:cs="Arial"/>
      <w:sz w:val="26"/>
      <w:szCs w:val="26"/>
      <w:lang w:val="es-ES" w:eastAsia="es-ES"/>
    </w:rPr>
  </w:style>
  <w:style w:type="character" w:customStyle="1" w:styleId="citation">
    <w:name w:val="citation"/>
    <w:basedOn w:val="DefaultParagraphFont"/>
    <w:rsid w:val="003A599E"/>
  </w:style>
  <w:style w:type="character" w:styleId="CommentReference">
    <w:name w:val="annotation reference"/>
    <w:basedOn w:val="DefaultParagraphFont"/>
    <w:uiPriority w:val="99"/>
    <w:semiHidden/>
    <w:unhideWhenUsed/>
    <w:rsid w:val="003A599E"/>
    <w:rPr>
      <w:sz w:val="16"/>
      <w:szCs w:val="16"/>
    </w:rPr>
  </w:style>
  <w:style w:type="character" w:customStyle="1" w:styleId="textcolumn">
    <w:name w:val="textcolumn"/>
    <w:basedOn w:val="DefaultParagraphFont"/>
    <w:rsid w:val="003A599E"/>
  </w:style>
  <w:style w:type="paragraph" w:styleId="CommentText">
    <w:name w:val="annotation text"/>
    <w:basedOn w:val="Normal"/>
    <w:link w:val="CommentTextChar"/>
    <w:uiPriority w:val="99"/>
    <w:unhideWhenUsed/>
    <w:rsid w:val="003F0DA6"/>
  </w:style>
  <w:style w:type="character" w:customStyle="1" w:styleId="CommentTextChar">
    <w:name w:val="Comment Text Char"/>
    <w:basedOn w:val="DefaultParagraphFont"/>
    <w:link w:val="CommentText"/>
    <w:uiPriority w:val="99"/>
    <w:rsid w:val="003F0DA6"/>
    <w:rPr>
      <w:rFonts w:ascii="Times New Roman" w:eastAsia="Times New Roman" w:hAnsi="Times New Roman" w:cs="Times New Roman"/>
      <w:sz w:val="20"/>
      <w:szCs w:val="20"/>
      <w:lang w:eastAsia="es-MX"/>
    </w:rPr>
  </w:style>
  <w:style w:type="paragraph" w:styleId="CommentSubject">
    <w:name w:val="annotation subject"/>
    <w:basedOn w:val="CommentText"/>
    <w:next w:val="CommentText"/>
    <w:link w:val="CommentSubjectChar"/>
    <w:uiPriority w:val="99"/>
    <w:semiHidden/>
    <w:unhideWhenUsed/>
    <w:rsid w:val="003F0DA6"/>
    <w:rPr>
      <w:b/>
      <w:bCs/>
    </w:rPr>
  </w:style>
  <w:style w:type="character" w:customStyle="1" w:styleId="CommentSubjectChar">
    <w:name w:val="Comment Subject Char"/>
    <w:basedOn w:val="CommentTextChar"/>
    <w:link w:val="CommentSubject"/>
    <w:uiPriority w:val="99"/>
    <w:semiHidden/>
    <w:rsid w:val="003F0DA6"/>
    <w:rPr>
      <w:rFonts w:ascii="Times New Roman" w:eastAsia="Times New Roman" w:hAnsi="Times New Roman" w:cs="Times New Roman"/>
      <w:b/>
      <w:bCs/>
      <w:sz w:val="20"/>
      <w:szCs w:val="20"/>
      <w:lang w:eastAsia="es-MX"/>
    </w:rPr>
  </w:style>
  <w:style w:type="character" w:customStyle="1" w:styleId="Heading3Char">
    <w:name w:val="Heading 3 Char"/>
    <w:basedOn w:val="DefaultParagraphFont"/>
    <w:link w:val="Heading3"/>
    <w:uiPriority w:val="1"/>
    <w:rsid w:val="006527EB"/>
    <w:rPr>
      <w:rFonts w:ascii="Arial" w:hAnsi="Arial" w:cs="Arial"/>
      <w:b/>
      <w:sz w:val="26"/>
      <w:szCs w:val="26"/>
    </w:rPr>
  </w:style>
  <w:style w:type="paragraph" w:customStyle="1" w:styleId="Prrafo">
    <w:name w:val="Párrafo"/>
    <w:basedOn w:val="Normal"/>
    <w:qFormat/>
    <w:rsid w:val="006527EB"/>
    <w:pPr>
      <w:spacing w:before="240" w:after="240" w:line="360" w:lineRule="auto"/>
      <w:jc w:val="both"/>
    </w:pPr>
    <w:rPr>
      <w:rFonts w:ascii="Arial" w:eastAsiaTheme="minorHAnsi" w:hAnsi="Arial" w:cs="Arial"/>
      <w:sz w:val="26"/>
      <w:szCs w:val="26"/>
      <w:lang w:eastAsia="en-US"/>
    </w:rPr>
  </w:style>
  <w:style w:type="table" w:styleId="TableGrid">
    <w:name w:val="Table Grid"/>
    <w:basedOn w:val="TableNormal"/>
    <w:uiPriority w:val="39"/>
    <w:rsid w:val="006527EB"/>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0015"/>
    <w:rPr>
      <w:color w:val="808080"/>
    </w:rPr>
  </w:style>
  <w:style w:type="paragraph" w:styleId="BodyText">
    <w:name w:val="Body Text"/>
    <w:basedOn w:val="Normal"/>
    <w:link w:val="BodyTextChar"/>
    <w:uiPriority w:val="1"/>
    <w:unhideWhenUsed/>
    <w:qFormat/>
    <w:rsid w:val="00BC4120"/>
    <w:pPr>
      <w:spacing w:after="120"/>
    </w:pPr>
  </w:style>
  <w:style w:type="character" w:customStyle="1" w:styleId="BodyTextChar">
    <w:name w:val="Body Text Char"/>
    <w:basedOn w:val="DefaultParagraphFont"/>
    <w:link w:val="BodyText"/>
    <w:uiPriority w:val="99"/>
    <w:semiHidden/>
    <w:rsid w:val="00BC4120"/>
    <w:rPr>
      <w:rFonts w:ascii="Times New Roman" w:eastAsia="Times New Roman" w:hAnsi="Times New Roman" w:cs="Times New Roman"/>
      <w:sz w:val="20"/>
      <w:szCs w:val="20"/>
      <w:lang w:eastAsia="es-MX"/>
    </w:rPr>
  </w:style>
  <w:style w:type="character" w:customStyle="1" w:styleId="ListParagraphChar">
    <w:name w:val="List Paragraph Char"/>
    <w:aliases w:val="Cita texto Char,TEXTO GENERAL SENTENCIAS Char,Footnote Char,List Paragraph1 Char,Colorful List - Accent 11 Char,Lista vistosa - Énfasis 11 Char,Párrafo de lista2 Char,4 Párrafo de lista Char,Figuras Char,Dot pt Char,No Spacing1 Char"/>
    <w:link w:val="ListParagraph"/>
    <w:uiPriority w:val="34"/>
    <w:qFormat/>
    <w:locked/>
    <w:rsid w:val="00B87C5C"/>
    <w:rPr>
      <w:rFonts w:ascii="Times New Roman" w:eastAsia="Times New Roman" w:hAnsi="Times New Roman" w:cs="Times New Roman"/>
      <w:sz w:val="20"/>
      <w:szCs w:val="20"/>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FootnoteReference"/>
    <w:uiPriority w:val="99"/>
    <w:qFormat/>
    <w:rsid w:val="00B87C5C"/>
    <w:pPr>
      <w:jc w:val="both"/>
    </w:pPr>
    <w:rPr>
      <w:rFonts w:asciiTheme="minorHAnsi" w:eastAsiaTheme="minorHAnsi" w:hAnsiTheme="minorHAnsi" w:cstheme="minorBidi"/>
      <w:sz w:val="22"/>
      <w:szCs w:val="22"/>
      <w:vertAlign w:val="superscript"/>
      <w:lang w:eastAsia="en-US"/>
    </w:rPr>
  </w:style>
  <w:style w:type="paragraph" w:styleId="IntenseQuote">
    <w:name w:val="Intense Quote"/>
    <w:basedOn w:val="Normal"/>
    <w:next w:val="Normal"/>
    <w:link w:val="IntenseQuoteChar"/>
    <w:uiPriority w:val="30"/>
    <w:qFormat/>
    <w:rsid w:val="002D3658"/>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2D3658"/>
    <w:rPr>
      <w:b/>
      <w:bCs/>
      <w:i/>
      <w:iCs/>
      <w:color w:val="4F81BD" w:themeColor="accent1"/>
    </w:rPr>
  </w:style>
  <w:style w:type="character" w:styleId="HTMLCite">
    <w:name w:val="HTML Cite"/>
    <w:basedOn w:val="DefaultParagraphFont"/>
    <w:uiPriority w:val="99"/>
    <w:semiHidden/>
    <w:unhideWhenUsed/>
    <w:rsid w:val="00B01C31"/>
    <w:rPr>
      <w:i w:val="0"/>
      <w:iCs w:val="0"/>
      <w:color w:val="006D21"/>
    </w:rPr>
  </w:style>
  <w:style w:type="paragraph" w:styleId="NormalWeb">
    <w:name w:val="Normal (Web)"/>
    <w:basedOn w:val="Normal"/>
    <w:uiPriority w:val="99"/>
    <w:unhideWhenUsed/>
    <w:rsid w:val="00C852D5"/>
    <w:pPr>
      <w:spacing w:before="100" w:beforeAutospacing="1" w:after="100" w:afterAutospacing="1"/>
    </w:pPr>
    <w:rPr>
      <w:sz w:val="24"/>
      <w:szCs w:val="24"/>
    </w:rPr>
  </w:style>
  <w:style w:type="character" w:customStyle="1" w:styleId="Mencinsinresolver1">
    <w:name w:val="Mención sin resolver1"/>
    <w:basedOn w:val="DefaultParagraphFont"/>
    <w:uiPriority w:val="99"/>
    <w:semiHidden/>
    <w:unhideWhenUsed/>
    <w:rsid w:val="00CD21E1"/>
    <w:rPr>
      <w:color w:val="605E5C"/>
      <w:shd w:val="clear" w:color="auto" w:fill="E1DFDD"/>
    </w:rPr>
  </w:style>
  <w:style w:type="paragraph" w:customStyle="1" w:styleId="Pa13">
    <w:name w:val="Pa1+3"/>
    <w:basedOn w:val="Normal"/>
    <w:next w:val="Normal"/>
    <w:uiPriority w:val="99"/>
    <w:rsid w:val="001969D8"/>
    <w:pPr>
      <w:autoSpaceDE w:val="0"/>
      <w:autoSpaceDN w:val="0"/>
      <w:adjustRightInd w:val="0"/>
      <w:spacing w:line="241" w:lineRule="atLeast"/>
    </w:pPr>
    <w:rPr>
      <w:rFonts w:ascii="Myriad Pro Cond" w:eastAsiaTheme="minorHAnsi" w:hAnsi="Myriad Pro Cond" w:cstheme="minorBidi"/>
      <w:sz w:val="24"/>
      <w:szCs w:val="24"/>
      <w:lang w:eastAsia="en-US"/>
    </w:rPr>
  </w:style>
  <w:style w:type="character" w:customStyle="1" w:styleId="A23">
    <w:name w:val="A2+3"/>
    <w:uiPriority w:val="99"/>
    <w:rsid w:val="001969D8"/>
    <w:rPr>
      <w:rFonts w:cs="Myriad Pro Cond"/>
      <w:b/>
      <w:bCs/>
      <w:color w:val="211D1E"/>
      <w:sz w:val="44"/>
      <w:szCs w:val="44"/>
    </w:rPr>
  </w:style>
  <w:style w:type="paragraph" w:customStyle="1" w:styleId="Pa53">
    <w:name w:val="Pa5+3"/>
    <w:basedOn w:val="Normal"/>
    <w:next w:val="Normal"/>
    <w:uiPriority w:val="99"/>
    <w:rsid w:val="008E1028"/>
    <w:pPr>
      <w:autoSpaceDE w:val="0"/>
      <w:autoSpaceDN w:val="0"/>
      <w:adjustRightInd w:val="0"/>
      <w:spacing w:line="221" w:lineRule="atLeast"/>
    </w:pPr>
    <w:rPr>
      <w:rFonts w:ascii="Minion Pro" w:eastAsiaTheme="minorHAnsi" w:hAnsi="Minion Pro" w:cstheme="minorBidi"/>
      <w:sz w:val="24"/>
      <w:szCs w:val="24"/>
      <w:lang w:eastAsia="en-US"/>
    </w:rPr>
  </w:style>
  <w:style w:type="character" w:customStyle="1" w:styleId="A73">
    <w:name w:val="A7+3"/>
    <w:uiPriority w:val="99"/>
    <w:rsid w:val="00861265"/>
    <w:rPr>
      <w:rFonts w:cs="Minion Pro"/>
      <w:color w:val="211D1E"/>
      <w:sz w:val="12"/>
      <w:szCs w:val="12"/>
    </w:rPr>
  </w:style>
  <w:style w:type="paragraph" w:customStyle="1" w:styleId="Pa83">
    <w:name w:val="Pa8+3"/>
    <w:basedOn w:val="Normal"/>
    <w:next w:val="Normal"/>
    <w:uiPriority w:val="99"/>
    <w:rsid w:val="00861265"/>
    <w:pPr>
      <w:autoSpaceDE w:val="0"/>
      <w:autoSpaceDN w:val="0"/>
      <w:adjustRightInd w:val="0"/>
      <w:spacing w:line="221" w:lineRule="atLeast"/>
    </w:pPr>
    <w:rPr>
      <w:rFonts w:ascii="Minion Pro" w:eastAsiaTheme="minorHAnsi" w:hAnsi="Minion Pro" w:cstheme="minorBidi"/>
      <w:sz w:val="24"/>
      <w:szCs w:val="24"/>
      <w:lang w:eastAsia="en-US"/>
    </w:rPr>
  </w:style>
  <w:style w:type="paragraph" w:customStyle="1" w:styleId="Pa93">
    <w:name w:val="Pa9+3"/>
    <w:basedOn w:val="Normal"/>
    <w:next w:val="Normal"/>
    <w:uiPriority w:val="99"/>
    <w:rsid w:val="00861265"/>
    <w:pPr>
      <w:autoSpaceDE w:val="0"/>
      <w:autoSpaceDN w:val="0"/>
      <w:adjustRightInd w:val="0"/>
      <w:spacing w:line="141" w:lineRule="atLeast"/>
    </w:pPr>
    <w:rPr>
      <w:rFonts w:ascii="Minion Pro" w:eastAsiaTheme="minorHAnsi" w:hAnsi="Minion Pro" w:cstheme="minorBidi"/>
      <w:sz w:val="24"/>
      <w:szCs w:val="24"/>
      <w:lang w:eastAsia="en-US"/>
    </w:rPr>
  </w:style>
  <w:style w:type="paragraph" w:customStyle="1" w:styleId="Pa113">
    <w:name w:val="Pa11+3"/>
    <w:basedOn w:val="Normal"/>
    <w:next w:val="Normal"/>
    <w:uiPriority w:val="99"/>
    <w:rsid w:val="00FB2696"/>
    <w:pPr>
      <w:autoSpaceDE w:val="0"/>
      <w:autoSpaceDN w:val="0"/>
      <w:adjustRightInd w:val="0"/>
      <w:spacing w:line="221" w:lineRule="atLeast"/>
    </w:pPr>
    <w:rPr>
      <w:rFonts w:ascii="Minion Pro" w:eastAsiaTheme="minorHAnsi" w:hAnsi="Minion Pro" w:cstheme="minorBidi"/>
      <w:sz w:val="24"/>
      <w:szCs w:val="24"/>
      <w:lang w:eastAsia="en-US"/>
    </w:rPr>
  </w:style>
  <w:style w:type="character" w:customStyle="1" w:styleId="Heading1Char">
    <w:name w:val="Heading 1 Char"/>
    <w:basedOn w:val="DefaultParagraphFont"/>
    <w:link w:val="Heading1"/>
    <w:uiPriority w:val="9"/>
    <w:rsid w:val="00657349"/>
    <w:rPr>
      <w:rFonts w:asciiTheme="majorHAnsi" w:eastAsiaTheme="majorEastAsia" w:hAnsiTheme="majorHAnsi" w:cstheme="majorBidi"/>
      <w:color w:val="365F91" w:themeColor="accent1" w:themeShade="BF"/>
      <w:sz w:val="32"/>
      <w:szCs w:val="32"/>
      <w:lang w:eastAsia="es-MX"/>
    </w:rPr>
  </w:style>
  <w:style w:type="table" w:customStyle="1" w:styleId="TableNormal1">
    <w:name w:val="Table Normal1"/>
    <w:uiPriority w:val="2"/>
    <w:semiHidden/>
    <w:unhideWhenUsed/>
    <w:qFormat/>
    <w:rsid w:val="00657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7349"/>
    <w:pPr>
      <w:widowControl w:val="0"/>
      <w:autoSpaceDE w:val="0"/>
      <w:autoSpaceDN w:val="0"/>
    </w:pPr>
    <w:rPr>
      <w:rFonts w:ascii="Arial" w:eastAsia="Arial" w:hAnsi="Arial" w:cs="Arial"/>
      <w:sz w:val="22"/>
      <w:szCs w:val="22"/>
      <w:lang w:bidi="es-MX"/>
    </w:rPr>
  </w:style>
  <w:style w:type="paragraph" w:customStyle="1" w:styleId="Default">
    <w:name w:val="Default"/>
    <w:rsid w:val="0068176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rsid w:val="0098078F"/>
    <w:rPr>
      <w:rFonts w:asciiTheme="majorHAnsi" w:eastAsiaTheme="majorEastAsia" w:hAnsiTheme="majorHAnsi" w:cstheme="majorBidi"/>
      <w:color w:val="365F91" w:themeColor="accent1" w:themeShade="BF"/>
      <w:sz w:val="20"/>
      <w:szCs w:val="20"/>
      <w:lang w:eastAsia="es-MX"/>
    </w:rPr>
  </w:style>
  <w:style w:type="paragraph" w:customStyle="1" w:styleId="paragraph">
    <w:name w:val="paragraph"/>
    <w:basedOn w:val="Normal"/>
    <w:rsid w:val="0098078F"/>
    <w:pPr>
      <w:spacing w:before="100" w:beforeAutospacing="1" w:after="100" w:afterAutospacing="1"/>
    </w:pPr>
    <w:rPr>
      <w:sz w:val="24"/>
      <w:szCs w:val="24"/>
    </w:rPr>
  </w:style>
  <w:style w:type="character" w:customStyle="1" w:styleId="normaltextrun">
    <w:name w:val="normaltextrun"/>
    <w:basedOn w:val="DefaultParagraphFont"/>
    <w:rsid w:val="0098078F"/>
  </w:style>
  <w:style w:type="character" w:customStyle="1" w:styleId="eop">
    <w:name w:val="eop"/>
    <w:basedOn w:val="DefaultParagraphFont"/>
    <w:rsid w:val="0098078F"/>
  </w:style>
  <w:style w:type="character" w:customStyle="1" w:styleId="CORTE4FONDOCar0">
    <w:name w:val="CORTE4 FONDO Car"/>
    <w:link w:val="CORTE4FONDO0"/>
    <w:locked/>
    <w:rsid w:val="0098078F"/>
    <w:rPr>
      <w:rFonts w:ascii="Arial" w:hAnsi="Arial"/>
      <w:sz w:val="30"/>
      <w:szCs w:val="30"/>
      <w:lang w:val="es-ES_tradnl"/>
    </w:rPr>
  </w:style>
  <w:style w:type="paragraph" w:customStyle="1" w:styleId="CORTE4FONDO0">
    <w:name w:val="CORTE4 FONDO"/>
    <w:basedOn w:val="Normal"/>
    <w:link w:val="CORTE4FONDOCar0"/>
    <w:qFormat/>
    <w:rsid w:val="0098078F"/>
    <w:pPr>
      <w:spacing w:line="360" w:lineRule="auto"/>
      <w:ind w:firstLine="709"/>
      <w:jc w:val="both"/>
    </w:pPr>
    <w:rPr>
      <w:rFonts w:ascii="Arial" w:eastAsiaTheme="minorHAnsi" w:hAnsi="Arial" w:cstheme="minorBidi"/>
      <w:sz w:val="30"/>
      <w:szCs w:val="30"/>
      <w:lang w:val="es-ES_tradnl" w:eastAsia="en-US"/>
    </w:rPr>
  </w:style>
  <w:style w:type="paragraph" w:customStyle="1" w:styleId="Texto">
    <w:name w:val="Texto"/>
    <w:basedOn w:val="Normal"/>
    <w:link w:val="TextoCar"/>
    <w:qFormat/>
    <w:rsid w:val="0098078F"/>
    <w:pPr>
      <w:spacing w:after="101" w:line="216" w:lineRule="exact"/>
      <w:ind w:firstLine="288"/>
      <w:jc w:val="both"/>
    </w:pPr>
    <w:rPr>
      <w:rFonts w:ascii="Arial" w:hAnsi="Arial" w:cs="Arial"/>
      <w:sz w:val="18"/>
      <w:szCs w:val="18"/>
    </w:rPr>
  </w:style>
  <w:style w:type="character" w:customStyle="1" w:styleId="TextoCar">
    <w:name w:val="Texto Car"/>
    <w:basedOn w:val="DefaultParagraphFont"/>
    <w:link w:val="Texto"/>
    <w:locked/>
    <w:rsid w:val="0098078F"/>
    <w:rPr>
      <w:rFonts w:ascii="Arial" w:eastAsia="Times New Roman" w:hAnsi="Arial" w:cs="Arial"/>
      <w:sz w:val="18"/>
      <w:szCs w:val="18"/>
      <w:lang w:eastAsia="es-MX"/>
    </w:rPr>
  </w:style>
  <w:style w:type="paragraph" w:customStyle="1" w:styleId="ROMANOS">
    <w:name w:val="ROMANOS"/>
    <w:basedOn w:val="Normal"/>
    <w:link w:val="ROMANOSCar"/>
    <w:rsid w:val="0098078F"/>
    <w:pPr>
      <w:tabs>
        <w:tab w:val="left" w:pos="720"/>
      </w:tabs>
      <w:spacing w:after="101" w:line="216" w:lineRule="exact"/>
      <w:ind w:left="720" w:hanging="432"/>
      <w:jc w:val="both"/>
    </w:pPr>
    <w:rPr>
      <w:rFonts w:ascii="Arial" w:hAnsi="Arial"/>
      <w:sz w:val="18"/>
      <w:szCs w:val="18"/>
      <w:lang w:val="es-ES" w:eastAsia="es-ES"/>
    </w:rPr>
  </w:style>
  <w:style w:type="character" w:customStyle="1" w:styleId="ROMANOSCar">
    <w:name w:val="ROMANOS Car"/>
    <w:link w:val="ROMANOS"/>
    <w:locked/>
    <w:rsid w:val="0098078F"/>
    <w:rPr>
      <w:rFonts w:ascii="Arial" w:eastAsia="Times New Roman" w:hAnsi="Arial" w:cs="Times New Roman"/>
      <w:sz w:val="18"/>
      <w:szCs w:val="18"/>
      <w:lang w:val="es-ES" w:eastAsia="es-ES"/>
    </w:rPr>
  </w:style>
  <w:style w:type="character" w:customStyle="1" w:styleId="Ninguno">
    <w:name w:val="Ninguno"/>
    <w:rsid w:val="0098078F"/>
  </w:style>
  <w:style w:type="table" w:styleId="LightList">
    <w:name w:val="Light List"/>
    <w:basedOn w:val="TableNormal"/>
    <w:uiPriority w:val="61"/>
    <w:rsid w:val="0098078F"/>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rte5trascripcin">
    <w:name w:val="Corte 5 trascripción"/>
    <w:basedOn w:val="corte4fondo"/>
    <w:qFormat/>
    <w:rsid w:val="0098078F"/>
    <w:pPr>
      <w:spacing w:line="240" w:lineRule="auto"/>
      <w:ind w:left="709" w:right="707"/>
    </w:pPr>
    <w:rPr>
      <w:sz w:val="22"/>
      <w:szCs w:val="22"/>
      <w:lang w:eastAsia="ja-JP"/>
    </w:rPr>
  </w:style>
  <w:style w:type="character" w:customStyle="1" w:styleId="bold">
    <w:name w:val="bold"/>
    <w:basedOn w:val="DefaultParagraphFont"/>
    <w:rsid w:val="00980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6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sChild>
        <w:div w:id="1575777269">
          <w:marLeft w:val="0"/>
          <w:marRight w:val="0"/>
          <w:marTop w:val="0"/>
          <w:marBottom w:val="101"/>
          <w:divBdr>
            <w:top w:val="none" w:sz="0" w:space="0" w:color="auto"/>
            <w:left w:val="none" w:sz="0" w:space="0" w:color="auto"/>
            <w:bottom w:val="none" w:sz="0" w:space="0" w:color="auto"/>
            <w:right w:val="none" w:sz="0" w:space="0" w:color="auto"/>
          </w:divBdr>
        </w:div>
        <w:div w:id="697199504">
          <w:marLeft w:val="0"/>
          <w:marRight w:val="0"/>
          <w:marTop w:val="0"/>
          <w:marBottom w:val="101"/>
          <w:divBdr>
            <w:top w:val="none" w:sz="0" w:space="0" w:color="auto"/>
            <w:left w:val="none" w:sz="0" w:space="0" w:color="auto"/>
            <w:bottom w:val="none" w:sz="0" w:space="0" w:color="auto"/>
            <w:right w:val="none" w:sz="0" w:space="0" w:color="auto"/>
          </w:divBdr>
        </w:div>
        <w:div w:id="734741725">
          <w:marLeft w:val="0"/>
          <w:marRight w:val="0"/>
          <w:marTop w:val="0"/>
          <w:marBottom w:val="101"/>
          <w:divBdr>
            <w:top w:val="none" w:sz="0" w:space="0" w:color="auto"/>
            <w:left w:val="none" w:sz="0" w:space="0" w:color="auto"/>
            <w:bottom w:val="none" w:sz="0" w:space="0" w:color="auto"/>
            <w:right w:val="none" w:sz="0" w:space="0" w:color="auto"/>
          </w:divBdr>
        </w:div>
        <w:div w:id="1636137056">
          <w:marLeft w:val="0"/>
          <w:marRight w:val="0"/>
          <w:marTop w:val="0"/>
          <w:marBottom w:val="101"/>
          <w:divBdr>
            <w:top w:val="none" w:sz="0" w:space="0" w:color="auto"/>
            <w:left w:val="none" w:sz="0" w:space="0" w:color="auto"/>
            <w:bottom w:val="none" w:sz="0" w:space="0" w:color="auto"/>
            <w:right w:val="none" w:sz="0" w:space="0" w:color="auto"/>
          </w:divBdr>
        </w:div>
        <w:div w:id="447510593">
          <w:marLeft w:val="0"/>
          <w:marRight w:val="0"/>
          <w:marTop w:val="0"/>
          <w:marBottom w:val="101"/>
          <w:divBdr>
            <w:top w:val="none" w:sz="0" w:space="0" w:color="auto"/>
            <w:left w:val="none" w:sz="0" w:space="0" w:color="auto"/>
            <w:bottom w:val="none" w:sz="0" w:space="0" w:color="auto"/>
            <w:right w:val="none" w:sz="0" w:space="0" w:color="auto"/>
          </w:divBdr>
        </w:div>
        <w:div w:id="2052028031">
          <w:marLeft w:val="0"/>
          <w:marRight w:val="0"/>
          <w:marTop w:val="0"/>
          <w:marBottom w:val="101"/>
          <w:divBdr>
            <w:top w:val="none" w:sz="0" w:space="0" w:color="auto"/>
            <w:left w:val="none" w:sz="0" w:space="0" w:color="auto"/>
            <w:bottom w:val="none" w:sz="0" w:space="0" w:color="auto"/>
            <w:right w:val="none" w:sz="0" w:space="0" w:color="auto"/>
          </w:divBdr>
        </w:div>
      </w:divsChild>
    </w:div>
    <w:div w:id="3094968">
      <w:bodyDiv w:val="1"/>
      <w:marLeft w:val="0"/>
      <w:marRight w:val="0"/>
      <w:marTop w:val="0"/>
      <w:marBottom w:val="0"/>
      <w:divBdr>
        <w:top w:val="none" w:sz="0" w:space="0" w:color="auto"/>
        <w:left w:val="none" w:sz="0" w:space="0" w:color="auto"/>
        <w:bottom w:val="none" w:sz="0" w:space="0" w:color="auto"/>
        <w:right w:val="none" w:sz="0" w:space="0" w:color="auto"/>
      </w:divBdr>
    </w:div>
    <w:div w:id="8146124">
      <w:bodyDiv w:val="1"/>
      <w:marLeft w:val="0"/>
      <w:marRight w:val="0"/>
      <w:marTop w:val="0"/>
      <w:marBottom w:val="0"/>
      <w:divBdr>
        <w:top w:val="none" w:sz="0" w:space="0" w:color="auto"/>
        <w:left w:val="none" w:sz="0" w:space="0" w:color="auto"/>
        <w:bottom w:val="none" w:sz="0" w:space="0" w:color="auto"/>
        <w:right w:val="none" w:sz="0" w:space="0" w:color="auto"/>
      </w:divBdr>
    </w:div>
    <w:div w:id="18506066">
      <w:bodyDiv w:val="1"/>
      <w:marLeft w:val="0"/>
      <w:marRight w:val="0"/>
      <w:marTop w:val="0"/>
      <w:marBottom w:val="0"/>
      <w:divBdr>
        <w:top w:val="none" w:sz="0" w:space="0" w:color="auto"/>
        <w:left w:val="none" w:sz="0" w:space="0" w:color="auto"/>
        <w:bottom w:val="none" w:sz="0" w:space="0" w:color="auto"/>
        <w:right w:val="none" w:sz="0" w:space="0" w:color="auto"/>
      </w:divBdr>
    </w:div>
    <w:div w:id="21174813">
      <w:bodyDiv w:val="1"/>
      <w:marLeft w:val="0"/>
      <w:marRight w:val="0"/>
      <w:marTop w:val="0"/>
      <w:marBottom w:val="0"/>
      <w:divBdr>
        <w:top w:val="none" w:sz="0" w:space="0" w:color="auto"/>
        <w:left w:val="none" w:sz="0" w:space="0" w:color="auto"/>
        <w:bottom w:val="none" w:sz="0" w:space="0" w:color="auto"/>
        <w:right w:val="none" w:sz="0" w:space="0" w:color="auto"/>
      </w:divBdr>
    </w:div>
    <w:div w:id="35276454">
      <w:bodyDiv w:val="1"/>
      <w:marLeft w:val="0"/>
      <w:marRight w:val="0"/>
      <w:marTop w:val="0"/>
      <w:marBottom w:val="0"/>
      <w:divBdr>
        <w:top w:val="none" w:sz="0" w:space="0" w:color="auto"/>
        <w:left w:val="none" w:sz="0" w:space="0" w:color="auto"/>
        <w:bottom w:val="none" w:sz="0" w:space="0" w:color="auto"/>
        <w:right w:val="none" w:sz="0" w:space="0" w:color="auto"/>
      </w:divBdr>
    </w:div>
    <w:div w:id="36710542">
      <w:bodyDiv w:val="1"/>
      <w:marLeft w:val="0"/>
      <w:marRight w:val="0"/>
      <w:marTop w:val="0"/>
      <w:marBottom w:val="0"/>
      <w:divBdr>
        <w:top w:val="none" w:sz="0" w:space="0" w:color="auto"/>
        <w:left w:val="none" w:sz="0" w:space="0" w:color="auto"/>
        <w:bottom w:val="none" w:sz="0" w:space="0" w:color="auto"/>
        <w:right w:val="none" w:sz="0" w:space="0" w:color="auto"/>
      </w:divBdr>
    </w:div>
    <w:div w:id="51584264">
      <w:bodyDiv w:val="1"/>
      <w:marLeft w:val="0"/>
      <w:marRight w:val="0"/>
      <w:marTop w:val="0"/>
      <w:marBottom w:val="0"/>
      <w:divBdr>
        <w:top w:val="none" w:sz="0" w:space="0" w:color="auto"/>
        <w:left w:val="none" w:sz="0" w:space="0" w:color="auto"/>
        <w:bottom w:val="none" w:sz="0" w:space="0" w:color="auto"/>
        <w:right w:val="none" w:sz="0" w:space="0" w:color="auto"/>
      </w:divBdr>
    </w:div>
    <w:div w:id="51926133">
      <w:bodyDiv w:val="1"/>
      <w:marLeft w:val="0"/>
      <w:marRight w:val="0"/>
      <w:marTop w:val="0"/>
      <w:marBottom w:val="0"/>
      <w:divBdr>
        <w:top w:val="none" w:sz="0" w:space="0" w:color="auto"/>
        <w:left w:val="none" w:sz="0" w:space="0" w:color="auto"/>
        <w:bottom w:val="none" w:sz="0" w:space="0" w:color="auto"/>
        <w:right w:val="none" w:sz="0" w:space="0" w:color="auto"/>
      </w:divBdr>
    </w:div>
    <w:div w:id="67773511">
      <w:bodyDiv w:val="1"/>
      <w:marLeft w:val="0"/>
      <w:marRight w:val="0"/>
      <w:marTop w:val="0"/>
      <w:marBottom w:val="0"/>
      <w:divBdr>
        <w:top w:val="none" w:sz="0" w:space="0" w:color="auto"/>
        <w:left w:val="none" w:sz="0" w:space="0" w:color="auto"/>
        <w:bottom w:val="none" w:sz="0" w:space="0" w:color="auto"/>
        <w:right w:val="none" w:sz="0" w:space="0" w:color="auto"/>
      </w:divBdr>
    </w:div>
    <w:div w:id="121118240">
      <w:bodyDiv w:val="1"/>
      <w:marLeft w:val="0"/>
      <w:marRight w:val="0"/>
      <w:marTop w:val="0"/>
      <w:marBottom w:val="0"/>
      <w:divBdr>
        <w:top w:val="none" w:sz="0" w:space="0" w:color="auto"/>
        <w:left w:val="none" w:sz="0" w:space="0" w:color="auto"/>
        <w:bottom w:val="none" w:sz="0" w:space="0" w:color="auto"/>
        <w:right w:val="none" w:sz="0" w:space="0" w:color="auto"/>
      </w:divBdr>
    </w:div>
    <w:div w:id="126094699">
      <w:bodyDiv w:val="1"/>
      <w:marLeft w:val="0"/>
      <w:marRight w:val="0"/>
      <w:marTop w:val="0"/>
      <w:marBottom w:val="0"/>
      <w:divBdr>
        <w:top w:val="none" w:sz="0" w:space="0" w:color="auto"/>
        <w:left w:val="none" w:sz="0" w:space="0" w:color="auto"/>
        <w:bottom w:val="none" w:sz="0" w:space="0" w:color="auto"/>
        <w:right w:val="none" w:sz="0" w:space="0" w:color="auto"/>
      </w:divBdr>
    </w:div>
    <w:div w:id="129443322">
      <w:bodyDiv w:val="1"/>
      <w:marLeft w:val="0"/>
      <w:marRight w:val="0"/>
      <w:marTop w:val="0"/>
      <w:marBottom w:val="0"/>
      <w:divBdr>
        <w:top w:val="none" w:sz="0" w:space="0" w:color="auto"/>
        <w:left w:val="none" w:sz="0" w:space="0" w:color="auto"/>
        <w:bottom w:val="none" w:sz="0" w:space="0" w:color="auto"/>
        <w:right w:val="none" w:sz="0" w:space="0" w:color="auto"/>
      </w:divBdr>
    </w:div>
    <w:div w:id="132843008">
      <w:bodyDiv w:val="1"/>
      <w:marLeft w:val="0"/>
      <w:marRight w:val="0"/>
      <w:marTop w:val="0"/>
      <w:marBottom w:val="0"/>
      <w:divBdr>
        <w:top w:val="none" w:sz="0" w:space="0" w:color="auto"/>
        <w:left w:val="none" w:sz="0" w:space="0" w:color="auto"/>
        <w:bottom w:val="none" w:sz="0" w:space="0" w:color="auto"/>
        <w:right w:val="none" w:sz="0" w:space="0" w:color="auto"/>
      </w:divBdr>
    </w:div>
    <w:div w:id="133647388">
      <w:bodyDiv w:val="1"/>
      <w:marLeft w:val="0"/>
      <w:marRight w:val="0"/>
      <w:marTop w:val="0"/>
      <w:marBottom w:val="0"/>
      <w:divBdr>
        <w:top w:val="none" w:sz="0" w:space="0" w:color="auto"/>
        <w:left w:val="none" w:sz="0" w:space="0" w:color="auto"/>
        <w:bottom w:val="none" w:sz="0" w:space="0" w:color="auto"/>
        <w:right w:val="none" w:sz="0" w:space="0" w:color="auto"/>
      </w:divBdr>
    </w:div>
    <w:div w:id="138570813">
      <w:bodyDiv w:val="1"/>
      <w:marLeft w:val="0"/>
      <w:marRight w:val="0"/>
      <w:marTop w:val="0"/>
      <w:marBottom w:val="0"/>
      <w:divBdr>
        <w:top w:val="none" w:sz="0" w:space="0" w:color="auto"/>
        <w:left w:val="none" w:sz="0" w:space="0" w:color="auto"/>
        <w:bottom w:val="none" w:sz="0" w:space="0" w:color="auto"/>
        <w:right w:val="none" w:sz="0" w:space="0" w:color="auto"/>
      </w:divBdr>
    </w:div>
    <w:div w:id="149173364">
      <w:bodyDiv w:val="1"/>
      <w:marLeft w:val="0"/>
      <w:marRight w:val="0"/>
      <w:marTop w:val="0"/>
      <w:marBottom w:val="0"/>
      <w:divBdr>
        <w:top w:val="none" w:sz="0" w:space="0" w:color="auto"/>
        <w:left w:val="none" w:sz="0" w:space="0" w:color="auto"/>
        <w:bottom w:val="none" w:sz="0" w:space="0" w:color="auto"/>
        <w:right w:val="none" w:sz="0" w:space="0" w:color="auto"/>
      </w:divBdr>
    </w:div>
    <w:div w:id="155658974">
      <w:bodyDiv w:val="1"/>
      <w:marLeft w:val="0"/>
      <w:marRight w:val="0"/>
      <w:marTop w:val="0"/>
      <w:marBottom w:val="0"/>
      <w:divBdr>
        <w:top w:val="none" w:sz="0" w:space="0" w:color="auto"/>
        <w:left w:val="none" w:sz="0" w:space="0" w:color="auto"/>
        <w:bottom w:val="none" w:sz="0" w:space="0" w:color="auto"/>
        <w:right w:val="none" w:sz="0" w:space="0" w:color="auto"/>
      </w:divBdr>
    </w:div>
    <w:div w:id="165023954">
      <w:bodyDiv w:val="1"/>
      <w:marLeft w:val="0"/>
      <w:marRight w:val="0"/>
      <w:marTop w:val="0"/>
      <w:marBottom w:val="0"/>
      <w:divBdr>
        <w:top w:val="none" w:sz="0" w:space="0" w:color="auto"/>
        <w:left w:val="none" w:sz="0" w:space="0" w:color="auto"/>
        <w:bottom w:val="none" w:sz="0" w:space="0" w:color="auto"/>
        <w:right w:val="none" w:sz="0" w:space="0" w:color="auto"/>
      </w:divBdr>
    </w:div>
    <w:div w:id="168763481">
      <w:bodyDiv w:val="1"/>
      <w:marLeft w:val="0"/>
      <w:marRight w:val="0"/>
      <w:marTop w:val="0"/>
      <w:marBottom w:val="0"/>
      <w:divBdr>
        <w:top w:val="none" w:sz="0" w:space="0" w:color="auto"/>
        <w:left w:val="none" w:sz="0" w:space="0" w:color="auto"/>
        <w:bottom w:val="none" w:sz="0" w:space="0" w:color="auto"/>
        <w:right w:val="none" w:sz="0" w:space="0" w:color="auto"/>
      </w:divBdr>
      <w:divsChild>
        <w:div w:id="1758670745">
          <w:marLeft w:val="0"/>
          <w:marRight w:val="0"/>
          <w:marTop w:val="0"/>
          <w:marBottom w:val="0"/>
          <w:divBdr>
            <w:top w:val="none" w:sz="0" w:space="0" w:color="auto"/>
            <w:left w:val="none" w:sz="0" w:space="0" w:color="auto"/>
            <w:bottom w:val="none" w:sz="0" w:space="0" w:color="auto"/>
            <w:right w:val="none" w:sz="0" w:space="0" w:color="auto"/>
          </w:divBdr>
          <w:divsChild>
            <w:div w:id="310988168">
              <w:marLeft w:val="0"/>
              <w:marRight w:val="0"/>
              <w:marTop w:val="0"/>
              <w:marBottom w:val="0"/>
              <w:divBdr>
                <w:top w:val="none" w:sz="0" w:space="0" w:color="auto"/>
                <w:left w:val="none" w:sz="0" w:space="0" w:color="auto"/>
                <w:bottom w:val="none" w:sz="0" w:space="0" w:color="auto"/>
                <w:right w:val="none" w:sz="0" w:space="0" w:color="auto"/>
              </w:divBdr>
              <w:divsChild>
                <w:div w:id="311446217">
                  <w:marLeft w:val="0"/>
                  <w:marRight w:val="0"/>
                  <w:marTop w:val="0"/>
                  <w:marBottom w:val="0"/>
                  <w:divBdr>
                    <w:top w:val="none" w:sz="0" w:space="0" w:color="auto"/>
                    <w:left w:val="none" w:sz="0" w:space="0" w:color="auto"/>
                    <w:bottom w:val="none" w:sz="0" w:space="0" w:color="auto"/>
                    <w:right w:val="none" w:sz="0" w:space="0" w:color="auto"/>
                  </w:divBdr>
                  <w:divsChild>
                    <w:div w:id="1659378710">
                      <w:marLeft w:val="0"/>
                      <w:marRight w:val="0"/>
                      <w:marTop w:val="0"/>
                      <w:marBottom w:val="0"/>
                      <w:divBdr>
                        <w:top w:val="single" w:sz="2" w:space="0" w:color="E2E2E2"/>
                        <w:left w:val="single" w:sz="2" w:space="15" w:color="E2E2E2"/>
                        <w:bottom w:val="single" w:sz="2" w:space="0" w:color="E2E2E2"/>
                        <w:right w:val="single" w:sz="2" w:space="15" w:color="E2E2E2"/>
                      </w:divBdr>
                      <w:divsChild>
                        <w:div w:id="1175268224">
                          <w:marLeft w:val="0"/>
                          <w:marRight w:val="0"/>
                          <w:marTop w:val="0"/>
                          <w:marBottom w:val="0"/>
                          <w:divBdr>
                            <w:top w:val="none" w:sz="0" w:space="0" w:color="auto"/>
                            <w:left w:val="none" w:sz="0" w:space="0" w:color="auto"/>
                            <w:bottom w:val="none" w:sz="0" w:space="0" w:color="auto"/>
                            <w:right w:val="none" w:sz="0" w:space="0" w:color="auto"/>
                          </w:divBdr>
                          <w:divsChild>
                            <w:div w:id="326445337">
                              <w:marLeft w:val="0"/>
                              <w:marRight w:val="0"/>
                              <w:marTop w:val="0"/>
                              <w:marBottom w:val="0"/>
                              <w:divBdr>
                                <w:top w:val="none" w:sz="0" w:space="0" w:color="auto"/>
                                <w:left w:val="none" w:sz="0" w:space="0" w:color="auto"/>
                                <w:bottom w:val="none" w:sz="0" w:space="0" w:color="auto"/>
                                <w:right w:val="none" w:sz="0" w:space="0" w:color="auto"/>
                              </w:divBdr>
                              <w:divsChild>
                                <w:div w:id="83503197">
                                  <w:marLeft w:val="0"/>
                                  <w:marRight w:val="0"/>
                                  <w:marTop w:val="0"/>
                                  <w:marBottom w:val="0"/>
                                  <w:divBdr>
                                    <w:top w:val="single" w:sz="6" w:space="0" w:color="DDDDDD"/>
                                    <w:left w:val="single" w:sz="6" w:space="8" w:color="DDDDDD"/>
                                    <w:bottom w:val="single" w:sz="6" w:space="8" w:color="DDDDDD"/>
                                    <w:right w:val="single" w:sz="6" w:space="8" w:color="DDDDDD"/>
                                  </w:divBdr>
                                  <w:divsChild>
                                    <w:div w:id="335427464">
                                      <w:marLeft w:val="0"/>
                                      <w:marRight w:val="0"/>
                                      <w:marTop w:val="0"/>
                                      <w:marBottom w:val="0"/>
                                      <w:divBdr>
                                        <w:top w:val="none" w:sz="0" w:space="0" w:color="auto"/>
                                        <w:left w:val="none" w:sz="0" w:space="0" w:color="auto"/>
                                        <w:bottom w:val="none" w:sz="0" w:space="0" w:color="auto"/>
                                        <w:right w:val="none" w:sz="0" w:space="0" w:color="auto"/>
                                      </w:divBdr>
                                      <w:divsChild>
                                        <w:div w:id="107967707">
                                          <w:marLeft w:val="0"/>
                                          <w:marRight w:val="0"/>
                                          <w:marTop w:val="0"/>
                                          <w:marBottom w:val="0"/>
                                          <w:divBdr>
                                            <w:top w:val="none" w:sz="0" w:space="0" w:color="auto"/>
                                            <w:left w:val="none" w:sz="0" w:space="0" w:color="auto"/>
                                            <w:bottom w:val="none" w:sz="0" w:space="0" w:color="auto"/>
                                            <w:right w:val="none" w:sz="0" w:space="0" w:color="auto"/>
                                          </w:divBdr>
                                          <w:divsChild>
                                            <w:div w:id="1763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5442">
      <w:bodyDiv w:val="1"/>
      <w:marLeft w:val="0"/>
      <w:marRight w:val="0"/>
      <w:marTop w:val="0"/>
      <w:marBottom w:val="0"/>
      <w:divBdr>
        <w:top w:val="none" w:sz="0" w:space="0" w:color="auto"/>
        <w:left w:val="none" w:sz="0" w:space="0" w:color="auto"/>
        <w:bottom w:val="none" w:sz="0" w:space="0" w:color="auto"/>
        <w:right w:val="none" w:sz="0" w:space="0" w:color="auto"/>
      </w:divBdr>
    </w:div>
    <w:div w:id="169030571">
      <w:bodyDiv w:val="1"/>
      <w:marLeft w:val="0"/>
      <w:marRight w:val="0"/>
      <w:marTop w:val="0"/>
      <w:marBottom w:val="0"/>
      <w:divBdr>
        <w:top w:val="none" w:sz="0" w:space="0" w:color="auto"/>
        <w:left w:val="none" w:sz="0" w:space="0" w:color="auto"/>
        <w:bottom w:val="none" w:sz="0" w:space="0" w:color="auto"/>
        <w:right w:val="none" w:sz="0" w:space="0" w:color="auto"/>
      </w:divBdr>
      <w:divsChild>
        <w:div w:id="663749263">
          <w:marLeft w:val="0"/>
          <w:marRight w:val="0"/>
          <w:marTop w:val="0"/>
          <w:marBottom w:val="101"/>
          <w:divBdr>
            <w:top w:val="none" w:sz="0" w:space="0" w:color="auto"/>
            <w:left w:val="none" w:sz="0" w:space="0" w:color="auto"/>
            <w:bottom w:val="none" w:sz="0" w:space="0" w:color="auto"/>
            <w:right w:val="none" w:sz="0" w:space="0" w:color="auto"/>
          </w:divBdr>
        </w:div>
        <w:div w:id="622929881">
          <w:marLeft w:val="0"/>
          <w:marRight w:val="0"/>
          <w:marTop w:val="0"/>
          <w:marBottom w:val="101"/>
          <w:divBdr>
            <w:top w:val="none" w:sz="0" w:space="0" w:color="auto"/>
            <w:left w:val="none" w:sz="0" w:space="0" w:color="auto"/>
            <w:bottom w:val="none" w:sz="0" w:space="0" w:color="auto"/>
            <w:right w:val="none" w:sz="0" w:space="0" w:color="auto"/>
          </w:divBdr>
        </w:div>
        <w:div w:id="1364406325">
          <w:marLeft w:val="0"/>
          <w:marRight w:val="0"/>
          <w:marTop w:val="0"/>
          <w:marBottom w:val="101"/>
          <w:divBdr>
            <w:top w:val="none" w:sz="0" w:space="0" w:color="auto"/>
            <w:left w:val="none" w:sz="0" w:space="0" w:color="auto"/>
            <w:bottom w:val="none" w:sz="0" w:space="0" w:color="auto"/>
            <w:right w:val="none" w:sz="0" w:space="0" w:color="auto"/>
          </w:divBdr>
        </w:div>
        <w:div w:id="2118863745">
          <w:marLeft w:val="0"/>
          <w:marRight w:val="0"/>
          <w:marTop w:val="0"/>
          <w:marBottom w:val="101"/>
          <w:divBdr>
            <w:top w:val="none" w:sz="0" w:space="0" w:color="auto"/>
            <w:left w:val="none" w:sz="0" w:space="0" w:color="auto"/>
            <w:bottom w:val="none" w:sz="0" w:space="0" w:color="auto"/>
            <w:right w:val="none" w:sz="0" w:space="0" w:color="auto"/>
          </w:divBdr>
        </w:div>
        <w:div w:id="737094066">
          <w:marLeft w:val="0"/>
          <w:marRight w:val="0"/>
          <w:marTop w:val="0"/>
          <w:marBottom w:val="101"/>
          <w:divBdr>
            <w:top w:val="none" w:sz="0" w:space="0" w:color="auto"/>
            <w:left w:val="none" w:sz="0" w:space="0" w:color="auto"/>
            <w:bottom w:val="none" w:sz="0" w:space="0" w:color="auto"/>
            <w:right w:val="none" w:sz="0" w:space="0" w:color="auto"/>
          </w:divBdr>
        </w:div>
        <w:div w:id="531773833">
          <w:marLeft w:val="0"/>
          <w:marRight w:val="0"/>
          <w:marTop w:val="0"/>
          <w:marBottom w:val="101"/>
          <w:divBdr>
            <w:top w:val="none" w:sz="0" w:space="0" w:color="auto"/>
            <w:left w:val="none" w:sz="0" w:space="0" w:color="auto"/>
            <w:bottom w:val="none" w:sz="0" w:space="0" w:color="auto"/>
            <w:right w:val="none" w:sz="0" w:space="0" w:color="auto"/>
          </w:divBdr>
        </w:div>
        <w:div w:id="1150823488">
          <w:marLeft w:val="0"/>
          <w:marRight w:val="0"/>
          <w:marTop w:val="0"/>
          <w:marBottom w:val="101"/>
          <w:divBdr>
            <w:top w:val="none" w:sz="0" w:space="0" w:color="auto"/>
            <w:left w:val="none" w:sz="0" w:space="0" w:color="auto"/>
            <w:bottom w:val="none" w:sz="0" w:space="0" w:color="auto"/>
            <w:right w:val="none" w:sz="0" w:space="0" w:color="auto"/>
          </w:divBdr>
        </w:div>
        <w:div w:id="759300755">
          <w:marLeft w:val="0"/>
          <w:marRight w:val="0"/>
          <w:marTop w:val="0"/>
          <w:marBottom w:val="101"/>
          <w:divBdr>
            <w:top w:val="none" w:sz="0" w:space="0" w:color="auto"/>
            <w:left w:val="none" w:sz="0" w:space="0" w:color="auto"/>
            <w:bottom w:val="none" w:sz="0" w:space="0" w:color="auto"/>
            <w:right w:val="none" w:sz="0" w:space="0" w:color="auto"/>
          </w:divBdr>
        </w:div>
        <w:div w:id="1093816330">
          <w:marLeft w:val="0"/>
          <w:marRight w:val="0"/>
          <w:marTop w:val="0"/>
          <w:marBottom w:val="101"/>
          <w:divBdr>
            <w:top w:val="none" w:sz="0" w:space="0" w:color="auto"/>
            <w:left w:val="none" w:sz="0" w:space="0" w:color="auto"/>
            <w:bottom w:val="none" w:sz="0" w:space="0" w:color="auto"/>
            <w:right w:val="none" w:sz="0" w:space="0" w:color="auto"/>
          </w:divBdr>
        </w:div>
        <w:div w:id="681585457">
          <w:marLeft w:val="0"/>
          <w:marRight w:val="0"/>
          <w:marTop w:val="0"/>
          <w:marBottom w:val="101"/>
          <w:divBdr>
            <w:top w:val="none" w:sz="0" w:space="0" w:color="auto"/>
            <w:left w:val="none" w:sz="0" w:space="0" w:color="auto"/>
            <w:bottom w:val="none" w:sz="0" w:space="0" w:color="auto"/>
            <w:right w:val="none" w:sz="0" w:space="0" w:color="auto"/>
          </w:divBdr>
        </w:div>
        <w:div w:id="2097362830">
          <w:marLeft w:val="0"/>
          <w:marRight w:val="0"/>
          <w:marTop w:val="0"/>
          <w:marBottom w:val="101"/>
          <w:divBdr>
            <w:top w:val="none" w:sz="0" w:space="0" w:color="auto"/>
            <w:left w:val="none" w:sz="0" w:space="0" w:color="auto"/>
            <w:bottom w:val="none" w:sz="0" w:space="0" w:color="auto"/>
            <w:right w:val="none" w:sz="0" w:space="0" w:color="auto"/>
          </w:divBdr>
        </w:div>
        <w:div w:id="1265117737">
          <w:marLeft w:val="0"/>
          <w:marRight w:val="0"/>
          <w:marTop w:val="0"/>
          <w:marBottom w:val="101"/>
          <w:divBdr>
            <w:top w:val="none" w:sz="0" w:space="0" w:color="auto"/>
            <w:left w:val="none" w:sz="0" w:space="0" w:color="auto"/>
            <w:bottom w:val="none" w:sz="0" w:space="0" w:color="auto"/>
            <w:right w:val="none" w:sz="0" w:space="0" w:color="auto"/>
          </w:divBdr>
        </w:div>
        <w:div w:id="1831821340">
          <w:marLeft w:val="0"/>
          <w:marRight w:val="0"/>
          <w:marTop w:val="0"/>
          <w:marBottom w:val="101"/>
          <w:divBdr>
            <w:top w:val="none" w:sz="0" w:space="0" w:color="auto"/>
            <w:left w:val="none" w:sz="0" w:space="0" w:color="auto"/>
            <w:bottom w:val="none" w:sz="0" w:space="0" w:color="auto"/>
            <w:right w:val="none" w:sz="0" w:space="0" w:color="auto"/>
          </w:divBdr>
        </w:div>
        <w:div w:id="626090226">
          <w:marLeft w:val="0"/>
          <w:marRight w:val="0"/>
          <w:marTop w:val="0"/>
          <w:marBottom w:val="101"/>
          <w:divBdr>
            <w:top w:val="none" w:sz="0" w:space="0" w:color="auto"/>
            <w:left w:val="none" w:sz="0" w:space="0" w:color="auto"/>
            <w:bottom w:val="none" w:sz="0" w:space="0" w:color="auto"/>
            <w:right w:val="none" w:sz="0" w:space="0" w:color="auto"/>
          </w:divBdr>
        </w:div>
        <w:div w:id="1250505557">
          <w:marLeft w:val="0"/>
          <w:marRight w:val="0"/>
          <w:marTop w:val="0"/>
          <w:marBottom w:val="101"/>
          <w:divBdr>
            <w:top w:val="none" w:sz="0" w:space="0" w:color="auto"/>
            <w:left w:val="none" w:sz="0" w:space="0" w:color="auto"/>
            <w:bottom w:val="none" w:sz="0" w:space="0" w:color="auto"/>
            <w:right w:val="none" w:sz="0" w:space="0" w:color="auto"/>
          </w:divBdr>
        </w:div>
        <w:div w:id="1832062728">
          <w:marLeft w:val="0"/>
          <w:marRight w:val="0"/>
          <w:marTop w:val="0"/>
          <w:marBottom w:val="101"/>
          <w:divBdr>
            <w:top w:val="none" w:sz="0" w:space="0" w:color="auto"/>
            <w:left w:val="none" w:sz="0" w:space="0" w:color="auto"/>
            <w:bottom w:val="none" w:sz="0" w:space="0" w:color="auto"/>
            <w:right w:val="none" w:sz="0" w:space="0" w:color="auto"/>
          </w:divBdr>
        </w:div>
        <w:div w:id="1155486832">
          <w:marLeft w:val="0"/>
          <w:marRight w:val="0"/>
          <w:marTop w:val="0"/>
          <w:marBottom w:val="101"/>
          <w:divBdr>
            <w:top w:val="none" w:sz="0" w:space="0" w:color="auto"/>
            <w:left w:val="none" w:sz="0" w:space="0" w:color="auto"/>
            <w:bottom w:val="none" w:sz="0" w:space="0" w:color="auto"/>
            <w:right w:val="none" w:sz="0" w:space="0" w:color="auto"/>
          </w:divBdr>
        </w:div>
        <w:div w:id="649946246">
          <w:marLeft w:val="0"/>
          <w:marRight w:val="0"/>
          <w:marTop w:val="0"/>
          <w:marBottom w:val="101"/>
          <w:divBdr>
            <w:top w:val="none" w:sz="0" w:space="0" w:color="auto"/>
            <w:left w:val="none" w:sz="0" w:space="0" w:color="auto"/>
            <w:bottom w:val="none" w:sz="0" w:space="0" w:color="auto"/>
            <w:right w:val="none" w:sz="0" w:space="0" w:color="auto"/>
          </w:divBdr>
        </w:div>
        <w:div w:id="178277972">
          <w:marLeft w:val="0"/>
          <w:marRight w:val="0"/>
          <w:marTop w:val="0"/>
          <w:marBottom w:val="101"/>
          <w:divBdr>
            <w:top w:val="none" w:sz="0" w:space="0" w:color="auto"/>
            <w:left w:val="none" w:sz="0" w:space="0" w:color="auto"/>
            <w:bottom w:val="none" w:sz="0" w:space="0" w:color="auto"/>
            <w:right w:val="none" w:sz="0" w:space="0" w:color="auto"/>
          </w:divBdr>
        </w:div>
        <w:div w:id="802042858">
          <w:marLeft w:val="0"/>
          <w:marRight w:val="0"/>
          <w:marTop w:val="0"/>
          <w:marBottom w:val="101"/>
          <w:divBdr>
            <w:top w:val="none" w:sz="0" w:space="0" w:color="auto"/>
            <w:left w:val="none" w:sz="0" w:space="0" w:color="auto"/>
            <w:bottom w:val="none" w:sz="0" w:space="0" w:color="auto"/>
            <w:right w:val="none" w:sz="0" w:space="0" w:color="auto"/>
          </w:divBdr>
        </w:div>
        <w:div w:id="1099105910">
          <w:marLeft w:val="0"/>
          <w:marRight w:val="0"/>
          <w:marTop w:val="0"/>
          <w:marBottom w:val="101"/>
          <w:divBdr>
            <w:top w:val="none" w:sz="0" w:space="0" w:color="auto"/>
            <w:left w:val="none" w:sz="0" w:space="0" w:color="auto"/>
            <w:bottom w:val="none" w:sz="0" w:space="0" w:color="auto"/>
            <w:right w:val="none" w:sz="0" w:space="0" w:color="auto"/>
          </w:divBdr>
        </w:div>
        <w:div w:id="1473674239">
          <w:marLeft w:val="0"/>
          <w:marRight w:val="0"/>
          <w:marTop w:val="0"/>
          <w:marBottom w:val="101"/>
          <w:divBdr>
            <w:top w:val="none" w:sz="0" w:space="0" w:color="auto"/>
            <w:left w:val="none" w:sz="0" w:space="0" w:color="auto"/>
            <w:bottom w:val="none" w:sz="0" w:space="0" w:color="auto"/>
            <w:right w:val="none" w:sz="0" w:space="0" w:color="auto"/>
          </w:divBdr>
        </w:div>
        <w:div w:id="245580065">
          <w:marLeft w:val="0"/>
          <w:marRight w:val="0"/>
          <w:marTop w:val="0"/>
          <w:marBottom w:val="101"/>
          <w:divBdr>
            <w:top w:val="none" w:sz="0" w:space="0" w:color="auto"/>
            <w:left w:val="none" w:sz="0" w:space="0" w:color="auto"/>
            <w:bottom w:val="none" w:sz="0" w:space="0" w:color="auto"/>
            <w:right w:val="none" w:sz="0" w:space="0" w:color="auto"/>
          </w:divBdr>
        </w:div>
        <w:div w:id="554312100">
          <w:marLeft w:val="0"/>
          <w:marRight w:val="0"/>
          <w:marTop w:val="0"/>
          <w:marBottom w:val="101"/>
          <w:divBdr>
            <w:top w:val="none" w:sz="0" w:space="0" w:color="auto"/>
            <w:left w:val="none" w:sz="0" w:space="0" w:color="auto"/>
            <w:bottom w:val="none" w:sz="0" w:space="0" w:color="auto"/>
            <w:right w:val="none" w:sz="0" w:space="0" w:color="auto"/>
          </w:divBdr>
        </w:div>
        <w:div w:id="881944009">
          <w:marLeft w:val="0"/>
          <w:marRight w:val="0"/>
          <w:marTop w:val="0"/>
          <w:marBottom w:val="101"/>
          <w:divBdr>
            <w:top w:val="none" w:sz="0" w:space="0" w:color="auto"/>
            <w:left w:val="none" w:sz="0" w:space="0" w:color="auto"/>
            <w:bottom w:val="none" w:sz="0" w:space="0" w:color="auto"/>
            <w:right w:val="none" w:sz="0" w:space="0" w:color="auto"/>
          </w:divBdr>
        </w:div>
        <w:div w:id="85419452">
          <w:marLeft w:val="0"/>
          <w:marRight w:val="0"/>
          <w:marTop w:val="0"/>
          <w:marBottom w:val="101"/>
          <w:divBdr>
            <w:top w:val="none" w:sz="0" w:space="0" w:color="auto"/>
            <w:left w:val="none" w:sz="0" w:space="0" w:color="auto"/>
            <w:bottom w:val="none" w:sz="0" w:space="0" w:color="auto"/>
            <w:right w:val="none" w:sz="0" w:space="0" w:color="auto"/>
          </w:divBdr>
        </w:div>
        <w:div w:id="66878024">
          <w:marLeft w:val="0"/>
          <w:marRight w:val="0"/>
          <w:marTop w:val="0"/>
          <w:marBottom w:val="101"/>
          <w:divBdr>
            <w:top w:val="none" w:sz="0" w:space="0" w:color="auto"/>
            <w:left w:val="none" w:sz="0" w:space="0" w:color="auto"/>
            <w:bottom w:val="none" w:sz="0" w:space="0" w:color="auto"/>
            <w:right w:val="none" w:sz="0" w:space="0" w:color="auto"/>
          </w:divBdr>
        </w:div>
        <w:div w:id="1110902964">
          <w:marLeft w:val="0"/>
          <w:marRight w:val="0"/>
          <w:marTop w:val="0"/>
          <w:marBottom w:val="101"/>
          <w:divBdr>
            <w:top w:val="none" w:sz="0" w:space="0" w:color="auto"/>
            <w:left w:val="none" w:sz="0" w:space="0" w:color="auto"/>
            <w:bottom w:val="none" w:sz="0" w:space="0" w:color="auto"/>
            <w:right w:val="none" w:sz="0" w:space="0" w:color="auto"/>
          </w:divBdr>
        </w:div>
        <w:div w:id="1906451841">
          <w:marLeft w:val="0"/>
          <w:marRight w:val="0"/>
          <w:marTop w:val="0"/>
          <w:marBottom w:val="101"/>
          <w:divBdr>
            <w:top w:val="none" w:sz="0" w:space="0" w:color="auto"/>
            <w:left w:val="none" w:sz="0" w:space="0" w:color="auto"/>
            <w:bottom w:val="none" w:sz="0" w:space="0" w:color="auto"/>
            <w:right w:val="none" w:sz="0" w:space="0" w:color="auto"/>
          </w:divBdr>
        </w:div>
        <w:div w:id="1696887484">
          <w:marLeft w:val="0"/>
          <w:marRight w:val="0"/>
          <w:marTop w:val="0"/>
          <w:marBottom w:val="101"/>
          <w:divBdr>
            <w:top w:val="none" w:sz="0" w:space="0" w:color="auto"/>
            <w:left w:val="none" w:sz="0" w:space="0" w:color="auto"/>
            <w:bottom w:val="none" w:sz="0" w:space="0" w:color="auto"/>
            <w:right w:val="none" w:sz="0" w:space="0" w:color="auto"/>
          </w:divBdr>
        </w:div>
        <w:div w:id="1396900088">
          <w:marLeft w:val="0"/>
          <w:marRight w:val="0"/>
          <w:marTop w:val="0"/>
          <w:marBottom w:val="101"/>
          <w:divBdr>
            <w:top w:val="none" w:sz="0" w:space="0" w:color="auto"/>
            <w:left w:val="none" w:sz="0" w:space="0" w:color="auto"/>
            <w:bottom w:val="none" w:sz="0" w:space="0" w:color="auto"/>
            <w:right w:val="none" w:sz="0" w:space="0" w:color="auto"/>
          </w:divBdr>
        </w:div>
        <w:div w:id="938835781">
          <w:marLeft w:val="0"/>
          <w:marRight w:val="0"/>
          <w:marTop w:val="0"/>
          <w:marBottom w:val="101"/>
          <w:divBdr>
            <w:top w:val="none" w:sz="0" w:space="0" w:color="auto"/>
            <w:left w:val="none" w:sz="0" w:space="0" w:color="auto"/>
            <w:bottom w:val="none" w:sz="0" w:space="0" w:color="auto"/>
            <w:right w:val="none" w:sz="0" w:space="0" w:color="auto"/>
          </w:divBdr>
        </w:div>
        <w:div w:id="958416526">
          <w:marLeft w:val="0"/>
          <w:marRight w:val="0"/>
          <w:marTop w:val="0"/>
          <w:marBottom w:val="101"/>
          <w:divBdr>
            <w:top w:val="none" w:sz="0" w:space="0" w:color="auto"/>
            <w:left w:val="none" w:sz="0" w:space="0" w:color="auto"/>
            <w:bottom w:val="none" w:sz="0" w:space="0" w:color="auto"/>
            <w:right w:val="none" w:sz="0" w:space="0" w:color="auto"/>
          </w:divBdr>
        </w:div>
        <w:div w:id="1165701707">
          <w:marLeft w:val="0"/>
          <w:marRight w:val="0"/>
          <w:marTop w:val="0"/>
          <w:marBottom w:val="101"/>
          <w:divBdr>
            <w:top w:val="none" w:sz="0" w:space="0" w:color="auto"/>
            <w:left w:val="none" w:sz="0" w:space="0" w:color="auto"/>
            <w:bottom w:val="none" w:sz="0" w:space="0" w:color="auto"/>
            <w:right w:val="none" w:sz="0" w:space="0" w:color="auto"/>
          </w:divBdr>
        </w:div>
        <w:div w:id="276958329">
          <w:marLeft w:val="0"/>
          <w:marRight w:val="0"/>
          <w:marTop w:val="0"/>
          <w:marBottom w:val="101"/>
          <w:divBdr>
            <w:top w:val="none" w:sz="0" w:space="0" w:color="auto"/>
            <w:left w:val="none" w:sz="0" w:space="0" w:color="auto"/>
            <w:bottom w:val="none" w:sz="0" w:space="0" w:color="auto"/>
            <w:right w:val="none" w:sz="0" w:space="0" w:color="auto"/>
          </w:divBdr>
        </w:div>
        <w:div w:id="322047320">
          <w:marLeft w:val="0"/>
          <w:marRight w:val="0"/>
          <w:marTop w:val="0"/>
          <w:marBottom w:val="101"/>
          <w:divBdr>
            <w:top w:val="none" w:sz="0" w:space="0" w:color="auto"/>
            <w:left w:val="none" w:sz="0" w:space="0" w:color="auto"/>
            <w:bottom w:val="none" w:sz="0" w:space="0" w:color="auto"/>
            <w:right w:val="none" w:sz="0" w:space="0" w:color="auto"/>
          </w:divBdr>
        </w:div>
        <w:div w:id="1686051852">
          <w:marLeft w:val="0"/>
          <w:marRight w:val="0"/>
          <w:marTop w:val="0"/>
          <w:marBottom w:val="101"/>
          <w:divBdr>
            <w:top w:val="none" w:sz="0" w:space="0" w:color="auto"/>
            <w:left w:val="none" w:sz="0" w:space="0" w:color="auto"/>
            <w:bottom w:val="none" w:sz="0" w:space="0" w:color="auto"/>
            <w:right w:val="none" w:sz="0" w:space="0" w:color="auto"/>
          </w:divBdr>
        </w:div>
        <w:div w:id="2062358133">
          <w:marLeft w:val="0"/>
          <w:marRight w:val="0"/>
          <w:marTop w:val="0"/>
          <w:marBottom w:val="101"/>
          <w:divBdr>
            <w:top w:val="none" w:sz="0" w:space="0" w:color="auto"/>
            <w:left w:val="none" w:sz="0" w:space="0" w:color="auto"/>
            <w:bottom w:val="none" w:sz="0" w:space="0" w:color="auto"/>
            <w:right w:val="none" w:sz="0" w:space="0" w:color="auto"/>
          </w:divBdr>
        </w:div>
        <w:div w:id="465121890">
          <w:marLeft w:val="0"/>
          <w:marRight w:val="0"/>
          <w:marTop w:val="0"/>
          <w:marBottom w:val="101"/>
          <w:divBdr>
            <w:top w:val="none" w:sz="0" w:space="0" w:color="auto"/>
            <w:left w:val="none" w:sz="0" w:space="0" w:color="auto"/>
            <w:bottom w:val="none" w:sz="0" w:space="0" w:color="auto"/>
            <w:right w:val="none" w:sz="0" w:space="0" w:color="auto"/>
          </w:divBdr>
        </w:div>
      </w:divsChild>
    </w:div>
    <w:div w:id="173151331">
      <w:bodyDiv w:val="1"/>
      <w:marLeft w:val="0"/>
      <w:marRight w:val="0"/>
      <w:marTop w:val="0"/>
      <w:marBottom w:val="0"/>
      <w:divBdr>
        <w:top w:val="none" w:sz="0" w:space="0" w:color="auto"/>
        <w:left w:val="none" w:sz="0" w:space="0" w:color="auto"/>
        <w:bottom w:val="none" w:sz="0" w:space="0" w:color="auto"/>
        <w:right w:val="none" w:sz="0" w:space="0" w:color="auto"/>
      </w:divBdr>
    </w:div>
    <w:div w:id="186647542">
      <w:bodyDiv w:val="1"/>
      <w:marLeft w:val="0"/>
      <w:marRight w:val="0"/>
      <w:marTop w:val="0"/>
      <w:marBottom w:val="0"/>
      <w:divBdr>
        <w:top w:val="none" w:sz="0" w:space="0" w:color="auto"/>
        <w:left w:val="none" w:sz="0" w:space="0" w:color="auto"/>
        <w:bottom w:val="none" w:sz="0" w:space="0" w:color="auto"/>
        <w:right w:val="none" w:sz="0" w:space="0" w:color="auto"/>
      </w:divBdr>
    </w:div>
    <w:div w:id="191191850">
      <w:bodyDiv w:val="1"/>
      <w:marLeft w:val="0"/>
      <w:marRight w:val="0"/>
      <w:marTop w:val="0"/>
      <w:marBottom w:val="0"/>
      <w:divBdr>
        <w:top w:val="none" w:sz="0" w:space="0" w:color="auto"/>
        <w:left w:val="none" w:sz="0" w:space="0" w:color="auto"/>
        <w:bottom w:val="none" w:sz="0" w:space="0" w:color="auto"/>
        <w:right w:val="none" w:sz="0" w:space="0" w:color="auto"/>
      </w:divBdr>
    </w:div>
    <w:div w:id="192228132">
      <w:bodyDiv w:val="1"/>
      <w:marLeft w:val="0"/>
      <w:marRight w:val="0"/>
      <w:marTop w:val="0"/>
      <w:marBottom w:val="0"/>
      <w:divBdr>
        <w:top w:val="none" w:sz="0" w:space="0" w:color="auto"/>
        <w:left w:val="none" w:sz="0" w:space="0" w:color="auto"/>
        <w:bottom w:val="none" w:sz="0" w:space="0" w:color="auto"/>
        <w:right w:val="none" w:sz="0" w:space="0" w:color="auto"/>
      </w:divBdr>
    </w:div>
    <w:div w:id="198511075">
      <w:bodyDiv w:val="1"/>
      <w:marLeft w:val="0"/>
      <w:marRight w:val="0"/>
      <w:marTop w:val="0"/>
      <w:marBottom w:val="0"/>
      <w:divBdr>
        <w:top w:val="none" w:sz="0" w:space="0" w:color="auto"/>
        <w:left w:val="none" w:sz="0" w:space="0" w:color="auto"/>
        <w:bottom w:val="none" w:sz="0" w:space="0" w:color="auto"/>
        <w:right w:val="none" w:sz="0" w:space="0" w:color="auto"/>
      </w:divBdr>
    </w:div>
    <w:div w:id="201403640">
      <w:bodyDiv w:val="1"/>
      <w:marLeft w:val="0"/>
      <w:marRight w:val="0"/>
      <w:marTop w:val="0"/>
      <w:marBottom w:val="0"/>
      <w:divBdr>
        <w:top w:val="none" w:sz="0" w:space="0" w:color="auto"/>
        <w:left w:val="none" w:sz="0" w:space="0" w:color="auto"/>
        <w:bottom w:val="none" w:sz="0" w:space="0" w:color="auto"/>
        <w:right w:val="none" w:sz="0" w:space="0" w:color="auto"/>
      </w:divBdr>
    </w:div>
    <w:div w:id="236978513">
      <w:bodyDiv w:val="1"/>
      <w:marLeft w:val="0"/>
      <w:marRight w:val="0"/>
      <w:marTop w:val="0"/>
      <w:marBottom w:val="0"/>
      <w:divBdr>
        <w:top w:val="none" w:sz="0" w:space="0" w:color="auto"/>
        <w:left w:val="none" w:sz="0" w:space="0" w:color="auto"/>
        <w:bottom w:val="none" w:sz="0" w:space="0" w:color="auto"/>
        <w:right w:val="none" w:sz="0" w:space="0" w:color="auto"/>
      </w:divBdr>
    </w:div>
    <w:div w:id="254289110">
      <w:bodyDiv w:val="1"/>
      <w:marLeft w:val="0"/>
      <w:marRight w:val="0"/>
      <w:marTop w:val="0"/>
      <w:marBottom w:val="0"/>
      <w:divBdr>
        <w:top w:val="none" w:sz="0" w:space="0" w:color="auto"/>
        <w:left w:val="none" w:sz="0" w:space="0" w:color="auto"/>
        <w:bottom w:val="none" w:sz="0" w:space="0" w:color="auto"/>
        <w:right w:val="none" w:sz="0" w:space="0" w:color="auto"/>
      </w:divBdr>
    </w:div>
    <w:div w:id="267473924">
      <w:bodyDiv w:val="1"/>
      <w:marLeft w:val="0"/>
      <w:marRight w:val="0"/>
      <w:marTop w:val="0"/>
      <w:marBottom w:val="0"/>
      <w:divBdr>
        <w:top w:val="none" w:sz="0" w:space="0" w:color="auto"/>
        <w:left w:val="none" w:sz="0" w:space="0" w:color="auto"/>
        <w:bottom w:val="none" w:sz="0" w:space="0" w:color="auto"/>
        <w:right w:val="none" w:sz="0" w:space="0" w:color="auto"/>
      </w:divBdr>
    </w:div>
    <w:div w:id="268122690">
      <w:bodyDiv w:val="1"/>
      <w:marLeft w:val="0"/>
      <w:marRight w:val="0"/>
      <w:marTop w:val="0"/>
      <w:marBottom w:val="0"/>
      <w:divBdr>
        <w:top w:val="none" w:sz="0" w:space="0" w:color="auto"/>
        <w:left w:val="none" w:sz="0" w:space="0" w:color="auto"/>
        <w:bottom w:val="none" w:sz="0" w:space="0" w:color="auto"/>
        <w:right w:val="none" w:sz="0" w:space="0" w:color="auto"/>
      </w:divBdr>
      <w:divsChild>
        <w:div w:id="1090085235">
          <w:marLeft w:val="0"/>
          <w:marRight w:val="0"/>
          <w:marTop w:val="0"/>
          <w:marBottom w:val="0"/>
          <w:divBdr>
            <w:top w:val="none" w:sz="0" w:space="0" w:color="auto"/>
            <w:left w:val="none" w:sz="0" w:space="0" w:color="auto"/>
            <w:bottom w:val="none" w:sz="0" w:space="0" w:color="auto"/>
            <w:right w:val="none" w:sz="0" w:space="0" w:color="auto"/>
          </w:divBdr>
        </w:div>
      </w:divsChild>
    </w:div>
    <w:div w:id="271209843">
      <w:bodyDiv w:val="1"/>
      <w:marLeft w:val="0"/>
      <w:marRight w:val="0"/>
      <w:marTop w:val="0"/>
      <w:marBottom w:val="0"/>
      <w:divBdr>
        <w:top w:val="none" w:sz="0" w:space="0" w:color="auto"/>
        <w:left w:val="none" w:sz="0" w:space="0" w:color="auto"/>
        <w:bottom w:val="none" w:sz="0" w:space="0" w:color="auto"/>
        <w:right w:val="none" w:sz="0" w:space="0" w:color="auto"/>
      </w:divBdr>
    </w:div>
    <w:div w:id="288558574">
      <w:bodyDiv w:val="1"/>
      <w:marLeft w:val="0"/>
      <w:marRight w:val="0"/>
      <w:marTop w:val="0"/>
      <w:marBottom w:val="0"/>
      <w:divBdr>
        <w:top w:val="none" w:sz="0" w:space="0" w:color="auto"/>
        <w:left w:val="none" w:sz="0" w:space="0" w:color="auto"/>
        <w:bottom w:val="none" w:sz="0" w:space="0" w:color="auto"/>
        <w:right w:val="none" w:sz="0" w:space="0" w:color="auto"/>
      </w:divBdr>
    </w:div>
    <w:div w:id="323899062">
      <w:bodyDiv w:val="1"/>
      <w:marLeft w:val="0"/>
      <w:marRight w:val="0"/>
      <w:marTop w:val="0"/>
      <w:marBottom w:val="0"/>
      <w:divBdr>
        <w:top w:val="none" w:sz="0" w:space="0" w:color="auto"/>
        <w:left w:val="none" w:sz="0" w:space="0" w:color="auto"/>
        <w:bottom w:val="none" w:sz="0" w:space="0" w:color="auto"/>
        <w:right w:val="none" w:sz="0" w:space="0" w:color="auto"/>
      </w:divBdr>
      <w:divsChild>
        <w:div w:id="1348487791">
          <w:marLeft w:val="0"/>
          <w:marRight w:val="0"/>
          <w:marTop w:val="0"/>
          <w:marBottom w:val="0"/>
          <w:divBdr>
            <w:top w:val="none" w:sz="0" w:space="0" w:color="auto"/>
            <w:left w:val="none" w:sz="0" w:space="0" w:color="auto"/>
            <w:bottom w:val="none" w:sz="0" w:space="0" w:color="auto"/>
            <w:right w:val="none" w:sz="0" w:space="0" w:color="auto"/>
          </w:divBdr>
          <w:divsChild>
            <w:div w:id="1116484480">
              <w:marLeft w:val="0"/>
              <w:marRight w:val="0"/>
              <w:marTop w:val="0"/>
              <w:marBottom w:val="0"/>
              <w:divBdr>
                <w:top w:val="none" w:sz="0" w:space="0" w:color="auto"/>
                <w:left w:val="none" w:sz="0" w:space="0" w:color="auto"/>
                <w:bottom w:val="none" w:sz="0" w:space="0" w:color="auto"/>
                <w:right w:val="none" w:sz="0" w:space="0" w:color="auto"/>
              </w:divBdr>
              <w:divsChild>
                <w:div w:id="1293251647">
                  <w:marLeft w:val="0"/>
                  <w:marRight w:val="0"/>
                  <w:marTop w:val="0"/>
                  <w:marBottom w:val="0"/>
                  <w:divBdr>
                    <w:top w:val="none" w:sz="0" w:space="0" w:color="auto"/>
                    <w:left w:val="none" w:sz="0" w:space="0" w:color="auto"/>
                    <w:bottom w:val="none" w:sz="0" w:space="0" w:color="auto"/>
                    <w:right w:val="none" w:sz="0" w:space="0" w:color="auto"/>
                  </w:divBdr>
                  <w:divsChild>
                    <w:div w:id="554464306">
                      <w:marLeft w:val="0"/>
                      <w:marRight w:val="0"/>
                      <w:marTop w:val="0"/>
                      <w:marBottom w:val="0"/>
                      <w:divBdr>
                        <w:top w:val="single" w:sz="2" w:space="0" w:color="E2E2E2"/>
                        <w:left w:val="single" w:sz="2" w:space="15" w:color="E2E2E2"/>
                        <w:bottom w:val="single" w:sz="2" w:space="0" w:color="E2E2E2"/>
                        <w:right w:val="single" w:sz="2" w:space="15" w:color="E2E2E2"/>
                      </w:divBdr>
                      <w:divsChild>
                        <w:div w:id="669985015">
                          <w:marLeft w:val="0"/>
                          <w:marRight w:val="0"/>
                          <w:marTop w:val="0"/>
                          <w:marBottom w:val="0"/>
                          <w:divBdr>
                            <w:top w:val="none" w:sz="0" w:space="0" w:color="auto"/>
                            <w:left w:val="none" w:sz="0" w:space="0" w:color="auto"/>
                            <w:bottom w:val="none" w:sz="0" w:space="0" w:color="auto"/>
                            <w:right w:val="none" w:sz="0" w:space="0" w:color="auto"/>
                          </w:divBdr>
                          <w:divsChild>
                            <w:div w:id="696734406">
                              <w:marLeft w:val="0"/>
                              <w:marRight w:val="0"/>
                              <w:marTop w:val="0"/>
                              <w:marBottom w:val="0"/>
                              <w:divBdr>
                                <w:top w:val="none" w:sz="0" w:space="0" w:color="auto"/>
                                <w:left w:val="none" w:sz="0" w:space="0" w:color="auto"/>
                                <w:bottom w:val="none" w:sz="0" w:space="0" w:color="auto"/>
                                <w:right w:val="none" w:sz="0" w:space="0" w:color="auto"/>
                              </w:divBdr>
                              <w:divsChild>
                                <w:div w:id="2048792789">
                                  <w:marLeft w:val="0"/>
                                  <w:marRight w:val="0"/>
                                  <w:marTop w:val="0"/>
                                  <w:marBottom w:val="0"/>
                                  <w:divBdr>
                                    <w:top w:val="single" w:sz="6" w:space="0" w:color="DDDDDD"/>
                                    <w:left w:val="single" w:sz="6" w:space="8" w:color="DDDDDD"/>
                                    <w:bottom w:val="single" w:sz="6" w:space="8" w:color="DDDDDD"/>
                                    <w:right w:val="single" w:sz="6" w:space="8" w:color="DDDDDD"/>
                                  </w:divBdr>
                                  <w:divsChild>
                                    <w:div w:id="442381656">
                                      <w:marLeft w:val="0"/>
                                      <w:marRight w:val="0"/>
                                      <w:marTop w:val="0"/>
                                      <w:marBottom w:val="0"/>
                                      <w:divBdr>
                                        <w:top w:val="none" w:sz="0" w:space="0" w:color="auto"/>
                                        <w:left w:val="none" w:sz="0" w:space="0" w:color="auto"/>
                                        <w:bottom w:val="none" w:sz="0" w:space="0" w:color="auto"/>
                                        <w:right w:val="none" w:sz="0" w:space="0" w:color="auto"/>
                                      </w:divBdr>
                                      <w:divsChild>
                                        <w:div w:id="1335692293">
                                          <w:marLeft w:val="0"/>
                                          <w:marRight w:val="0"/>
                                          <w:marTop w:val="0"/>
                                          <w:marBottom w:val="0"/>
                                          <w:divBdr>
                                            <w:top w:val="none" w:sz="0" w:space="0" w:color="auto"/>
                                            <w:left w:val="none" w:sz="0" w:space="0" w:color="auto"/>
                                            <w:bottom w:val="none" w:sz="0" w:space="0" w:color="auto"/>
                                            <w:right w:val="none" w:sz="0" w:space="0" w:color="auto"/>
                                          </w:divBdr>
                                          <w:divsChild>
                                            <w:div w:id="1765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393698">
      <w:bodyDiv w:val="1"/>
      <w:marLeft w:val="0"/>
      <w:marRight w:val="0"/>
      <w:marTop w:val="0"/>
      <w:marBottom w:val="0"/>
      <w:divBdr>
        <w:top w:val="none" w:sz="0" w:space="0" w:color="auto"/>
        <w:left w:val="none" w:sz="0" w:space="0" w:color="auto"/>
        <w:bottom w:val="none" w:sz="0" w:space="0" w:color="auto"/>
        <w:right w:val="none" w:sz="0" w:space="0" w:color="auto"/>
      </w:divBdr>
    </w:div>
    <w:div w:id="342434240">
      <w:bodyDiv w:val="1"/>
      <w:marLeft w:val="0"/>
      <w:marRight w:val="0"/>
      <w:marTop w:val="0"/>
      <w:marBottom w:val="0"/>
      <w:divBdr>
        <w:top w:val="none" w:sz="0" w:space="0" w:color="auto"/>
        <w:left w:val="none" w:sz="0" w:space="0" w:color="auto"/>
        <w:bottom w:val="none" w:sz="0" w:space="0" w:color="auto"/>
        <w:right w:val="none" w:sz="0" w:space="0" w:color="auto"/>
      </w:divBdr>
    </w:div>
    <w:div w:id="361714366">
      <w:bodyDiv w:val="1"/>
      <w:marLeft w:val="0"/>
      <w:marRight w:val="0"/>
      <w:marTop w:val="0"/>
      <w:marBottom w:val="0"/>
      <w:divBdr>
        <w:top w:val="none" w:sz="0" w:space="0" w:color="auto"/>
        <w:left w:val="none" w:sz="0" w:space="0" w:color="auto"/>
        <w:bottom w:val="none" w:sz="0" w:space="0" w:color="auto"/>
        <w:right w:val="none" w:sz="0" w:space="0" w:color="auto"/>
      </w:divBdr>
    </w:div>
    <w:div w:id="382951818">
      <w:bodyDiv w:val="1"/>
      <w:marLeft w:val="0"/>
      <w:marRight w:val="0"/>
      <w:marTop w:val="0"/>
      <w:marBottom w:val="0"/>
      <w:divBdr>
        <w:top w:val="none" w:sz="0" w:space="0" w:color="auto"/>
        <w:left w:val="none" w:sz="0" w:space="0" w:color="auto"/>
        <w:bottom w:val="none" w:sz="0" w:space="0" w:color="auto"/>
        <w:right w:val="none" w:sz="0" w:space="0" w:color="auto"/>
      </w:divBdr>
    </w:div>
    <w:div w:id="384183023">
      <w:bodyDiv w:val="1"/>
      <w:marLeft w:val="0"/>
      <w:marRight w:val="0"/>
      <w:marTop w:val="0"/>
      <w:marBottom w:val="0"/>
      <w:divBdr>
        <w:top w:val="none" w:sz="0" w:space="0" w:color="auto"/>
        <w:left w:val="none" w:sz="0" w:space="0" w:color="auto"/>
        <w:bottom w:val="none" w:sz="0" w:space="0" w:color="auto"/>
        <w:right w:val="none" w:sz="0" w:space="0" w:color="auto"/>
      </w:divBdr>
    </w:div>
    <w:div w:id="388267684">
      <w:bodyDiv w:val="1"/>
      <w:marLeft w:val="0"/>
      <w:marRight w:val="0"/>
      <w:marTop w:val="0"/>
      <w:marBottom w:val="0"/>
      <w:divBdr>
        <w:top w:val="none" w:sz="0" w:space="0" w:color="auto"/>
        <w:left w:val="none" w:sz="0" w:space="0" w:color="auto"/>
        <w:bottom w:val="none" w:sz="0" w:space="0" w:color="auto"/>
        <w:right w:val="none" w:sz="0" w:space="0" w:color="auto"/>
      </w:divBdr>
    </w:div>
    <w:div w:id="405225309">
      <w:bodyDiv w:val="1"/>
      <w:marLeft w:val="0"/>
      <w:marRight w:val="0"/>
      <w:marTop w:val="0"/>
      <w:marBottom w:val="0"/>
      <w:divBdr>
        <w:top w:val="none" w:sz="0" w:space="0" w:color="auto"/>
        <w:left w:val="none" w:sz="0" w:space="0" w:color="auto"/>
        <w:bottom w:val="none" w:sz="0" w:space="0" w:color="auto"/>
        <w:right w:val="none" w:sz="0" w:space="0" w:color="auto"/>
      </w:divBdr>
    </w:div>
    <w:div w:id="417990796">
      <w:bodyDiv w:val="1"/>
      <w:marLeft w:val="0"/>
      <w:marRight w:val="0"/>
      <w:marTop w:val="0"/>
      <w:marBottom w:val="0"/>
      <w:divBdr>
        <w:top w:val="none" w:sz="0" w:space="0" w:color="auto"/>
        <w:left w:val="none" w:sz="0" w:space="0" w:color="auto"/>
        <w:bottom w:val="none" w:sz="0" w:space="0" w:color="auto"/>
        <w:right w:val="none" w:sz="0" w:space="0" w:color="auto"/>
      </w:divBdr>
      <w:divsChild>
        <w:div w:id="685669489">
          <w:marLeft w:val="0"/>
          <w:marRight w:val="0"/>
          <w:marTop w:val="0"/>
          <w:marBottom w:val="0"/>
          <w:divBdr>
            <w:top w:val="none" w:sz="0" w:space="0" w:color="auto"/>
            <w:left w:val="none" w:sz="0" w:space="0" w:color="auto"/>
            <w:bottom w:val="none" w:sz="0" w:space="0" w:color="auto"/>
            <w:right w:val="none" w:sz="0" w:space="0" w:color="auto"/>
          </w:divBdr>
          <w:divsChild>
            <w:div w:id="1059943046">
              <w:marLeft w:val="0"/>
              <w:marRight w:val="0"/>
              <w:marTop w:val="0"/>
              <w:marBottom w:val="0"/>
              <w:divBdr>
                <w:top w:val="none" w:sz="0" w:space="0" w:color="auto"/>
                <w:left w:val="none" w:sz="0" w:space="0" w:color="auto"/>
                <w:bottom w:val="none" w:sz="0" w:space="0" w:color="auto"/>
                <w:right w:val="none" w:sz="0" w:space="0" w:color="auto"/>
              </w:divBdr>
              <w:divsChild>
                <w:div w:id="1884974623">
                  <w:marLeft w:val="0"/>
                  <w:marRight w:val="0"/>
                  <w:marTop w:val="0"/>
                  <w:marBottom w:val="0"/>
                  <w:divBdr>
                    <w:top w:val="none" w:sz="0" w:space="0" w:color="auto"/>
                    <w:left w:val="none" w:sz="0" w:space="0" w:color="auto"/>
                    <w:bottom w:val="none" w:sz="0" w:space="0" w:color="auto"/>
                    <w:right w:val="none" w:sz="0" w:space="0" w:color="auto"/>
                  </w:divBdr>
                  <w:divsChild>
                    <w:div w:id="14237610">
                      <w:marLeft w:val="0"/>
                      <w:marRight w:val="0"/>
                      <w:marTop w:val="0"/>
                      <w:marBottom w:val="0"/>
                      <w:divBdr>
                        <w:top w:val="single" w:sz="2" w:space="0" w:color="E2E2E2"/>
                        <w:left w:val="single" w:sz="2" w:space="15" w:color="E2E2E2"/>
                        <w:bottom w:val="single" w:sz="2" w:space="0" w:color="E2E2E2"/>
                        <w:right w:val="single" w:sz="2" w:space="15" w:color="E2E2E2"/>
                      </w:divBdr>
                      <w:divsChild>
                        <w:div w:id="1102143034">
                          <w:marLeft w:val="0"/>
                          <w:marRight w:val="0"/>
                          <w:marTop w:val="0"/>
                          <w:marBottom w:val="0"/>
                          <w:divBdr>
                            <w:top w:val="none" w:sz="0" w:space="0" w:color="auto"/>
                            <w:left w:val="none" w:sz="0" w:space="0" w:color="auto"/>
                            <w:bottom w:val="none" w:sz="0" w:space="0" w:color="auto"/>
                            <w:right w:val="none" w:sz="0" w:space="0" w:color="auto"/>
                          </w:divBdr>
                          <w:divsChild>
                            <w:div w:id="660501664">
                              <w:marLeft w:val="0"/>
                              <w:marRight w:val="0"/>
                              <w:marTop w:val="0"/>
                              <w:marBottom w:val="0"/>
                              <w:divBdr>
                                <w:top w:val="none" w:sz="0" w:space="0" w:color="auto"/>
                                <w:left w:val="none" w:sz="0" w:space="0" w:color="auto"/>
                                <w:bottom w:val="none" w:sz="0" w:space="0" w:color="auto"/>
                                <w:right w:val="none" w:sz="0" w:space="0" w:color="auto"/>
                              </w:divBdr>
                              <w:divsChild>
                                <w:div w:id="433672015">
                                  <w:marLeft w:val="0"/>
                                  <w:marRight w:val="0"/>
                                  <w:marTop w:val="0"/>
                                  <w:marBottom w:val="0"/>
                                  <w:divBdr>
                                    <w:top w:val="single" w:sz="6" w:space="0" w:color="DDDDDD"/>
                                    <w:left w:val="single" w:sz="6" w:space="8" w:color="DDDDDD"/>
                                    <w:bottom w:val="single" w:sz="6" w:space="8" w:color="DDDDDD"/>
                                    <w:right w:val="single" w:sz="6" w:space="8" w:color="DDDDDD"/>
                                  </w:divBdr>
                                  <w:divsChild>
                                    <w:div w:id="611936824">
                                      <w:marLeft w:val="0"/>
                                      <w:marRight w:val="0"/>
                                      <w:marTop w:val="0"/>
                                      <w:marBottom w:val="0"/>
                                      <w:divBdr>
                                        <w:top w:val="none" w:sz="0" w:space="0" w:color="auto"/>
                                        <w:left w:val="none" w:sz="0" w:space="0" w:color="auto"/>
                                        <w:bottom w:val="none" w:sz="0" w:space="0" w:color="auto"/>
                                        <w:right w:val="none" w:sz="0" w:space="0" w:color="auto"/>
                                      </w:divBdr>
                                      <w:divsChild>
                                        <w:div w:id="400102282">
                                          <w:marLeft w:val="0"/>
                                          <w:marRight w:val="0"/>
                                          <w:marTop w:val="0"/>
                                          <w:marBottom w:val="0"/>
                                          <w:divBdr>
                                            <w:top w:val="none" w:sz="0" w:space="0" w:color="auto"/>
                                            <w:left w:val="none" w:sz="0" w:space="0" w:color="auto"/>
                                            <w:bottom w:val="none" w:sz="0" w:space="0" w:color="auto"/>
                                            <w:right w:val="none" w:sz="0" w:space="0" w:color="auto"/>
                                          </w:divBdr>
                                          <w:divsChild>
                                            <w:div w:id="1360815148">
                                              <w:marLeft w:val="0"/>
                                              <w:marRight w:val="0"/>
                                              <w:marTop w:val="0"/>
                                              <w:marBottom w:val="0"/>
                                              <w:divBdr>
                                                <w:top w:val="none" w:sz="0" w:space="0" w:color="auto"/>
                                                <w:left w:val="none" w:sz="0" w:space="0" w:color="auto"/>
                                                <w:bottom w:val="none" w:sz="0" w:space="0" w:color="auto"/>
                                                <w:right w:val="none" w:sz="0" w:space="0" w:color="auto"/>
                                              </w:divBdr>
                                              <w:divsChild>
                                                <w:div w:id="725838354">
                                                  <w:marLeft w:val="0"/>
                                                  <w:marRight w:val="0"/>
                                                  <w:marTop w:val="0"/>
                                                  <w:marBottom w:val="0"/>
                                                  <w:divBdr>
                                                    <w:top w:val="none" w:sz="0" w:space="0" w:color="auto"/>
                                                    <w:left w:val="none" w:sz="0" w:space="0" w:color="auto"/>
                                                    <w:bottom w:val="none" w:sz="0" w:space="0" w:color="auto"/>
                                                    <w:right w:val="none" w:sz="0" w:space="0" w:color="auto"/>
                                                  </w:divBdr>
                                                  <w:divsChild>
                                                    <w:div w:id="20148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336847">
      <w:bodyDiv w:val="1"/>
      <w:marLeft w:val="0"/>
      <w:marRight w:val="0"/>
      <w:marTop w:val="0"/>
      <w:marBottom w:val="0"/>
      <w:divBdr>
        <w:top w:val="none" w:sz="0" w:space="0" w:color="auto"/>
        <w:left w:val="none" w:sz="0" w:space="0" w:color="auto"/>
        <w:bottom w:val="none" w:sz="0" w:space="0" w:color="auto"/>
        <w:right w:val="none" w:sz="0" w:space="0" w:color="auto"/>
      </w:divBdr>
    </w:div>
    <w:div w:id="425468703">
      <w:bodyDiv w:val="1"/>
      <w:marLeft w:val="0"/>
      <w:marRight w:val="0"/>
      <w:marTop w:val="0"/>
      <w:marBottom w:val="0"/>
      <w:divBdr>
        <w:top w:val="none" w:sz="0" w:space="0" w:color="auto"/>
        <w:left w:val="none" w:sz="0" w:space="0" w:color="auto"/>
        <w:bottom w:val="none" w:sz="0" w:space="0" w:color="auto"/>
        <w:right w:val="none" w:sz="0" w:space="0" w:color="auto"/>
      </w:divBdr>
    </w:div>
    <w:div w:id="436605398">
      <w:bodyDiv w:val="1"/>
      <w:marLeft w:val="0"/>
      <w:marRight w:val="0"/>
      <w:marTop w:val="0"/>
      <w:marBottom w:val="0"/>
      <w:divBdr>
        <w:top w:val="none" w:sz="0" w:space="0" w:color="auto"/>
        <w:left w:val="none" w:sz="0" w:space="0" w:color="auto"/>
        <w:bottom w:val="none" w:sz="0" w:space="0" w:color="auto"/>
        <w:right w:val="none" w:sz="0" w:space="0" w:color="auto"/>
      </w:divBdr>
    </w:div>
    <w:div w:id="439187479">
      <w:bodyDiv w:val="1"/>
      <w:marLeft w:val="0"/>
      <w:marRight w:val="0"/>
      <w:marTop w:val="0"/>
      <w:marBottom w:val="0"/>
      <w:divBdr>
        <w:top w:val="none" w:sz="0" w:space="0" w:color="auto"/>
        <w:left w:val="none" w:sz="0" w:space="0" w:color="auto"/>
        <w:bottom w:val="none" w:sz="0" w:space="0" w:color="auto"/>
        <w:right w:val="none" w:sz="0" w:space="0" w:color="auto"/>
      </w:divBdr>
    </w:div>
    <w:div w:id="441267480">
      <w:bodyDiv w:val="1"/>
      <w:marLeft w:val="0"/>
      <w:marRight w:val="0"/>
      <w:marTop w:val="0"/>
      <w:marBottom w:val="0"/>
      <w:divBdr>
        <w:top w:val="none" w:sz="0" w:space="0" w:color="auto"/>
        <w:left w:val="none" w:sz="0" w:space="0" w:color="auto"/>
        <w:bottom w:val="none" w:sz="0" w:space="0" w:color="auto"/>
        <w:right w:val="none" w:sz="0" w:space="0" w:color="auto"/>
      </w:divBdr>
    </w:div>
    <w:div w:id="449321241">
      <w:bodyDiv w:val="1"/>
      <w:marLeft w:val="0"/>
      <w:marRight w:val="0"/>
      <w:marTop w:val="0"/>
      <w:marBottom w:val="0"/>
      <w:divBdr>
        <w:top w:val="none" w:sz="0" w:space="0" w:color="auto"/>
        <w:left w:val="none" w:sz="0" w:space="0" w:color="auto"/>
        <w:bottom w:val="none" w:sz="0" w:space="0" w:color="auto"/>
        <w:right w:val="none" w:sz="0" w:space="0" w:color="auto"/>
      </w:divBdr>
    </w:div>
    <w:div w:id="457264632">
      <w:bodyDiv w:val="1"/>
      <w:marLeft w:val="0"/>
      <w:marRight w:val="0"/>
      <w:marTop w:val="0"/>
      <w:marBottom w:val="0"/>
      <w:divBdr>
        <w:top w:val="none" w:sz="0" w:space="0" w:color="auto"/>
        <w:left w:val="none" w:sz="0" w:space="0" w:color="auto"/>
        <w:bottom w:val="none" w:sz="0" w:space="0" w:color="auto"/>
        <w:right w:val="none" w:sz="0" w:space="0" w:color="auto"/>
      </w:divBdr>
    </w:div>
    <w:div w:id="469709412">
      <w:bodyDiv w:val="1"/>
      <w:marLeft w:val="0"/>
      <w:marRight w:val="0"/>
      <w:marTop w:val="0"/>
      <w:marBottom w:val="0"/>
      <w:divBdr>
        <w:top w:val="none" w:sz="0" w:space="0" w:color="auto"/>
        <w:left w:val="none" w:sz="0" w:space="0" w:color="auto"/>
        <w:bottom w:val="none" w:sz="0" w:space="0" w:color="auto"/>
        <w:right w:val="none" w:sz="0" w:space="0" w:color="auto"/>
      </w:divBdr>
    </w:div>
    <w:div w:id="480581533">
      <w:bodyDiv w:val="1"/>
      <w:marLeft w:val="0"/>
      <w:marRight w:val="0"/>
      <w:marTop w:val="0"/>
      <w:marBottom w:val="0"/>
      <w:divBdr>
        <w:top w:val="none" w:sz="0" w:space="0" w:color="auto"/>
        <w:left w:val="none" w:sz="0" w:space="0" w:color="auto"/>
        <w:bottom w:val="none" w:sz="0" w:space="0" w:color="auto"/>
        <w:right w:val="none" w:sz="0" w:space="0" w:color="auto"/>
      </w:divBdr>
      <w:divsChild>
        <w:div w:id="1472944260">
          <w:marLeft w:val="0"/>
          <w:marRight w:val="0"/>
          <w:marTop w:val="0"/>
          <w:marBottom w:val="0"/>
          <w:divBdr>
            <w:top w:val="none" w:sz="0" w:space="0" w:color="auto"/>
            <w:left w:val="none" w:sz="0" w:space="0" w:color="auto"/>
            <w:bottom w:val="none" w:sz="0" w:space="0" w:color="auto"/>
            <w:right w:val="none" w:sz="0" w:space="0" w:color="auto"/>
          </w:divBdr>
          <w:divsChild>
            <w:div w:id="41440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6520">
      <w:bodyDiv w:val="1"/>
      <w:marLeft w:val="0"/>
      <w:marRight w:val="0"/>
      <w:marTop w:val="0"/>
      <w:marBottom w:val="0"/>
      <w:divBdr>
        <w:top w:val="none" w:sz="0" w:space="0" w:color="auto"/>
        <w:left w:val="none" w:sz="0" w:space="0" w:color="auto"/>
        <w:bottom w:val="none" w:sz="0" w:space="0" w:color="auto"/>
        <w:right w:val="none" w:sz="0" w:space="0" w:color="auto"/>
      </w:divBdr>
    </w:div>
    <w:div w:id="499933000">
      <w:bodyDiv w:val="1"/>
      <w:marLeft w:val="0"/>
      <w:marRight w:val="0"/>
      <w:marTop w:val="0"/>
      <w:marBottom w:val="0"/>
      <w:divBdr>
        <w:top w:val="none" w:sz="0" w:space="0" w:color="auto"/>
        <w:left w:val="none" w:sz="0" w:space="0" w:color="auto"/>
        <w:bottom w:val="none" w:sz="0" w:space="0" w:color="auto"/>
        <w:right w:val="none" w:sz="0" w:space="0" w:color="auto"/>
      </w:divBdr>
      <w:divsChild>
        <w:div w:id="1799177632">
          <w:marLeft w:val="0"/>
          <w:marRight w:val="0"/>
          <w:marTop w:val="0"/>
          <w:marBottom w:val="0"/>
          <w:divBdr>
            <w:top w:val="none" w:sz="0" w:space="0" w:color="auto"/>
            <w:left w:val="none" w:sz="0" w:space="0" w:color="auto"/>
            <w:bottom w:val="none" w:sz="0" w:space="0" w:color="auto"/>
            <w:right w:val="none" w:sz="0" w:space="0" w:color="auto"/>
          </w:divBdr>
          <w:divsChild>
            <w:div w:id="485511495">
              <w:marLeft w:val="0"/>
              <w:marRight w:val="0"/>
              <w:marTop w:val="0"/>
              <w:marBottom w:val="0"/>
              <w:divBdr>
                <w:top w:val="none" w:sz="0" w:space="0" w:color="auto"/>
                <w:left w:val="none" w:sz="0" w:space="0" w:color="auto"/>
                <w:bottom w:val="none" w:sz="0" w:space="0" w:color="auto"/>
                <w:right w:val="none" w:sz="0" w:space="0" w:color="auto"/>
              </w:divBdr>
            </w:div>
            <w:div w:id="1039092595">
              <w:marLeft w:val="0"/>
              <w:marRight w:val="0"/>
              <w:marTop w:val="0"/>
              <w:marBottom w:val="0"/>
              <w:divBdr>
                <w:top w:val="none" w:sz="0" w:space="0" w:color="auto"/>
                <w:left w:val="none" w:sz="0" w:space="0" w:color="auto"/>
                <w:bottom w:val="none" w:sz="0" w:space="0" w:color="auto"/>
                <w:right w:val="none" w:sz="0" w:space="0" w:color="auto"/>
              </w:divBdr>
            </w:div>
            <w:div w:id="5741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1913">
      <w:bodyDiv w:val="1"/>
      <w:marLeft w:val="0"/>
      <w:marRight w:val="0"/>
      <w:marTop w:val="0"/>
      <w:marBottom w:val="0"/>
      <w:divBdr>
        <w:top w:val="none" w:sz="0" w:space="0" w:color="auto"/>
        <w:left w:val="none" w:sz="0" w:space="0" w:color="auto"/>
        <w:bottom w:val="none" w:sz="0" w:space="0" w:color="auto"/>
        <w:right w:val="none" w:sz="0" w:space="0" w:color="auto"/>
      </w:divBdr>
    </w:div>
    <w:div w:id="522747640">
      <w:bodyDiv w:val="1"/>
      <w:marLeft w:val="0"/>
      <w:marRight w:val="0"/>
      <w:marTop w:val="0"/>
      <w:marBottom w:val="0"/>
      <w:divBdr>
        <w:top w:val="none" w:sz="0" w:space="0" w:color="auto"/>
        <w:left w:val="none" w:sz="0" w:space="0" w:color="auto"/>
        <w:bottom w:val="none" w:sz="0" w:space="0" w:color="auto"/>
        <w:right w:val="none" w:sz="0" w:space="0" w:color="auto"/>
      </w:divBdr>
    </w:div>
    <w:div w:id="523859648">
      <w:bodyDiv w:val="1"/>
      <w:marLeft w:val="0"/>
      <w:marRight w:val="0"/>
      <w:marTop w:val="0"/>
      <w:marBottom w:val="0"/>
      <w:divBdr>
        <w:top w:val="none" w:sz="0" w:space="0" w:color="auto"/>
        <w:left w:val="none" w:sz="0" w:space="0" w:color="auto"/>
        <w:bottom w:val="none" w:sz="0" w:space="0" w:color="auto"/>
        <w:right w:val="none" w:sz="0" w:space="0" w:color="auto"/>
      </w:divBdr>
    </w:div>
    <w:div w:id="531039696">
      <w:bodyDiv w:val="1"/>
      <w:marLeft w:val="0"/>
      <w:marRight w:val="0"/>
      <w:marTop w:val="0"/>
      <w:marBottom w:val="0"/>
      <w:divBdr>
        <w:top w:val="none" w:sz="0" w:space="0" w:color="auto"/>
        <w:left w:val="none" w:sz="0" w:space="0" w:color="auto"/>
        <w:bottom w:val="none" w:sz="0" w:space="0" w:color="auto"/>
        <w:right w:val="none" w:sz="0" w:space="0" w:color="auto"/>
      </w:divBdr>
    </w:div>
    <w:div w:id="535579334">
      <w:bodyDiv w:val="1"/>
      <w:marLeft w:val="0"/>
      <w:marRight w:val="0"/>
      <w:marTop w:val="0"/>
      <w:marBottom w:val="0"/>
      <w:divBdr>
        <w:top w:val="none" w:sz="0" w:space="0" w:color="auto"/>
        <w:left w:val="none" w:sz="0" w:space="0" w:color="auto"/>
        <w:bottom w:val="none" w:sz="0" w:space="0" w:color="auto"/>
        <w:right w:val="none" w:sz="0" w:space="0" w:color="auto"/>
      </w:divBdr>
    </w:div>
    <w:div w:id="557399250">
      <w:bodyDiv w:val="1"/>
      <w:marLeft w:val="0"/>
      <w:marRight w:val="0"/>
      <w:marTop w:val="0"/>
      <w:marBottom w:val="0"/>
      <w:divBdr>
        <w:top w:val="none" w:sz="0" w:space="0" w:color="auto"/>
        <w:left w:val="none" w:sz="0" w:space="0" w:color="auto"/>
        <w:bottom w:val="none" w:sz="0" w:space="0" w:color="auto"/>
        <w:right w:val="none" w:sz="0" w:space="0" w:color="auto"/>
      </w:divBdr>
    </w:div>
    <w:div w:id="573783829">
      <w:bodyDiv w:val="1"/>
      <w:marLeft w:val="0"/>
      <w:marRight w:val="0"/>
      <w:marTop w:val="0"/>
      <w:marBottom w:val="0"/>
      <w:divBdr>
        <w:top w:val="none" w:sz="0" w:space="0" w:color="auto"/>
        <w:left w:val="none" w:sz="0" w:space="0" w:color="auto"/>
        <w:bottom w:val="none" w:sz="0" w:space="0" w:color="auto"/>
        <w:right w:val="none" w:sz="0" w:space="0" w:color="auto"/>
      </w:divBdr>
    </w:div>
    <w:div w:id="579370829">
      <w:bodyDiv w:val="1"/>
      <w:marLeft w:val="0"/>
      <w:marRight w:val="0"/>
      <w:marTop w:val="0"/>
      <w:marBottom w:val="0"/>
      <w:divBdr>
        <w:top w:val="none" w:sz="0" w:space="0" w:color="auto"/>
        <w:left w:val="none" w:sz="0" w:space="0" w:color="auto"/>
        <w:bottom w:val="none" w:sz="0" w:space="0" w:color="auto"/>
        <w:right w:val="none" w:sz="0" w:space="0" w:color="auto"/>
      </w:divBdr>
    </w:div>
    <w:div w:id="583615015">
      <w:bodyDiv w:val="1"/>
      <w:marLeft w:val="0"/>
      <w:marRight w:val="0"/>
      <w:marTop w:val="0"/>
      <w:marBottom w:val="0"/>
      <w:divBdr>
        <w:top w:val="none" w:sz="0" w:space="0" w:color="auto"/>
        <w:left w:val="none" w:sz="0" w:space="0" w:color="auto"/>
        <w:bottom w:val="none" w:sz="0" w:space="0" w:color="auto"/>
        <w:right w:val="none" w:sz="0" w:space="0" w:color="auto"/>
      </w:divBdr>
    </w:div>
    <w:div w:id="607855847">
      <w:bodyDiv w:val="1"/>
      <w:marLeft w:val="0"/>
      <w:marRight w:val="0"/>
      <w:marTop w:val="0"/>
      <w:marBottom w:val="0"/>
      <w:divBdr>
        <w:top w:val="none" w:sz="0" w:space="0" w:color="auto"/>
        <w:left w:val="none" w:sz="0" w:space="0" w:color="auto"/>
        <w:bottom w:val="none" w:sz="0" w:space="0" w:color="auto"/>
        <w:right w:val="none" w:sz="0" w:space="0" w:color="auto"/>
      </w:divBdr>
    </w:div>
    <w:div w:id="618534337">
      <w:bodyDiv w:val="1"/>
      <w:marLeft w:val="0"/>
      <w:marRight w:val="0"/>
      <w:marTop w:val="0"/>
      <w:marBottom w:val="0"/>
      <w:divBdr>
        <w:top w:val="none" w:sz="0" w:space="0" w:color="auto"/>
        <w:left w:val="none" w:sz="0" w:space="0" w:color="auto"/>
        <w:bottom w:val="none" w:sz="0" w:space="0" w:color="auto"/>
        <w:right w:val="none" w:sz="0" w:space="0" w:color="auto"/>
      </w:divBdr>
    </w:div>
    <w:div w:id="632440225">
      <w:bodyDiv w:val="1"/>
      <w:marLeft w:val="0"/>
      <w:marRight w:val="0"/>
      <w:marTop w:val="0"/>
      <w:marBottom w:val="0"/>
      <w:divBdr>
        <w:top w:val="none" w:sz="0" w:space="0" w:color="auto"/>
        <w:left w:val="none" w:sz="0" w:space="0" w:color="auto"/>
        <w:bottom w:val="none" w:sz="0" w:space="0" w:color="auto"/>
        <w:right w:val="none" w:sz="0" w:space="0" w:color="auto"/>
      </w:divBdr>
    </w:div>
    <w:div w:id="657340475">
      <w:bodyDiv w:val="1"/>
      <w:marLeft w:val="0"/>
      <w:marRight w:val="0"/>
      <w:marTop w:val="0"/>
      <w:marBottom w:val="0"/>
      <w:divBdr>
        <w:top w:val="none" w:sz="0" w:space="0" w:color="auto"/>
        <w:left w:val="none" w:sz="0" w:space="0" w:color="auto"/>
        <w:bottom w:val="none" w:sz="0" w:space="0" w:color="auto"/>
        <w:right w:val="none" w:sz="0" w:space="0" w:color="auto"/>
      </w:divBdr>
    </w:div>
    <w:div w:id="657608835">
      <w:bodyDiv w:val="1"/>
      <w:marLeft w:val="0"/>
      <w:marRight w:val="0"/>
      <w:marTop w:val="0"/>
      <w:marBottom w:val="0"/>
      <w:divBdr>
        <w:top w:val="none" w:sz="0" w:space="0" w:color="auto"/>
        <w:left w:val="none" w:sz="0" w:space="0" w:color="auto"/>
        <w:bottom w:val="none" w:sz="0" w:space="0" w:color="auto"/>
        <w:right w:val="none" w:sz="0" w:space="0" w:color="auto"/>
      </w:divBdr>
    </w:div>
    <w:div w:id="679817099">
      <w:bodyDiv w:val="1"/>
      <w:marLeft w:val="0"/>
      <w:marRight w:val="0"/>
      <w:marTop w:val="0"/>
      <w:marBottom w:val="0"/>
      <w:divBdr>
        <w:top w:val="none" w:sz="0" w:space="0" w:color="auto"/>
        <w:left w:val="none" w:sz="0" w:space="0" w:color="auto"/>
        <w:bottom w:val="none" w:sz="0" w:space="0" w:color="auto"/>
        <w:right w:val="none" w:sz="0" w:space="0" w:color="auto"/>
      </w:divBdr>
    </w:div>
    <w:div w:id="689721544">
      <w:bodyDiv w:val="1"/>
      <w:marLeft w:val="0"/>
      <w:marRight w:val="0"/>
      <w:marTop w:val="0"/>
      <w:marBottom w:val="0"/>
      <w:divBdr>
        <w:top w:val="none" w:sz="0" w:space="0" w:color="auto"/>
        <w:left w:val="none" w:sz="0" w:space="0" w:color="auto"/>
        <w:bottom w:val="none" w:sz="0" w:space="0" w:color="auto"/>
        <w:right w:val="none" w:sz="0" w:space="0" w:color="auto"/>
      </w:divBdr>
    </w:div>
    <w:div w:id="701370054">
      <w:bodyDiv w:val="1"/>
      <w:marLeft w:val="0"/>
      <w:marRight w:val="0"/>
      <w:marTop w:val="0"/>
      <w:marBottom w:val="0"/>
      <w:divBdr>
        <w:top w:val="none" w:sz="0" w:space="0" w:color="auto"/>
        <w:left w:val="none" w:sz="0" w:space="0" w:color="auto"/>
        <w:bottom w:val="none" w:sz="0" w:space="0" w:color="auto"/>
        <w:right w:val="none" w:sz="0" w:space="0" w:color="auto"/>
      </w:divBdr>
    </w:div>
    <w:div w:id="717316538">
      <w:bodyDiv w:val="1"/>
      <w:marLeft w:val="0"/>
      <w:marRight w:val="0"/>
      <w:marTop w:val="0"/>
      <w:marBottom w:val="0"/>
      <w:divBdr>
        <w:top w:val="none" w:sz="0" w:space="0" w:color="auto"/>
        <w:left w:val="none" w:sz="0" w:space="0" w:color="auto"/>
        <w:bottom w:val="none" w:sz="0" w:space="0" w:color="auto"/>
        <w:right w:val="none" w:sz="0" w:space="0" w:color="auto"/>
      </w:divBdr>
    </w:div>
    <w:div w:id="722753079">
      <w:bodyDiv w:val="1"/>
      <w:marLeft w:val="0"/>
      <w:marRight w:val="0"/>
      <w:marTop w:val="0"/>
      <w:marBottom w:val="0"/>
      <w:divBdr>
        <w:top w:val="none" w:sz="0" w:space="0" w:color="auto"/>
        <w:left w:val="none" w:sz="0" w:space="0" w:color="auto"/>
        <w:bottom w:val="none" w:sz="0" w:space="0" w:color="auto"/>
        <w:right w:val="none" w:sz="0" w:space="0" w:color="auto"/>
      </w:divBdr>
    </w:div>
    <w:div w:id="733696491">
      <w:bodyDiv w:val="1"/>
      <w:marLeft w:val="0"/>
      <w:marRight w:val="0"/>
      <w:marTop w:val="0"/>
      <w:marBottom w:val="0"/>
      <w:divBdr>
        <w:top w:val="none" w:sz="0" w:space="0" w:color="auto"/>
        <w:left w:val="none" w:sz="0" w:space="0" w:color="auto"/>
        <w:bottom w:val="none" w:sz="0" w:space="0" w:color="auto"/>
        <w:right w:val="none" w:sz="0" w:space="0" w:color="auto"/>
      </w:divBdr>
    </w:div>
    <w:div w:id="778571103">
      <w:bodyDiv w:val="1"/>
      <w:marLeft w:val="0"/>
      <w:marRight w:val="0"/>
      <w:marTop w:val="0"/>
      <w:marBottom w:val="0"/>
      <w:divBdr>
        <w:top w:val="none" w:sz="0" w:space="0" w:color="auto"/>
        <w:left w:val="none" w:sz="0" w:space="0" w:color="auto"/>
        <w:bottom w:val="none" w:sz="0" w:space="0" w:color="auto"/>
        <w:right w:val="none" w:sz="0" w:space="0" w:color="auto"/>
      </w:divBdr>
    </w:div>
    <w:div w:id="791943215">
      <w:bodyDiv w:val="1"/>
      <w:marLeft w:val="0"/>
      <w:marRight w:val="0"/>
      <w:marTop w:val="0"/>
      <w:marBottom w:val="0"/>
      <w:divBdr>
        <w:top w:val="none" w:sz="0" w:space="0" w:color="auto"/>
        <w:left w:val="none" w:sz="0" w:space="0" w:color="auto"/>
        <w:bottom w:val="none" w:sz="0" w:space="0" w:color="auto"/>
        <w:right w:val="none" w:sz="0" w:space="0" w:color="auto"/>
      </w:divBdr>
    </w:div>
    <w:div w:id="794835267">
      <w:bodyDiv w:val="1"/>
      <w:marLeft w:val="0"/>
      <w:marRight w:val="0"/>
      <w:marTop w:val="0"/>
      <w:marBottom w:val="0"/>
      <w:divBdr>
        <w:top w:val="none" w:sz="0" w:space="0" w:color="auto"/>
        <w:left w:val="none" w:sz="0" w:space="0" w:color="auto"/>
        <w:bottom w:val="none" w:sz="0" w:space="0" w:color="auto"/>
        <w:right w:val="none" w:sz="0" w:space="0" w:color="auto"/>
      </w:divBdr>
      <w:divsChild>
        <w:div w:id="1535927407">
          <w:marLeft w:val="0"/>
          <w:marRight w:val="0"/>
          <w:marTop w:val="0"/>
          <w:marBottom w:val="0"/>
          <w:divBdr>
            <w:top w:val="none" w:sz="0" w:space="0" w:color="auto"/>
            <w:left w:val="none" w:sz="0" w:space="0" w:color="auto"/>
            <w:bottom w:val="none" w:sz="0" w:space="0" w:color="auto"/>
            <w:right w:val="none" w:sz="0" w:space="0" w:color="auto"/>
          </w:divBdr>
        </w:div>
        <w:div w:id="263734383">
          <w:marLeft w:val="0"/>
          <w:marRight w:val="0"/>
          <w:marTop w:val="0"/>
          <w:marBottom w:val="0"/>
          <w:divBdr>
            <w:top w:val="none" w:sz="0" w:space="0" w:color="auto"/>
            <w:left w:val="none" w:sz="0" w:space="0" w:color="auto"/>
            <w:bottom w:val="none" w:sz="0" w:space="0" w:color="auto"/>
            <w:right w:val="none" w:sz="0" w:space="0" w:color="auto"/>
          </w:divBdr>
        </w:div>
        <w:div w:id="2118282601">
          <w:marLeft w:val="0"/>
          <w:marRight w:val="0"/>
          <w:marTop w:val="0"/>
          <w:marBottom w:val="0"/>
          <w:divBdr>
            <w:top w:val="none" w:sz="0" w:space="0" w:color="auto"/>
            <w:left w:val="none" w:sz="0" w:space="0" w:color="auto"/>
            <w:bottom w:val="none" w:sz="0" w:space="0" w:color="auto"/>
            <w:right w:val="none" w:sz="0" w:space="0" w:color="auto"/>
          </w:divBdr>
        </w:div>
        <w:div w:id="193932079">
          <w:marLeft w:val="0"/>
          <w:marRight w:val="0"/>
          <w:marTop w:val="0"/>
          <w:marBottom w:val="0"/>
          <w:divBdr>
            <w:top w:val="none" w:sz="0" w:space="0" w:color="auto"/>
            <w:left w:val="none" w:sz="0" w:space="0" w:color="auto"/>
            <w:bottom w:val="none" w:sz="0" w:space="0" w:color="auto"/>
            <w:right w:val="none" w:sz="0" w:space="0" w:color="auto"/>
          </w:divBdr>
        </w:div>
      </w:divsChild>
    </w:div>
    <w:div w:id="798304554">
      <w:bodyDiv w:val="1"/>
      <w:marLeft w:val="0"/>
      <w:marRight w:val="0"/>
      <w:marTop w:val="0"/>
      <w:marBottom w:val="0"/>
      <w:divBdr>
        <w:top w:val="none" w:sz="0" w:space="0" w:color="auto"/>
        <w:left w:val="none" w:sz="0" w:space="0" w:color="auto"/>
        <w:bottom w:val="none" w:sz="0" w:space="0" w:color="auto"/>
        <w:right w:val="none" w:sz="0" w:space="0" w:color="auto"/>
      </w:divBdr>
    </w:div>
    <w:div w:id="805708903">
      <w:bodyDiv w:val="1"/>
      <w:marLeft w:val="0"/>
      <w:marRight w:val="0"/>
      <w:marTop w:val="0"/>
      <w:marBottom w:val="0"/>
      <w:divBdr>
        <w:top w:val="none" w:sz="0" w:space="0" w:color="auto"/>
        <w:left w:val="none" w:sz="0" w:space="0" w:color="auto"/>
        <w:bottom w:val="none" w:sz="0" w:space="0" w:color="auto"/>
        <w:right w:val="none" w:sz="0" w:space="0" w:color="auto"/>
      </w:divBdr>
    </w:div>
    <w:div w:id="866482346">
      <w:bodyDiv w:val="1"/>
      <w:marLeft w:val="0"/>
      <w:marRight w:val="0"/>
      <w:marTop w:val="0"/>
      <w:marBottom w:val="0"/>
      <w:divBdr>
        <w:top w:val="none" w:sz="0" w:space="0" w:color="auto"/>
        <w:left w:val="none" w:sz="0" w:space="0" w:color="auto"/>
        <w:bottom w:val="none" w:sz="0" w:space="0" w:color="auto"/>
        <w:right w:val="none" w:sz="0" w:space="0" w:color="auto"/>
      </w:divBdr>
      <w:divsChild>
        <w:div w:id="2014792207">
          <w:marLeft w:val="0"/>
          <w:marRight w:val="0"/>
          <w:marTop w:val="0"/>
          <w:marBottom w:val="0"/>
          <w:divBdr>
            <w:top w:val="none" w:sz="0" w:space="0" w:color="auto"/>
            <w:left w:val="none" w:sz="0" w:space="0" w:color="auto"/>
            <w:bottom w:val="none" w:sz="0" w:space="0" w:color="auto"/>
            <w:right w:val="none" w:sz="0" w:space="0" w:color="auto"/>
          </w:divBdr>
          <w:divsChild>
            <w:div w:id="34743235">
              <w:marLeft w:val="0"/>
              <w:marRight w:val="0"/>
              <w:marTop w:val="0"/>
              <w:marBottom w:val="0"/>
              <w:divBdr>
                <w:top w:val="none" w:sz="0" w:space="0" w:color="auto"/>
                <w:left w:val="none" w:sz="0" w:space="0" w:color="auto"/>
                <w:bottom w:val="none" w:sz="0" w:space="0" w:color="auto"/>
                <w:right w:val="none" w:sz="0" w:space="0" w:color="auto"/>
              </w:divBdr>
              <w:divsChild>
                <w:div w:id="1876191429">
                  <w:marLeft w:val="0"/>
                  <w:marRight w:val="0"/>
                  <w:marTop w:val="0"/>
                  <w:marBottom w:val="0"/>
                  <w:divBdr>
                    <w:top w:val="none" w:sz="0" w:space="0" w:color="auto"/>
                    <w:left w:val="none" w:sz="0" w:space="0" w:color="auto"/>
                    <w:bottom w:val="none" w:sz="0" w:space="0" w:color="auto"/>
                    <w:right w:val="none" w:sz="0" w:space="0" w:color="auto"/>
                  </w:divBdr>
                  <w:divsChild>
                    <w:div w:id="1403747436">
                      <w:marLeft w:val="0"/>
                      <w:marRight w:val="0"/>
                      <w:marTop w:val="0"/>
                      <w:marBottom w:val="0"/>
                      <w:divBdr>
                        <w:top w:val="single" w:sz="2" w:space="0" w:color="E2E2E2"/>
                        <w:left w:val="single" w:sz="2" w:space="15" w:color="E2E2E2"/>
                        <w:bottom w:val="single" w:sz="2" w:space="0" w:color="E2E2E2"/>
                        <w:right w:val="single" w:sz="2" w:space="15" w:color="E2E2E2"/>
                      </w:divBdr>
                      <w:divsChild>
                        <w:div w:id="2143619321">
                          <w:marLeft w:val="0"/>
                          <w:marRight w:val="0"/>
                          <w:marTop w:val="0"/>
                          <w:marBottom w:val="0"/>
                          <w:divBdr>
                            <w:top w:val="none" w:sz="0" w:space="0" w:color="auto"/>
                            <w:left w:val="none" w:sz="0" w:space="0" w:color="auto"/>
                            <w:bottom w:val="none" w:sz="0" w:space="0" w:color="auto"/>
                            <w:right w:val="none" w:sz="0" w:space="0" w:color="auto"/>
                          </w:divBdr>
                          <w:divsChild>
                            <w:div w:id="2002847888">
                              <w:marLeft w:val="0"/>
                              <w:marRight w:val="0"/>
                              <w:marTop w:val="0"/>
                              <w:marBottom w:val="0"/>
                              <w:divBdr>
                                <w:top w:val="none" w:sz="0" w:space="0" w:color="auto"/>
                                <w:left w:val="none" w:sz="0" w:space="0" w:color="auto"/>
                                <w:bottom w:val="none" w:sz="0" w:space="0" w:color="auto"/>
                                <w:right w:val="none" w:sz="0" w:space="0" w:color="auto"/>
                              </w:divBdr>
                              <w:divsChild>
                                <w:div w:id="943226565">
                                  <w:marLeft w:val="0"/>
                                  <w:marRight w:val="0"/>
                                  <w:marTop w:val="0"/>
                                  <w:marBottom w:val="0"/>
                                  <w:divBdr>
                                    <w:top w:val="single" w:sz="6" w:space="0" w:color="DDDDDD"/>
                                    <w:left w:val="single" w:sz="6" w:space="8" w:color="DDDDDD"/>
                                    <w:bottom w:val="single" w:sz="6" w:space="8" w:color="DDDDDD"/>
                                    <w:right w:val="single" w:sz="6" w:space="8" w:color="DDDDDD"/>
                                  </w:divBdr>
                                  <w:divsChild>
                                    <w:div w:id="1093472142">
                                      <w:marLeft w:val="0"/>
                                      <w:marRight w:val="0"/>
                                      <w:marTop w:val="0"/>
                                      <w:marBottom w:val="0"/>
                                      <w:divBdr>
                                        <w:top w:val="none" w:sz="0" w:space="0" w:color="auto"/>
                                        <w:left w:val="none" w:sz="0" w:space="0" w:color="auto"/>
                                        <w:bottom w:val="none" w:sz="0" w:space="0" w:color="auto"/>
                                        <w:right w:val="none" w:sz="0" w:space="0" w:color="auto"/>
                                      </w:divBdr>
                                      <w:divsChild>
                                        <w:div w:id="374357835">
                                          <w:marLeft w:val="0"/>
                                          <w:marRight w:val="0"/>
                                          <w:marTop w:val="0"/>
                                          <w:marBottom w:val="0"/>
                                          <w:divBdr>
                                            <w:top w:val="none" w:sz="0" w:space="0" w:color="auto"/>
                                            <w:left w:val="none" w:sz="0" w:space="0" w:color="auto"/>
                                            <w:bottom w:val="none" w:sz="0" w:space="0" w:color="auto"/>
                                            <w:right w:val="none" w:sz="0" w:space="0" w:color="auto"/>
                                          </w:divBdr>
                                          <w:divsChild>
                                            <w:div w:id="12153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594431">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55909497">
      <w:bodyDiv w:val="1"/>
      <w:marLeft w:val="0"/>
      <w:marRight w:val="0"/>
      <w:marTop w:val="0"/>
      <w:marBottom w:val="0"/>
      <w:divBdr>
        <w:top w:val="none" w:sz="0" w:space="0" w:color="auto"/>
        <w:left w:val="none" w:sz="0" w:space="0" w:color="auto"/>
        <w:bottom w:val="none" w:sz="0" w:space="0" w:color="auto"/>
        <w:right w:val="none" w:sz="0" w:space="0" w:color="auto"/>
      </w:divBdr>
    </w:div>
    <w:div w:id="962155246">
      <w:bodyDiv w:val="1"/>
      <w:marLeft w:val="0"/>
      <w:marRight w:val="0"/>
      <w:marTop w:val="0"/>
      <w:marBottom w:val="0"/>
      <w:divBdr>
        <w:top w:val="none" w:sz="0" w:space="0" w:color="auto"/>
        <w:left w:val="none" w:sz="0" w:space="0" w:color="auto"/>
        <w:bottom w:val="none" w:sz="0" w:space="0" w:color="auto"/>
        <w:right w:val="none" w:sz="0" w:space="0" w:color="auto"/>
      </w:divBdr>
    </w:div>
    <w:div w:id="977763912">
      <w:bodyDiv w:val="1"/>
      <w:marLeft w:val="0"/>
      <w:marRight w:val="0"/>
      <w:marTop w:val="0"/>
      <w:marBottom w:val="0"/>
      <w:divBdr>
        <w:top w:val="none" w:sz="0" w:space="0" w:color="auto"/>
        <w:left w:val="none" w:sz="0" w:space="0" w:color="auto"/>
        <w:bottom w:val="none" w:sz="0" w:space="0" w:color="auto"/>
        <w:right w:val="none" w:sz="0" w:space="0" w:color="auto"/>
      </w:divBdr>
    </w:div>
    <w:div w:id="986740553">
      <w:bodyDiv w:val="1"/>
      <w:marLeft w:val="0"/>
      <w:marRight w:val="0"/>
      <w:marTop w:val="0"/>
      <w:marBottom w:val="0"/>
      <w:divBdr>
        <w:top w:val="none" w:sz="0" w:space="0" w:color="auto"/>
        <w:left w:val="none" w:sz="0" w:space="0" w:color="auto"/>
        <w:bottom w:val="none" w:sz="0" w:space="0" w:color="auto"/>
        <w:right w:val="none" w:sz="0" w:space="0" w:color="auto"/>
      </w:divBdr>
    </w:div>
    <w:div w:id="993410139">
      <w:bodyDiv w:val="1"/>
      <w:marLeft w:val="0"/>
      <w:marRight w:val="0"/>
      <w:marTop w:val="0"/>
      <w:marBottom w:val="0"/>
      <w:divBdr>
        <w:top w:val="none" w:sz="0" w:space="0" w:color="auto"/>
        <w:left w:val="none" w:sz="0" w:space="0" w:color="auto"/>
        <w:bottom w:val="none" w:sz="0" w:space="0" w:color="auto"/>
        <w:right w:val="none" w:sz="0" w:space="0" w:color="auto"/>
      </w:divBdr>
      <w:divsChild>
        <w:div w:id="752239970">
          <w:marLeft w:val="0"/>
          <w:marRight w:val="0"/>
          <w:marTop w:val="0"/>
          <w:marBottom w:val="0"/>
          <w:divBdr>
            <w:top w:val="none" w:sz="0" w:space="0" w:color="auto"/>
            <w:left w:val="none" w:sz="0" w:space="0" w:color="auto"/>
            <w:bottom w:val="none" w:sz="0" w:space="0" w:color="auto"/>
            <w:right w:val="none" w:sz="0" w:space="0" w:color="auto"/>
          </w:divBdr>
        </w:div>
        <w:div w:id="1397363855">
          <w:marLeft w:val="0"/>
          <w:marRight w:val="0"/>
          <w:marTop w:val="0"/>
          <w:marBottom w:val="0"/>
          <w:divBdr>
            <w:top w:val="none" w:sz="0" w:space="0" w:color="auto"/>
            <w:left w:val="none" w:sz="0" w:space="0" w:color="auto"/>
            <w:bottom w:val="none" w:sz="0" w:space="0" w:color="auto"/>
            <w:right w:val="none" w:sz="0" w:space="0" w:color="auto"/>
          </w:divBdr>
        </w:div>
      </w:divsChild>
    </w:div>
    <w:div w:id="1015495004">
      <w:bodyDiv w:val="1"/>
      <w:marLeft w:val="0"/>
      <w:marRight w:val="0"/>
      <w:marTop w:val="0"/>
      <w:marBottom w:val="0"/>
      <w:divBdr>
        <w:top w:val="none" w:sz="0" w:space="0" w:color="auto"/>
        <w:left w:val="none" w:sz="0" w:space="0" w:color="auto"/>
        <w:bottom w:val="none" w:sz="0" w:space="0" w:color="auto"/>
        <w:right w:val="none" w:sz="0" w:space="0" w:color="auto"/>
      </w:divBdr>
    </w:div>
    <w:div w:id="1024091192">
      <w:bodyDiv w:val="1"/>
      <w:marLeft w:val="0"/>
      <w:marRight w:val="0"/>
      <w:marTop w:val="0"/>
      <w:marBottom w:val="0"/>
      <w:divBdr>
        <w:top w:val="none" w:sz="0" w:space="0" w:color="auto"/>
        <w:left w:val="none" w:sz="0" w:space="0" w:color="auto"/>
        <w:bottom w:val="none" w:sz="0" w:space="0" w:color="auto"/>
        <w:right w:val="none" w:sz="0" w:space="0" w:color="auto"/>
      </w:divBdr>
    </w:div>
    <w:div w:id="1042287610">
      <w:bodyDiv w:val="1"/>
      <w:marLeft w:val="0"/>
      <w:marRight w:val="0"/>
      <w:marTop w:val="0"/>
      <w:marBottom w:val="0"/>
      <w:divBdr>
        <w:top w:val="none" w:sz="0" w:space="0" w:color="auto"/>
        <w:left w:val="none" w:sz="0" w:space="0" w:color="auto"/>
        <w:bottom w:val="none" w:sz="0" w:space="0" w:color="auto"/>
        <w:right w:val="none" w:sz="0" w:space="0" w:color="auto"/>
      </w:divBdr>
    </w:div>
    <w:div w:id="1061487856">
      <w:bodyDiv w:val="1"/>
      <w:marLeft w:val="0"/>
      <w:marRight w:val="0"/>
      <w:marTop w:val="0"/>
      <w:marBottom w:val="0"/>
      <w:divBdr>
        <w:top w:val="none" w:sz="0" w:space="0" w:color="auto"/>
        <w:left w:val="none" w:sz="0" w:space="0" w:color="auto"/>
        <w:bottom w:val="none" w:sz="0" w:space="0" w:color="auto"/>
        <w:right w:val="none" w:sz="0" w:space="0" w:color="auto"/>
      </w:divBdr>
    </w:div>
    <w:div w:id="1089472438">
      <w:bodyDiv w:val="1"/>
      <w:marLeft w:val="0"/>
      <w:marRight w:val="0"/>
      <w:marTop w:val="0"/>
      <w:marBottom w:val="0"/>
      <w:divBdr>
        <w:top w:val="none" w:sz="0" w:space="0" w:color="auto"/>
        <w:left w:val="none" w:sz="0" w:space="0" w:color="auto"/>
        <w:bottom w:val="none" w:sz="0" w:space="0" w:color="auto"/>
        <w:right w:val="none" w:sz="0" w:space="0" w:color="auto"/>
      </w:divBdr>
    </w:div>
    <w:div w:id="1090657462">
      <w:bodyDiv w:val="1"/>
      <w:marLeft w:val="0"/>
      <w:marRight w:val="0"/>
      <w:marTop w:val="0"/>
      <w:marBottom w:val="0"/>
      <w:divBdr>
        <w:top w:val="none" w:sz="0" w:space="0" w:color="auto"/>
        <w:left w:val="none" w:sz="0" w:space="0" w:color="auto"/>
        <w:bottom w:val="none" w:sz="0" w:space="0" w:color="auto"/>
        <w:right w:val="none" w:sz="0" w:space="0" w:color="auto"/>
      </w:divBdr>
    </w:div>
    <w:div w:id="1108433743">
      <w:bodyDiv w:val="1"/>
      <w:marLeft w:val="0"/>
      <w:marRight w:val="0"/>
      <w:marTop w:val="0"/>
      <w:marBottom w:val="0"/>
      <w:divBdr>
        <w:top w:val="none" w:sz="0" w:space="0" w:color="auto"/>
        <w:left w:val="none" w:sz="0" w:space="0" w:color="auto"/>
        <w:bottom w:val="none" w:sz="0" w:space="0" w:color="auto"/>
        <w:right w:val="none" w:sz="0" w:space="0" w:color="auto"/>
      </w:divBdr>
    </w:div>
    <w:div w:id="1123647081">
      <w:bodyDiv w:val="1"/>
      <w:marLeft w:val="0"/>
      <w:marRight w:val="0"/>
      <w:marTop w:val="0"/>
      <w:marBottom w:val="0"/>
      <w:divBdr>
        <w:top w:val="none" w:sz="0" w:space="0" w:color="auto"/>
        <w:left w:val="none" w:sz="0" w:space="0" w:color="auto"/>
        <w:bottom w:val="none" w:sz="0" w:space="0" w:color="auto"/>
        <w:right w:val="none" w:sz="0" w:space="0" w:color="auto"/>
      </w:divBdr>
    </w:div>
    <w:div w:id="1140731831">
      <w:bodyDiv w:val="1"/>
      <w:marLeft w:val="0"/>
      <w:marRight w:val="0"/>
      <w:marTop w:val="0"/>
      <w:marBottom w:val="0"/>
      <w:divBdr>
        <w:top w:val="none" w:sz="0" w:space="0" w:color="auto"/>
        <w:left w:val="none" w:sz="0" w:space="0" w:color="auto"/>
        <w:bottom w:val="none" w:sz="0" w:space="0" w:color="auto"/>
        <w:right w:val="none" w:sz="0" w:space="0" w:color="auto"/>
      </w:divBdr>
    </w:div>
    <w:div w:id="1141459884">
      <w:bodyDiv w:val="1"/>
      <w:marLeft w:val="0"/>
      <w:marRight w:val="0"/>
      <w:marTop w:val="0"/>
      <w:marBottom w:val="0"/>
      <w:divBdr>
        <w:top w:val="none" w:sz="0" w:space="0" w:color="auto"/>
        <w:left w:val="none" w:sz="0" w:space="0" w:color="auto"/>
        <w:bottom w:val="none" w:sz="0" w:space="0" w:color="auto"/>
        <w:right w:val="none" w:sz="0" w:space="0" w:color="auto"/>
      </w:divBdr>
    </w:div>
    <w:div w:id="1141658000">
      <w:bodyDiv w:val="1"/>
      <w:marLeft w:val="0"/>
      <w:marRight w:val="0"/>
      <w:marTop w:val="0"/>
      <w:marBottom w:val="0"/>
      <w:divBdr>
        <w:top w:val="none" w:sz="0" w:space="0" w:color="auto"/>
        <w:left w:val="none" w:sz="0" w:space="0" w:color="auto"/>
        <w:bottom w:val="none" w:sz="0" w:space="0" w:color="auto"/>
        <w:right w:val="none" w:sz="0" w:space="0" w:color="auto"/>
      </w:divBdr>
    </w:div>
    <w:div w:id="1150251693">
      <w:bodyDiv w:val="1"/>
      <w:marLeft w:val="0"/>
      <w:marRight w:val="0"/>
      <w:marTop w:val="0"/>
      <w:marBottom w:val="0"/>
      <w:divBdr>
        <w:top w:val="none" w:sz="0" w:space="0" w:color="auto"/>
        <w:left w:val="none" w:sz="0" w:space="0" w:color="auto"/>
        <w:bottom w:val="none" w:sz="0" w:space="0" w:color="auto"/>
        <w:right w:val="none" w:sz="0" w:space="0" w:color="auto"/>
      </w:divBdr>
    </w:div>
    <w:div w:id="1151210445">
      <w:bodyDiv w:val="1"/>
      <w:marLeft w:val="0"/>
      <w:marRight w:val="0"/>
      <w:marTop w:val="0"/>
      <w:marBottom w:val="0"/>
      <w:divBdr>
        <w:top w:val="none" w:sz="0" w:space="0" w:color="auto"/>
        <w:left w:val="none" w:sz="0" w:space="0" w:color="auto"/>
        <w:bottom w:val="none" w:sz="0" w:space="0" w:color="auto"/>
        <w:right w:val="none" w:sz="0" w:space="0" w:color="auto"/>
      </w:divBdr>
    </w:div>
    <w:div w:id="1168129050">
      <w:bodyDiv w:val="1"/>
      <w:marLeft w:val="0"/>
      <w:marRight w:val="0"/>
      <w:marTop w:val="0"/>
      <w:marBottom w:val="0"/>
      <w:divBdr>
        <w:top w:val="none" w:sz="0" w:space="0" w:color="auto"/>
        <w:left w:val="none" w:sz="0" w:space="0" w:color="auto"/>
        <w:bottom w:val="none" w:sz="0" w:space="0" w:color="auto"/>
        <w:right w:val="none" w:sz="0" w:space="0" w:color="auto"/>
      </w:divBdr>
    </w:div>
    <w:div w:id="1173684914">
      <w:bodyDiv w:val="1"/>
      <w:marLeft w:val="0"/>
      <w:marRight w:val="0"/>
      <w:marTop w:val="0"/>
      <w:marBottom w:val="0"/>
      <w:divBdr>
        <w:top w:val="none" w:sz="0" w:space="0" w:color="auto"/>
        <w:left w:val="none" w:sz="0" w:space="0" w:color="auto"/>
        <w:bottom w:val="none" w:sz="0" w:space="0" w:color="auto"/>
        <w:right w:val="none" w:sz="0" w:space="0" w:color="auto"/>
      </w:divBdr>
    </w:div>
    <w:div w:id="1195996527">
      <w:bodyDiv w:val="1"/>
      <w:marLeft w:val="0"/>
      <w:marRight w:val="0"/>
      <w:marTop w:val="0"/>
      <w:marBottom w:val="0"/>
      <w:divBdr>
        <w:top w:val="none" w:sz="0" w:space="0" w:color="auto"/>
        <w:left w:val="none" w:sz="0" w:space="0" w:color="auto"/>
        <w:bottom w:val="none" w:sz="0" w:space="0" w:color="auto"/>
        <w:right w:val="none" w:sz="0" w:space="0" w:color="auto"/>
      </w:divBdr>
    </w:div>
    <w:div w:id="1199506909">
      <w:bodyDiv w:val="1"/>
      <w:marLeft w:val="0"/>
      <w:marRight w:val="0"/>
      <w:marTop w:val="0"/>
      <w:marBottom w:val="0"/>
      <w:divBdr>
        <w:top w:val="none" w:sz="0" w:space="0" w:color="auto"/>
        <w:left w:val="none" w:sz="0" w:space="0" w:color="auto"/>
        <w:bottom w:val="none" w:sz="0" w:space="0" w:color="auto"/>
        <w:right w:val="none" w:sz="0" w:space="0" w:color="auto"/>
      </w:divBdr>
    </w:div>
    <w:div w:id="1201674353">
      <w:bodyDiv w:val="1"/>
      <w:marLeft w:val="0"/>
      <w:marRight w:val="0"/>
      <w:marTop w:val="0"/>
      <w:marBottom w:val="0"/>
      <w:divBdr>
        <w:top w:val="none" w:sz="0" w:space="0" w:color="auto"/>
        <w:left w:val="none" w:sz="0" w:space="0" w:color="auto"/>
        <w:bottom w:val="none" w:sz="0" w:space="0" w:color="auto"/>
        <w:right w:val="none" w:sz="0" w:space="0" w:color="auto"/>
      </w:divBdr>
    </w:div>
    <w:div w:id="1219827964">
      <w:bodyDiv w:val="1"/>
      <w:marLeft w:val="0"/>
      <w:marRight w:val="0"/>
      <w:marTop w:val="0"/>
      <w:marBottom w:val="0"/>
      <w:divBdr>
        <w:top w:val="none" w:sz="0" w:space="0" w:color="auto"/>
        <w:left w:val="none" w:sz="0" w:space="0" w:color="auto"/>
        <w:bottom w:val="none" w:sz="0" w:space="0" w:color="auto"/>
        <w:right w:val="none" w:sz="0" w:space="0" w:color="auto"/>
      </w:divBdr>
    </w:div>
    <w:div w:id="1220240698">
      <w:bodyDiv w:val="1"/>
      <w:marLeft w:val="0"/>
      <w:marRight w:val="0"/>
      <w:marTop w:val="0"/>
      <w:marBottom w:val="0"/>
      <w:divBdr>
        <w:top w:val="none" w:sz="0" w:space="0" w:color="auto"/>
        <w:left w:val="none" w:sz="0" w:space="0" w:color="auto"/>
        <w:bottom w:val="none" w:sz="0" w:space="0" w:color="auto"/>
        <w:right w:val="none" w:sz="0" w:space="0" w:color="auto"/>
      </w:divBdr>
    </w:div>
    <w:div w:id="1241674614">
      <w:bodyDiv w:val="1"/>
      <w:marLeft w:val="0"/>
      <w:marRight w:val="0"/>
      <w:marTop w:val="0"/>
      <w:marBottom w:val="0"/>
      <w:divBdr>
        <w:top w:val="none" w:sz="0" w:space="0" w:color="auto"/>
        <w:left w:val="none" w:sz="0" w:space="0" w:color="auto"/>
        <w:bottom w:val="none" w:sz="0" w:space="0" w:color="auto"/>
        <w:right w:val="none" w:sz="0" w:space="0" w:color="auto"/>
      </w:divBdr>
    </w:div>
    <w:div w:id="1243223316">
      <w:bodyDiv w:val="1"/>
      <w:marLeft w:val="0"/>
      <w:marRight w:val="0"/>
      <w:marTop w:val="0"/>
      <w:marBottom w:val="0"/>
      <w:divBdr>
        <w:top w:val="none" w:sz="0" w:space="0" w:color="auto"/>
        <w:left w:val="none" w:sz="0" w:space="0" w:color="auto"/>
        <w:bottom w:val="none" w:sz="0" w:space="0" w:color="auto"/>
        <w:right w:val="none" w:sz="0" w:space="0" w:color="auto"/>
      </w:divBdr>
      <w:divsChild>
        <w:div w:id="1181120749">
          <w:marLeft w:val="0"/>
          <w:marRight w:val="0"/>
          <w:marTop w:val="0"/>
          <w:marBottom w:val="0"/>
          <w:divBdr>
            <w:top w:val="none" w:sz="0" w:space="0" w:color="auto"/>
            <w:left w:val="none" w:sz="0" w:space="0" w:color="auto"/>
            <w:bottom w:val="none" w:sz="0" w:space="0" w:color="auto"/>
            <w:right w:val="none" w:sz="0" w:space="0" w:color="auto"/>
          </w:divBdr>
        </w:div>
      </w:divsChild>
    </w:div>
    <w:div w:id="1244684846">
      <w:bodyDiv w:val="1"/>
      <w:marLeft w:val="0"/>
      <w:marRight w:val="0"/>
      <w:marTop w:val="0"/>
      <w:marBottom w:val="0"/>
      <w:divBdr>
        <w:top w:val="none" w:sz="0" w:space="0" w:color="auto"/>
        <w:left w:val="none" w:sz="0" w:space="0" w:color="auto"/>
        <w:bottom w:val="none" w:sz="0" w:space="0" w:color="auto"/>
        <w:right w:val="none" w:sz="0" w:space="0" w:color="auto"/>
      </w:divBdr>
    </w:div>
    <w:div w:id="1247805773">
      <w:bodyDiv w:val="1"/>
      <w:marLeft w:val="0"/>
      <w:marRight w:val="0"/>
      <w:marTop w:val="0"/>
      <w:marBottom w:val="0"/>
      <w:divBdr>
        <w:top w:val="none" w:sz="0" w:space="0" w:color="auto"/>
        <w:left w:val="none" w:sz="0" w:space="0" w:color="auto"/>
        <w:bottom w:val="none" w:sz="0" w:space="0" w:color="auto"/>
        <w:right w:val="none" w:sz="0" w:space="0" w:color="auto"/>
      </w:divBdr>
    </w:div>
    <w:div w:id="1263075424">
      <w:bodyDiv w:val="1"/>
      <w:marLeft w:val="0"/>
      <w:marRight w:val="0"/>
      <w:marTop w:val="0"/>
      <w:marBottom w:val="0"/>
      <w:divBdr>
        <w:top w:val="none" w:sz="0" w:space="0" w:color="auto"/>
        <w:left w:val="none" w:sz="0" w:space="0" w:color="auto"/>
        <w:bottom w:val="none" w:sz="0" w:space="0" w:color="auto"/>
        <w:right w:val="none" w:sz="0" w:space="0" w:color="auto"/>
      </w:divBdr>
    </w:div>
    <w:div w:id="1268997930">
      <w:bodyDiv w:val="1"/>
      <w:marLeft w:val="0"/>
      <w:marRight w:val="0"/>
      <w:marTop w:val="0"/>
      <w:marBottom w:val="0"/>
      <w:divBdr>
        <w:top w:val="none" w:sz="0" w:space="0" w:color="auto"/>
        <w:left w:val="none" w:sz="0" w:space="0" w:color="auto"/>
        <w:bottom w:val="none" w:sz="0" w:space="0" w:color="auto"/>
        <w:right w:val="none" w:sz="0" w:space="0" w:color="auto"/>
      </w:divBdr>
    </w:div>
    <w:div w:id="1269194268">
      <w:bodyDiv w:val="1"/>
      <w:marLeft w:val="0"/>
      <w:marRight w:val="0"/>
      <w:marTop w:val="0"/>
      <w:marBottom w:val="0"/>
      <w:divBdr>
        <w:top w:val="none" w:sz="0" w:space="0" w:color="auto"/>
        <w:left w:val="none" w:sz="0" w:space="0" w:color="auto"/>
        <w:bottom w:val="none" w:sz="0" w:space="0" w:color="auto"/>
        <w:right w:val="none" w:sz="0" w:space="0" w:color="auto"/>
      </w:divBdr>
    </w:div>
    <w:div w:id="1287616831">
      <w:bodyDiv w:val="1"/>
      <w:marLeft w:val="0"/>
      <w:marRight w:val="0"/>
      <w:marTop w:val="0"/>
      <w:marBottom w:val="0"/>
      <w:divBdr>
        <w:top w:val="none" w:sz="0" w:space="0" w:color="auto"/>
        <w:left w:val="none" w:sz="0" w:space="0" w:color="auto"/>
        <w:bottom w:val="none" w:sz="0" w:space="0" w:color="auto"/>
        <w:right w:val="none" w:sz="0" w:space="0" w:color="auto"/>
      </w:divBdr>
    </w:div>
    <w:div w:id="1313606131">
      <w:bodyDiv w:val="1"/>
      <w:marLeft w:val="0"/>
      <w:marRight w:val="0"/>
      <w:marTop w:val="0"/>
      <w:marBottom w:val="0"/>
      <w:divBdr>
        <w:top w:val="none" w:sz="0" w:space="0" w:color="auto"/>
        <w:left w:val="none" w:sz="0" w:space="0" w:color="auto"/>
        <w:bottom w:val="none" w:sz="0" w:space="0" w:color="auto"/>
        <w:right w:val="none" w:sz="0" w:space="0" w:color="auto"/>
      </w:divBdr>
    </w:div>
    <w:div w:id="1334338622">
      <w:bodyDiv w:val="1"/>
      <w:marLeft w:val="0"/>
      <w:marRight w:val="0"/>
      <w:marTop w:val="0"/>
      <w:marBottom w:val="0"/>
      <w:divBdr>
        <w:top w:val="none" w:sz="0" w:space="0" w:color="auto"/>
        <w:left w:val="none" w:sz="0" w:space="0" w:color="auto"/>
        <w:bottom w:val="none" w:sz="0" w:space="0" w:color="auto"/>
        <w:right w:val="none" w:sz="0" w:space="0" w:color="auto"/>
      </w:divBdr>
    </w:div>
    <w:div w:id="1338652998">
      <w:bodyDiv w:val="1"/>
      <w:marLeft w:val="0"/>
      <w:marRight w:val="0"/>
      <w:marTop w:val="0"/>
      <w:marBottom w:val="0"/>
      <w:divBdr>
        <w:top w:val="none" w:sz="0" w:space="0" w:color="auto"/>
        <w:left w:val="none" w:sz="0" w:space="0" w:color="auto"/>
        <w:bottom w:val="none" w:sz="0" w:space="0" w:color="auto"/>
        <w:right w:val="none" w:sz="0" w:space="0" w:color="auto"/>
      </w:divBdr>
    </w:div>
    <w:div w:id="1355158560">
      <w:bodyDiv w:val="1"/>
      <w:marLeft w:val="0"/>
      <w:marRight w:val="0"/>
      <w:marTop w:val="0"/>
      <w:marBottom w:val="0"/>
      <w:divBdr>
        <w:top w:val="none" w:sz="0" w:space="0" w:color="auto"/>
        <w:left w:val="none" w:sz="0" w:space="0" w:color="auto"/>
        <w:bottom w:val="none" w:sz="0" w:space="0" w:color="auto"/>
        <w:right w:val="none" w:sz="0" w:space="0" w:color="auto"/>
      </w:divBdr>
    </w:div>
    <w:div w:id="1388533896">
      <w:bodyDiv w:val="1"/>
      <w:marLeft w:val="0"/>
      <w:marRight w:val="0"/>
      <w:marTop w:val="0"/>
      <w:marBottom w:val="0"/>
      <w:divBdr>
        <w:top w:val="none" w:sz="0" w:space="0" w:color="auto"/>
        <w:left w:val="none" w:sz="0" w:space="0" w:color="auto"/>
        <w:bottom w:val="none" w:sz="0" w:space="0" w:color="auto"/>
        <w:right w:val="none" w:sz="0" w:space="0" w:color="auto"/>
      </w:divBdr>
    </w:div>
    <w:div w:id="1394347675">
      <w:bodyDiv w:val="1"/>
      <w:marLeft w:val="0"/>
      <w:marRight w:val="0"/>
      <w:marTop w:val="0"/>
      <w:marBottom w:val="0"/>
      <w:divBdr>
        <w:top w:val="none" w:sz="0" w:space="0" w:color="auto"/>
        <w:left w:val="none" w:sz="0" w:space="0" w:color="auto"/>
        <w:bottom w:val="none" w:sz="0" w:space="0" w:color="auto"/>
        <w:right w:val="none" w:sz="0" w:space="0" w:color="auto"/>
      </w:divBdr>
    </w:div>
    <w:div w:id="1410151557">
      <w:bodyDiv w:val="1"/>
      <w:marLeft w:val="0"/>
      <w:marRight w:val="0"/>
      <w:marTop w:val="0"/>
      <w:marBottom w:val="0"/>
      <w:divBdr>
        <w:top w:val="none" w:sz="0" w:space="0" w:color="auto"/>
        <w:left w:val="none" w:sz="0" w:space="0" w:color="auto"/>
        <w:bottom w:val="none" w:sz="0" w:space="0" w:color="auto"/>
        <w:right w:val="none" w:sz="0" w:space="0" w:color="auto"/>
      </w:divBdr>
    </w:div>
    <w:div w:id="1420637158">
      <w:bodyDiv w:val="1"/>
      <w:marLeft w:val="0"/>
      <w:marRight w:val="0"/>
      <w:marTop w:val="0"/>
      <w:marBottom w:val="0"/>
      <w:divBdr>
        <w:top w:val="none" w:sz="0" w:space="0" w:color="auto"/>
        <w:left w:val="none" w:sz="0" w:space="0" w:color="auto"/>
        <w:bottom w:val="none" w:sz="0" w:space="0" w:color="auto"/>
        <w:right w:val="none" w:sz="0" w:space="0" w:color="auto"/>
      </w:divBdr>
    </w:div>
    <w:div w:id="1425301919">
      <w:bodyDiv w:val="1"/>
      <w:marLeft w:val="0"/>
      <w:marRight w:val="0"/>
      <w:marTop w:val="0"/>
      <w:marBottom w:val="0"/>
      <w:divBdr>
        <w:top w:val="none" w:sz="0" w:space="0" w:color="auto"/>
        <w:left w:val="none" w:sz="0" w:space="0" w:color="auto"/>
        <w:bottom w:val="none" w:sz="0" w:space="0" w:color="auto"/>
        <w:right w:val="none" w:sz="0" w:space="0" w:color="auto"/>
      </w:divBdr>
    </w:div>
    <w:div w:id="1438670892">
      <w:bodyDiv w:val="1"/>
      <w:marLeft w:val="0"/>
      <w:marRight w:val="0"/>
      <w:marTop w:val="0"/>
      <w:marBottom w:val="0"/>
      <w:divBdr>
        <w:top w:val="none" w:sz="0" w:space="0" w:color="auto"/>
        <w:left w:val="none" w:sz="0" w:space="0" w:color="auto"/>
        <w:bottom w:val="none" w:sz="0" w:space="0" w:color="auto"/>
        <w:right w:val="none" w:sz="0" w:space="0" w:color="auto"/>
      </w:divBdr>
    </w:div>
    <w:div w:id="1445080739">
      <w:bodyDiv w:val="1"/>
      <w:marLeft w:val="0"/>
      <w:marRight w:val="0"/>
      <w:marTop w:val="0"/>
      <w:marBottom w:val="0"/>
      <w:divBdr>
        <w:top w:val="none" w:sz="0" w:space="0" w:color="auto"/>
        <w:left w:val="none" w:sz="0" w:space="0" w:color="auto"/>
        <w:bottom w:val="none" w:sz="0" w:space="0" w:color="auto"/>
        <w:right w:val="none" w:sz="0" w:space="0" w:color="auto"/>
      </w:divBdr>
    </w:div>
    <w:div w:id="1449541380">
      <w:bodyDiv w:val="1"/>
      <w:marLeft w:val="0"/>
      <w:marRight w:val="0"/>
      <w:marTop w:val="0"/>
      <w:marBottom w:val="0"/>
      <w:divBdr>
        <w:top w:val="none" w:sz="0" w:space="0" w:color="auto"/>
        <w:left w:val="none" w:sz="0" w:space="0" w:color="auto"/>
        <w:bottom w:val="none" w:sz="0" w:space="0" w:color="auto"/>
        <w:right w:val="none" w:sz="0" w:space="0" w:color="auto"/>
      </w:divBdr>
    </w:div>
    <w:div w:id="1450012116">
      <w:bodyDiv w:val="1"/>
      <w:marLeft w:val="0"/>
      <w:marRight w:val="0"/>
      <w:marTop w:val="0"/>
      <w:marBottom w:val="0"/>
      <w:divBdr>
        <w:top w:val="none" w:sz="0" w:space="0" w:color="auto"/>
        <w:left w:val="none" w:sz="0" w:space="0" w:color="auto"/>
        <w:bottom w:val="none" w:sz="0" w:space="0" w:color="auto"/>
        <w:right w:val="none" w:sz="0" w:space="0" w:color="auto"/>
      </w:divBdr>
    </w:div>
    <w:div w:id="1468015852">
      <w:bodyDiv w:val="1"/>
      <w:marLeft w:val="0"/>
      <w:marRight w:val="0"/>
      <w:marTop w:val="0"/>
      <w:marBottom w:val="0"/>
      <w:divBdr>
        <w:top w:val="none" w:sz="0" w:space="0" w:color="auto"/>
        <w:left w:val="none" w:sz="0" w:space="0" w:color="auto"/>
        <w:bottom w:val="none" w:sz="0" w:space="0" w:color="auto"/>
        <w:right w:val="none" w:sz="0" w:space="0" w:color="auto"/>
      </w:divBdr>
    </w:div>
    <w:div w:id="1484927828">
      <w:bodyDiv w:val="1"/>
      <w:marLeft w:val="0"/>
      <w:marRight w:val="0"/>
      <w:marTop w:val="0"/>
      <w:marBottom w:val="0"/>
      <w:divBdr>
        <w:top w:val="none" w:sz="0" w:space="0" w:color="auto"/>
        <w:left w:val="none" w:sz="0" w:space="0" w:color="auto"/>
        <w:bottom w:val="none" w:sz="0" w:space="0" w:color="auto"/>
        <w:right w:val="none" w:sz="0" w:space="0" w:color="auto"/>
      </w:divBdr>
    </w:div>
    <w:div w:id="1485050648">
      <w:bodyDiv w:val="1"/>
      <w:marLeft w:val="0"/>
      <w:marRight w:val="0"/>
      <w:marTop w:val="0"/>
      <w:marBottom w:val="0"/>
      <w:divBdr>
        <w:top w:val="none" w:sz="0" w:space="0" w:color="auto"/>
        <w:left w:val="none" w:sz="0" w:space="0" w:color="auto"/>
        <w:bottom w:val="none" w:sz="0" w:space="0" w:color="auto"/>
        <w:right w:val="none" w:sz="0" w:space="0" w:color="auto"/>
      </w:divBdr>
    </w:div>
    <w:div w:id="1492135961">
      <w:bodyDiv w:val="1"/>
      <w:marLeft w:val="0"/>
      <w:marRight w:val="0"/>
      <w:marTop w:val="0"/>
      <w:marBottom w:val="0"/>
      <w:divBdr>
        <w:top w:val="none" w:sz="0" w:space="0" w:color="auto"/>
        <w:left w:val="none" w:sz="0" w:space="0" w:color="auto"/>
        <w:bottom w:val="none" w:sz="0" w:space="0" w:color="auto"/>
        <w:right w:val="none" w:sz="0" w:space="0" w:color="auto"/>
      </w:divBdr>
    </w:div>
    <w:div w:id="1499037059">
      <w:bodyDiv w:val="1"/>
      <w:marLeft w:val="0"/>
      <w:marRight w:val="0"/>
      <w:marTop w:val="0"/>
      <w:marBottom w:val="0"/>
      <w:divBdr>
        <w:top w:val="none" w:sz="0" w:space="0" w:color="auto"/>
        <w:left w:val="none" w:sz="0" w:space="0" w:color="auto"/>
        <w:bottom w:val="none" w:sz="0" w:space="0" w:color="auto"/>
        <w:right w:val="none" w:sz="0" w:space="0" w:color="auto"/>
      </w:divBdr>
    </w:div>
    <w:div w:id="1508904135">
      <w:bodyDiv w:val="1"/>
      <w:marLeft w:val="0"/>
      <w:marRight w:val="0"/>
      <w:marTop w:val="0"/>
      <w:marBottom w:val="0"/>
      <w:divBdr>
        <w:top w:val="none" w:sz="0" w:space="0" w:color="auto"/>
        <w:left w:val="none" w:sz="0" w:space="0" w:color="auto"/>
        <w:bottom w:val="none" w:sz="0" w:space="0" w:color="auto"/>
        <w:right w:val="none" w:sz="0" w:space="0" w:color="auto"/>
      </w:divBdr>
    </w:div>
    <w:div w:id="1509515264">
      <w:bodyDiv w:val="1"/>
      <w:marLeft w:val="0"/>
      <w:marRight w:val="0"/>
      <w:marTop w:val="0"/>
      <w:marBottom w:val="0"/>
      <w:divBdr>
        <w:top w:val="none" w:sz="0" w:space="0" w:color="auto"/>
        <w:left w:val="none" w:sz="0" w:space="0" w:color="auto"/>
        <w:bottom w:val="none" w:sz="0" w:space="0" w:color="auto"/>
        <w:right w:val="none" w:sz="0" w:space="0" w:color="auto"/>
      </w:divBdr>
    </w:div>
    <w:div w:id="1515463408">
      <w:bodyDiv w:val="1"/>
      <w:marLeft w:val="0"/>
      <w:marRight w:val="0"/>
      <w:marTop w:val="0"/>
      <w:marBottom w:val="0"/>
      <w:divBdr>
        <w:top w:val="none" w:sz="0" w:space="0" w:color="auto"/>
        <w:left w:val="none" w:sz="0" w:space="0" w:color="auto"/>
        <w:bottom w:val="none" w:sz="0" w:space="0" w:color="auto"/>
        <w:right w:val="none" w:sz="0" w:space="0" w:color="auto"/>
      </w:divBdr>
    </w:div>
    <w:div w:id="1523738081">
      <w:bodyDiv w:val="1"/>
      <w:marLeft w:val="0"/>
      <w:marRight w:val="0"/>
      <w:marTop w:val="0"/>
      <w:marBottom w:val="0"/>
      <w:divBdr>
        <w:top w:val="none" w:sz="0" w:space="0" w:color="auto"/>
        <w:left w:val="none" w:sz="0" w:space="0" w:color="auto"/>
        <w:bottom w:val="none" w:sz="0" w:space="0" w:color="auto"/>
        <w:right w:val="none" w:sz="0" w:space="0" w:color="auto"/>
      </w:divBdr>
    </w:div>
    <w:div w:id="1536887490">
      <w:bodyDiv w:val="1"/>
      <w:marLeft w:val="0"/>
      <w:marRight w:val="0"/>
      <w:marTop w:val="0"/>
      <w:marBottom w:val="0"/>
      <w:divBdr>
        <w:top w:val="none" w:sz="0" w:space="0" w:color="auto"/>
        <w:left w:val="none" w:sz="0" w:space="0" w:color="auto"/>
        <w:bottom w:val="none" w:sz="0" w:space="0" w:color="auto"/>
        <w:right w:val="none" w:sz="0" w:space="0" w:color="auto"/>
      </w:divBdr>
    </w:div>
    <w:div w:id="1555922789">
      <w:bodyDiv w:val="1"/>
      <w:marLeft w:val="0"/>
      <w:marRight w:val="0"/>
      <w:marTop w:val="0"/>
      <w:marBottom w:val="0"/>
      <w:divBdr>
        <w:top w:val="none" w:sz="0" w:space="0" w:color="auto"/>
        <w:left w:val="none" w:sz="0" w:space="0" w:color="auto"/>
        <w:bottom w:val="none" w:sz="0" w:space="0" w:color="auto"/>
        <w:right w:val="none" w:sz="0" w:space="0" w:color="auto"/>
      </w:divBdr>
      <w:divsChild>
        <w:div w:id="1444492447">
          <w:marLeft w:val="0"/>
          <w:marRight w:val="0"/>
          <w:marTop w:val="0"/>
          <w:marBottom w:val="0"/>
          <w:divBdr>
            <w:top w:val="none" w:sz="0" w:space="0" w:color="auto"/>
            <w:left w:val="none" w:sz="0" w:space="0" w:color="auto"/>
            <w:bottom w:val="none" w:sz="0" w:space="0" w:color="auto"/>
            <w:right w:val="none" w:sz="0" w:space="0" w:color="auto"/>
          </w:divBdr>
          <w:divsChild>
            <w:div w:id="753209961">
              <w:marLeft w:val="0"/>
              <w:marRight w:val="0"/>
              <w:marTop w:val="0"/>
              <w:marBottom w:val="0"/>
              <w:divBdr>
                <w:top w:val="none" w:sz="0" w:space="0" w:color="auto"/>
                <w:left w:val="none" w:sz="0" w:space="0" w:color="auto"/>
                <w:bottom w:val="none" w:sz="0" w:space="0" w:color="auto"/>
                <w:right w:val="none" w:sz="0" w:space="0" w:color="auto"/>
              </w:divBdr>
              <w:divsChild>
                <w:div w:id="1449665853">
                  <w:marLeft w:val="0"/>
                  <w:marRight w:val="0"/>
                  <w:marTop w:val="0"/>
                  <w:marBottom w:val="0"/>
                  <w:divBdr>
                    <w:top w:val="none" w:sz="0" w:space="0" w:color="auto"/>
                    <w:left w:val="none" w:sz="0" w:space="0" w:color="auto"/>
                    <w:bottom w:val="none" w:sz="0" w:space="0" w:color="auto"/>
                    <w:right w:val="none" w:sz="0" w:space="0" w:color="auto"/>
                  </w:divBdr>
                  <w:divsChild>
                    <w:div w:id="378674323">
                      <w:marLeft w:val="0"/>
                      <w:marRight w:val="0"/>
                      <w:marTop w:val="0"/>
                      <w:marBottom w:val="0"/>
                      <w:divBdr>
                        <w:top w:val="single" w:sz="2" w:space="0" w:color="E2E2E2"/>
                        <w:left w:val="single" w:sz="2" w:space="15" w:color="E2E2E2"/>
                        <w:bottom w:val="single" w:sz="2" w:space="0" w:color="E2E2E2"/>
                        <w:right w:val="single" w:sz="2" w:space="15" w:color="E2E2E2"/>
                      </w:divBdr>
                      <w:divsChild>
                        <w:div w:id="1100178820">
                          <w:marLeft w:val="0"/>
                          <w:marRight w:val="0"/>
                          <w:marTop w:val="0"/>
                          <w:marBottom w:val="0"/>
                          <w:divBdr>
                            <w:top w:val="none" w:sz="0" w:space="0" w:color="auto"/>
                            <w:left w:val="none" w:sz="0" w:space="0" w:color="auto"/>
                            <w:bottom w:val="none" w:sz="0" w:space="0" w:color="auto"/>
                            <w:right w:val="none" w:sz="0" w:space="0" w:color="auto"/>
                          </w:divBdr>
                          <w:divsChild>
                            <w:div w:id="1595091285">
                              <w:marLeft w:val="0"/>
                              <w:marRight w:val="0"/>
                              <w:marTop w:val="0"/>
                              <w:marBottom w:val="0"/>
                              <w:divBdr>
                                <w:top w:val="none" w:sz="0" w:space="0" w:color="auto"/>
                                <w:left w:val="none" w:sz="0" w:space="0" w:color="auto"/>
                                <w:bottom w:val="none" w:sz="0" w:space="0" w:color="auto"/>
                                <w:right w:val="none" w:sz="0" w:space="0" w:color="auto"/>
                              </w:divBdr>
                              <w:divsChild>
                                <w:div w:id="889733781">
                                  <w:marLeft w:val="0"/>
                                  <w:marRight w:val="0"/>
                                  <w:marTop w:val="0"/>
                                  <w:marBottom w:val="0"/>
                                  <w:divBdr>
                                    <w:top w:val="single" w:sz="6" w:space="0" w:color="DDDDDD"/>
                                    <w:left w:val="single" w:sz="6" w:space="8" w:color="DDDDDD"/>
                                    <w:bottom w:val="single" w:sz="6" w:space="8" w:color="DDDDDD"/>
                                    <w:right w:val="single" w:sz="6" w:space="8" w:color="DDDDDD"/>
                                  </w:divBdr>
                                  <w:divsChild>
                                    <w:div w:id="769620979">
                                      <w:marLeft w:val="0"/>
                                      <w:marRight w:val="0"/>
                                      <w:marTop w:val="0"/>
                                      <w:marBottom w:val="0"/>
                                      <w:divBdr>
                                        <w:top w:val="none" w:sz="0" w:space="0" w:color="auto"/>
                                        <w:left w:val="none" w:sz="0" w:space="0" w:color="auto"/>
                                        <w:bottom w:val="none" w:sz="0" w:space="0" w:color="auto"/>
                                        <w:right w:val="none" w:sz="0" w:space="0" w:color="auto"/>
                                      </w:divBdr>
                                      <w:divsChild>
                                        <w:div w:id="322586857">
                                          <w:marLeft w:val="0"/>
                                          <w:marRight w:val="0"/>
                                          <w:marTop w:val="0"/>
                                          <w:marBottom w:val="0"/>
                                          <w:divBdr>
                                            <w:top w:val="none" w:sz="0" w:space="0" w:color="auto"/>
                                            <w:left w:val="none" w:sz="0" w:space="0" w:color="auto"/>
                                            <w:bottom w:val="none" w:sz="0" w:space="0" w:color="auto"/>
                                            <w:right w:val="none" w:sz="0" w:space="0" w:color="auto"/>
                                          </w:divBdr>
                                          <w:divsChild>
                                            <w:div w:id="6233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9435446">
      <w:bodyDiv w:val="1"/>
      <w:marLeft w:val="0"/>
      <w:marRight w:val="0"/>
      <w:marTop w:val="0"/>
      <w:marBottom w:val="0"/>
      <w:divBdr>
        <w:top w:val="none" w:sz="0" w:space="0" w:color="auto"/>
        <w:left w:val="none" w:sz="0" w:space="0" w:color="auto"/>
        <w:bottom w:val="none" w:sz="0" w:space="0" w:color="auto"/>
        <w:right w:val="none" w:sz="0" w:space="0" w:color="auto"/>
      </w:divBdr>
    </w:div>
    <w:div w:id="1597471907">
      <w:bodyDiv w:val="1"/>
      <w:marLeft w:val="0"/>
      <w:marRight w:val="0"/>
      <w:marTop w:val="0"/>
      <w:marBottom w:val="0"/>
      <w:divBdr>
        <w:top w:val="none" w:sz="0" w:space="0" w:color="auto"/>
        <w:left w:val="none" w:sz="0" w:space="0" w:color="auto"/>
        <w:bottom w:val="none" w:sz="0" w:space="0" w:color="auto"/>
        <w:right w:val="none" w:sz="0" w:space="0" w:color="auto"/>
      </w:divBdr>
    </w:div>
    <w:div w:id="1601374887">
      <w:bodyDiv w:val="1"/>
      <w:marLeft w:val="0"/>
      <w:marRight w:val="0"/>
      <w:marTop w:val="0"/>
      <w:marBottom w:val="0"/>
      <w:divBdr>
        <w:top w:val="none" w:sz="0" w:space="0" w:color="auto"/>
        <w:left w:val="none" w:sz="0" w:space="0" w:color="auto"/>
        <w:bottom w:val="none" w:sz="0" w:space="0" w:color="auto"/>
        <w:right w:val="none" w:sz="0" w:space="0" w:color="auto"/>
      </w:divBdr>
    </w:div>
    <w:div w:id="1643344172">
      <w:bodyDiv w:val="1"/>
      <w:marLeft w:val="0"/>
      <w:marRight w:val="0"/>
      <w:marTop w:val="0"/>
      <w:marBottom w:val="0"/>
      <w:divBdr>
        <w:top w:val="none" w:sz="0" w:space="0" w:color="auto"/>
        <w:left w:val="none" w:sz="0" w:space="0" w:color="auto"/>
        <w:bottom w:val="none" w:sz="0" w:space="0" w:color="auto"/>
        <w:right w:val="none" w:sz="0" w:space="0" w:color="auto"/>
      </w:divBdr>
    </w:div>
    <w:div w:id="1643581893">
      <w:bodyDiv w:val="1"/>
      <w:marLeft w:val="0"/>
      <w:marRight w:val="0"/>
      <w:marTop w:val="0"/>
      <w:marBottom w:val="0"/>
      <w:divBdr>
        <w:top w:val="none" w:sz="0" w:space="0" w:color="auto"/>
        <w:left w:val="none" w:sz="0" w:space="0" w:color="auto"/>
        <w:bottom w:val="none" w:sz="0" w:space="0" w:color="auto"/>
        <w:right w:val="none" w:sz="0" w:space="0" w:color="auto"/>
      </w:divBdr>
    </w:div>
    <w:div w:id="1651473023">
      <w:bodyDiv w:val="1"/>
      <w:marLeft w:val="0"/>
      <w:marRight w:val="0"/>
      <w:marTop w:val="0"/>
      <w:marBottom w:val="0"/>
      <w:divBdr>
        <w:top w:val="none" w:sz="0" w:space="0" w:color="auto"/>
        <w:left w:val="none" w:sz="0" w:space="0" w:color="auto"/>
        <w:bottom w:val="none" w:sz="0" w:space="0" w:color="auto"/>
        <w:right w:val="none" w:sz="0" w:space="0" w:color="auto"/>
      </w:divBdr>
    </w:div>
    <w:div w:id="1652754132">
      <w:bodyDiv w:val="1"/>
      <w:marLeft w:val="0"/>
      <w:marRight w:val="0"/>
      <w:marTop w:val="0"/>
      <w:marBottom w:val="0"/>
      <w:divBdr>
        <w:top w:val="none" w:sz="0" w:space="0" w:color="auto"/>
        <w:left w:val="none" w:sz="0" w:space="0" w:color="auto"/>
        <w:bottom w:val="none" w:sz="0" w:space="0" w:color="auto"/>
        <w:right w:val="none" w:sz="0" w:space="0" w:color="auto"/>
      </w:divBdr>
    </w:div>
    <w:div w:id="1653020791">
      <w:bodyDiv w:val="1"/>
      <w:marLeft w:val="0"/>
      <w:marRight w:val="0"/>
      <w:marTop w:val="0"/>
      <w:marBottom w:val="0"/>
      <w:divBdr>
        <w:top w:val="none" w:sz="0" w:space="0" w:color="auto"/>
        <w:left w:val="none" w:sz="0" w:space="0" w:color="auto"/>
        <w:bottom w:val="none" w:sz="0" w:space="0" w:color="auto"/>
        <w:right w:val="none" w:sz="0" w:space="0" w:color="auto"/>
      </w:divBdr>
    </w:div>
    <w:div w:id="1654337742">
      <w:bodyDiv w:val="1"/>
      <w:marLeft w:val="0"/>
      <w:marRight w:val="0"/>
      <w:marTop w:val="0"/>
      <w:marBottom w:val="0"/>
      <w:divBdr>
        <w:top w:val="none" w:sz="0" w:space="0" w:color="auto"/>
        <w:left w:val="none" w:sz="0" w:space="0" w:color="auto"/>
        <w:bottom w:val="none" w:sz="0" w:space="0" w:color="auto"/>
        <w:right w:val="none" w:sz="0" w:space="0" w:color="auto"/>
      </w:divBdr>
    </w:div>
    <w:div w:id="1665400893">
      <w:bodyDiv w:val="1"/>
      <w:marLeft w:val="0"/>
      <w:marRight w:val="0"/>
      <w:marTop w:val="0"/>
      <w:marBottom w:val="0"/>
      <w:divBdr>
        <w:top w:val="none" w:sz="0" w:space="0" w:color="auto"/>
        <w:left w:val="none" w:sz="0" w:space="0" w:color="auto"/>
        <w:bottom w:val="none" w:sz="0" w:space="0" w:color="auto"/>
        <w:right w:val="none" w:sz="0" w:space="0" w:color="auto"/>
      </w:divBdr>
    </w:div>
    <w:div w:id="1668821788">
      <w:bodyDiv w:val="1"/>
      <w:marLeft w:val="0"/>
      <w:marRight w:val="0"/>
      <w:marTop w:val="0"/>
      <w:marBottom w:val="0"/>
      <w:divBdr>
        <w:top w:val="none" w:sz="0" w:space="0" w:color="auto"/>
        <w:left w:val="none" w:sz="0" w:space="0" w:color="auto"/>
        <w:bottom w:val="none" w:sz="0" w:space="0" w:color="auto"/>
        <w:right w:val="none" w:sz="0" w:space="0" w:color="auto"/>
      </w:divBdr>
    </w:div>
    <w:div w:id="1680425802">
      <w:bodyDiv w:val="1"/>
      <w:marLeft w:val="0"/>
      <w:marRight w:val="0"/>
      <w:marTop w:val="0"/>
      <w:marBottom w:val="0"/>
      <w:divBdr>
        <w:top w:val="none" w:sz="0" w:space="0" w:color="auto"/>
        <w:left w:val="none" w:sz="0" w:space="0" w:color="auto"/>
        <w:bottom w:val="none" w:sz="0" w:space="0" w:color="auto"/>
        <w:right w:val="none" w:sz="0" w:space="0" w:color="auto"/>
      </w:divBdr>
    </w:div>
    <w:div w:id="1706639047">
      <w:bodyDiv w:val="1"/>
      <w:marLeft w:val="0"/>
      <w:marRight w:val="0"/>
      <w:marTop w:val="0"/>
      <w:marBottom w:val="0"/>
      <w:divBdr>
        <w:top w:val="none" w:sz="0" w:space="0" w:color="auto"/>
        <w:left w:val="none" w:sz="0" w:space="0" w:color="auto"/>
        <w:bottom w:val="none" w:sz="0" w:space="0" w:color="auto"/>
        <w:right w:val="none" w:sz="0" w:space="0" w:color="auto"/>
      </w:divBdr>
    </w:div>
    <w:div w:id="1708529610">
      <w:bodyDiv w:val="1"/>
      <w:marLeft w:val="0"/>
      <w:marRight w:val="0"/>
      <w:marTop w:val="0"/>
      <w:marBottom w:val="0"/>
      <w:divBdr>
        <w:top w:val="none" w:sz="0" w:space="0" w:color="auto"/>
        <w:left w:val="none" w:sz="0" w:space="0" w:color="auto"/>
        <w:bottom w:val="none" w:sz="0" w:space="0" w:color="auto"/>
        <w:right w:val="none" w:sz="0" w:space="0" w:color="auto"/>
      </w:divBdr>
    </w:div>
    <w:div w:id="1711491923">
      <w:bodyDiv w:val="1"/>
      <w:marLeft w:val="0"/>
      <w:marRight w:val="0"/>
      <w:marTop w:val="0"/>
      <w:marBottom w:val="0"/>
      <w:divBdr>
        <w:top w:val="none" w:sz="0" w:space="0" w:color="auto"/>
        <w:left w:val="none" w:sz="0" w:space="0" w:color="auto"/>
        <w:bottom w:val="none" w:sz="0" w:space="0" w:color="auto"/>
        <w:right w:val="none" w:sz="0" w:space="0" w:color="auto"/>
      </w:divBdr>
    </w:div>
    <w:div w:id="1712997038">
      <w:bodyDiv w:val="1"/>
      <w:marLeft w:val="0"/>
      <w:marRight w:val="0"/>
      <w:marTop w:val="0"/>
      <w:marBottom w:val="0"/>
      <w:divBdr>
        <w:top w:val="none" w:sz="0" w:space="0" w:color="auto"/>
        <w:left w:val="none" w:sz="0" w:space="0" w:color="auto"/>
        <w:bottom w:val="none" w:sz="0" w:space="0" w:color="auto"/>
        <w:right w:val="none" w:sz="0" w:space="0" w:color="auto"/>
      </w:divBdr>
    </w:div>
    <w:div w:id="1713722388">
      <w:bodyDiv w:val="1"/>
      <w:marLeft w:val="0"/>
      <w:marRight w:val="0"/>
      <w:marTop w:val="0"/>
      <w:marBottom w:val="0"/>
      <w:divBdr>
        <w:top w:val="none" w:sz="0" w:space="0" w:color="auto"/>
        <w:left w:val="none" w:sz="0" w:space="0" w:color="auto"/>
        <w:bottom w:val="none" w:sz="0" w:space="0" w:color="auto"/>
        <w:right w:val="none" w:sz="0" w:space="0" w:color="auto"/>
      </w:divBdr>
    </w:div>
    <w:div w:id="1737701742">
      <w:bodyDiv w:val="1"/>
      <w:marLeft w:val="0"/>
      <w:marRight w:val="0"/>
      <w:marTop w:val="0"/>
      <w:marBottom w:val="0"/>
      <w:divBdr>
        <w:top w:val="none" w:sz="0" w:space="0" w:color="auto"/>
        <w:left w:val="none" w:sz="0" w:space="0" w:color="auto"/>
        <w:bottom w:val="none" w:sz="0" w:space="0" w:color="auto"/>
        <w:right w:val="none" w:sz="0" w:space="0" w:color="auto"/>
      </w:divBdr>
    </w:div>
    <w:div w:id="1749691012">
      <w:bodyDiv w:val="1"/>
      <w:marLeft w:val="0"/>
      <w:marRight w:val="0"/>
      <w:marTop w:val="0"/>
      <w:marBottom w:val="0"/>
      <w:divBdr>
        <w:top w:val="none" w:sz="0" w:space="0" w:color="auto"/>
        <w:left w:val="none" w:sz="0" w:space="0" w:color="auto"/>
        <w:bottom w:val="none" w:sz="0" w:space="0" w:color="auto"/>
        <w:right w:val="none" w:sz="0" w:space="0" w:color="auto"/>
      </w:divBdr>
    </w:div>
    <w:div w:id="1775635838">
      <w:bodyDiv w:val="1"/>
      <w:marLeft w:val="0"/>
      <w:marRight w:val="0"/>
      <w:marTop w:val="0"/>
      <w:marBottom w:val="0"/>
      <w:divBdr>
        <w:top w:val="none" w:sz="0" w:space="0" w:color="auto"/>
        <w:left w:val="none" w:sz="0" w:space="0" w:color="auto"/>
        <w:bottom w:val="none" w:sz="0" w:space="0" w:color="auto"/>
        <w:right w:val="none" w:sz="0" w:space="0" w:color="auto"/>
      </w:divBdr>
    </w:div>
    <w:div w:id="1779763385">
      <w:bodyDiv w:val="1"/>
      <w:marLeft w:val="0"/>
      <w:marRight w:val="0"/>
      <w:marTop w:val="0"/>
      <w:marBottom w:val="0"/>
      <w:divBdr>
        <w:top w:val="none" w:sz="0" w:space="0" w:color="auto"/>
        <w:left w:val="none" w:sz="0" w:space="0" w:color="auto"/>
        <w:bottom w:val="none" w:sz="0" w:space="0" w:color="auto"/>
        <w:right w:val="none" w:sz="0" w:space="0" w:color="auto"/>
      </w:divBdr>
    </w:div>
    <w:div w:id="1784692833">
      <w:bodyDiv w:val="1"/>
      <w:marLeft w:val="0"/>
      <w:marRight w:val="0"/>
      <w:marTop w:val="0"/>
      <w:marBottom w:val="0"/>
      <w:divBdr>
        <w:top w:val="none" w:sz="0" w:space="0" w:color="auto"/>
        <w:left w:val="none" w:sz="0" w:space="0" w:color="auto"/>
        <w:bottom w:val="none" w:sz="0" w:space="0" w:color="auto"/>
        <w:right w:val="none" w:sz="0" w:space="0" w:color="auto"/>
      </w:divBdr>
    </w:div>
    <w:div w:id="1792166681">
      <w:bodyDiv w:val="1"/>
      <w:marLeft w:val="0"/>
      <w:marRight w:val="0"/>
      <w:marTop w:val="0"/>
      <w:marBottom w:val="0"/>
      <w:divBdr>
        <w:top w:val="none" w:sz="0" w:space="0" w:color="auto"/>
        <w:left w:val="none" w:sz="0" w:space="0" w:color="auto"/>
        <w:bottom w:val="none" w:sz="0" w:space="0" w:color="auto"/>
        <w:right w:val="none" w:sz="0" w:space="0" w:color="auto"/>
      </w:divBdr>
    </w:div>
    <w:div w:id="1793817905">
      <w:bodyDiv w:val="1"/>
      <w:marLeft w:val="0"/>
      <w:marRight w:val="0"/>
      <w:marTop w:val="0"/>
      <w:marBottom w:val="0"/>
      <w:divBdr>
        <w:top w:val="none" w:sz="0" w:space="0" w:color="auto"/>
        <w:left w:val="none" w:sz="0" w:space="0" w:color="auto"/>
        <w:bottom w:val="none" w:sz="0" w:space="0" w:color="auto"/>
        <w:right w:val="none" w:sz="0" w:space="0" w:color="auto"/>
      </w:divBdr>
    </w:div>
    <w:div w:id="1797680502">
      <w:bodyDiv w:val="1"/>
      <w:marLeft w:val="0"/>
      <w:marRight w:val="0"/>
      <w:marTop w:val="0"/>
      <w:marBottom w:val="0"/>
      <w:divBdr>
        <w:top w:val="none" w:sz="0" w:space="0" w:color="auto"/>
        <w:left w:val="none" w:sz="0" w:space="0" w:color="auto"/>
        <w:bottom w:val="none" w:sz="0" w:space="0" w:color="auto"/>
        <w:right w:val="none" w:sz="0" w:space="0" w:color="auto"/>
      </w:divBdr>
    </w:div>
    <w:div w:id="1824930731">
      <w:bodyDiv w:val="1"/>
      <w:marLeft w:val="0"/>
      <w:marRight w:val="0"/>
      <w:marTop w:val="0"/>
      <w:marBottom w:val="0"/>
      <w:divBdr>
        <w:top w:val="none" w:sz="0" w:space="0" w:color="auto"/>
        <w:left w:val="none" w:sz="0" w:space="0" w:color="auto"/>
        <w:bottom w:val="none" w:sz="0" w:space="0" w:color="auto"/>
        <w:right w:val="none" w:sz="0" w:space="0" w:color="auto"/>
      </w:divBdr>
    </w:div>
    <w:div w:id="1857381032">
      <w:bodyDiv w:val="1"/>
      <w:marLeft w:val="0"/>
      <w:marRight w:val="0"/>
      <w:marTop w:val="0"/>
      <w:marBottom w:val="0"/>
      <w:divBdr>
        <w:top w:val="none" w:sz="0" w:space="0" w:color="auto"/>
        <w:left w:val="none" w:sz="0" w:space="0" w:color="auto"/>
        <w:bottom w:val="none" w:sz="0" w:space="0" w:color="auto"/>
        <w:right w:val="none" w:sz="0" w:space="0" w:color="auto"/>
      </w:divBdr>
    </w:div>
    <w:div w:id="1879850611">
      <w:bodyDiv w:val="1"/>
      <w:marLeft w:val="0"/>
      <w:marRight w:val="0"/>
      <w:marTop w:val="0"/>
      <w:marBottom w:val="0"/>
      <w:divBdr>
        <w:top w:val="none" w:sz="0" w:space="0" w:color="auto"/>
        <w:left w:val="none" w:sz="0" w:space="0" w:color="auto"/>
        <w:bottom w:val="none" w:sz="0" w:space="0" w:color="auto"/>
        <w:right w:val="none" w:sz="0" w:space="0" w:color="auto"/>
      </w:divBdr>
    </w:div>
    <w:div w:id="1892184054">
      <w:bodyDiv w:val="1"/>
      <w:marLeft w:val="0"/>
      <w:marRight w:val="0"/>
      <w:marTop w:val="0"/>
      <w:marBottom w:val="0"/>
      <w:divBdr>
        <w:top w:val="none" w:sz="0" w:space="0" w:color="auto"/>
        <w:left w:val="none" w:sz="0" w:space="0" w:color="auto"/>
        <w:bottom w:val="none" w:sz="0" w:space="0" w:color="auto"/>
        <w:right w:val="none" w:sz="0" w:space="0" w:color="auto"/>
      </w:divBdr>
    </w:div>
    <w:div w:id="1897735885">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10576441">
      <w:bodyDiv w:val="1"/>
      <w:marLeft w:val="0"/>
      <w:marRight w:val="0"/>
      <w:marTop w:val="0"/>
      <w:marBottom w:val="0"/>
      <w:divBdr>
        <w:top w:val="none" w:sz="0" w:space="0" w:color="auto"/>
        <w:left w:val="none" w:sz="0" w:space="0" w:color="auto"/>
        <w:bottom w:val="none" w:sz="0" w:space="0" w:color="auto"/>
        <w:right w:val="none" w:sz="0" w:space="0" w:color="auto"/>
      </w:divBdr>
    </w:div>
    <w:div w:id="1922831475">
      <w:bodyDiv w:val="1"/>
      <w:marLeft w:val="0"/>
      <w:marRight w:val="0"/>
      <w:marTop w:val="0"/>
      <w:marBottom w:val="0"/>
      <w:divBdr>
        <w:top w:val="none" w:sz="0" w:space="0" w:color="auto"/>
        <w:left w:val="none" w:sz="0" w:space="0" w:color="auto"/>
        <w:bottom w:val="none" w:sz="0" w:space="0" w:color="auto"/>
        <w:right w:val="none" w:sz="0" w:space="0" w:color="auto"/>
      </w:divBdr>
    </w:div>
    <w:div w:id="1931693996">
      <w:bodyDiv w:val="1"/>
      <w:marLeft w:val="0"/>
      <w:marRight w:val="0"/>
      <w:marTop w:val="0"/>
      <w:marBottom w:val="0"/>
      <w:divBdr>
        <w:top w:val="none" w:sz="0" w:space="0" w:color="auto"/>
        <w:left w:val="none" w:sz="0" w:space="0" w:color="auto"/>
        <w:bottom w:val="none" w:sz="0" w:space="0" w:color="auto"/>
        <w:right w:val="none" w:sz="0" w:space="0" w:color="auto"/>
      </w:divBdr>
    </w:div>
    <w:div w:id="1933850039">
      <w:bodyDiv w:val="1"/>
      <w:marLeft w:val="0"/>
      <w:marRight w:val="0"/>
      <w:marTop w:val="0"/>
      <w:marBottom w:val="0"/>
      <w:divBdr>
        <w:top w:val="none" w:sz="0" w:space="0" w:color="auto"/>
        <w:left w:val="none" w:sz="0" w:space="0" w:color="auto"/>
        <w:bottom w:val="none" w:sz="0" w:space="0" w:color="auto"/>
        <w:right w:val="none" w:sz="0" w:space="0" w:color="auto"/>
      </w:divBdr>
    </w:div>
    <w:div w:id="1952006408">
      <w:bodyDiv w:val="1"/>
      <w:marLeft w:val="0"/>
      <w:marRight w:val="0"/>
      <w:marTop w:val="0"/>
      <w:marBottom w:val="0"/>
      <w:divBdr>
        <w:top w:val="none" w:sz="0" w:space="0" w:color="auto"/>
        <w:left w:val="none" w:sz="0" w:space="0" w:color="auto"/>
        <w:bottom w:val="none" w:sz="0" w:space="0" w:color="auto"/>
        <w:right w:val="none" w:sz="0" w:space="0" w:color="auto"/>
      </w:divBdr>
    </w:div>
    <w:div w:id="1967732236">
      <w:bodyDiv w:val="1"/>
      <w:marLeft w:val="0"/>
      <w:marRight w:val="0"/>
      <w:marTop w:val="0"/>
      <w:marBottom w:val="0"/>
      <w:divBdr>
        <w:top w:val="none" w:sz="0" w:space="0" w:color="auto"/>
        <w:left w:val="none" w:sz="0" w:space="0" w:color="auto"/>
        <w:bottom w:val="none" w:sz="0" w:space="0" w:color="auto"/>
        <w:right w:val="none" w:sz="0" w:space="0" w:color="auto"/>
      </w:divBdr>
    </w:div>
    <w:div w:id="1971786086">
      <w:bodyDiv w:val="1"/>
      <w:marLeft w:val="0"/>
      <w:marRight w:val="0"/>
      <w:marTop w:val="0"/>
      <w:marBottom w:val="0"/>
      <w:divBdr>
        <w:top w:val="none" w:sz="0" w:space="0" w:color="auto"/>
        <w:left w:val="none" w:sz="0" w:space="0" w:color="auto"/>
        <w:bottom w:val="none" w:sz="0" w:space="0" w:color="auto"/>
        <w:right w:val="none" w:sz="0" w:space="0" w:color="auto"/>
      </w:divBdr>
    </w:div>
    <w:div w:id="1978560706">
      <w:bodyDiv w:val="1"/>
      <w:marLeft w:val="0"/>
      <w:marRight w:val="0"/>
      <w:marTop w:val="0"/>
      <w:marBottom w:val="0"/>
      <w:divBdr>
        <w:top w:val="none" w:sz="0" w:space="0" w:color="auto"/>
        <w:left w:val="none" w:sz="0" w:space="0" w:color="auto"/>
        <w:bottom w:val="none" w:sz="0" w:space="0" w:color="auto"/>
        <w:right w:val="none" w:sz="0" w:space="0" w:color="auto"/>
      </w:divBdr>
    </w:div>
    <w:div w:id="1986859173">
      <w:bodyDiv w:val="1"/>
      <w:marLeft w:val="0"/>
      <w:marRight w:val="0"/>
      <w:marTop w:val="0"/>
      <w:marBottom w:val="0"/>
      <w:divBdr>
        <w:top w:val="none" w:sz="0" w:space="0" w:color="auto"/>
        <w:left w:val="none" w:sz="0" w:space="0" w:color="auto"/>
        <w:bottom w:val="none" w:sz="0" w:space="0" w:color="auto"/>
        <w:right w:val="none" w:sz="0" w:space="0" w:color="auto"/>
      </w:divBdr>
    </w:div>
    <w:div w:id="1987664400">
      <w:bodyDiv w:val="1"/>
      <w:marLeft w:val="0"/>
      <w:marRight w:val="0"/>
      <w:marTop w:val="0"/>
      <w:marBottom w:val="0"/>
      <w:divBdr>
        <w:top w:val="none" w:sz="0" w:space="0" w:color="auto"/>
        <w:left w:val="none" w:sz="0" w:space="0" w:color="auto"/>
        <w:bottom w:val="none" w:sz="0" w:space="0" w:color="auto"/>
        <w:right w:val="none" w:sz="0" w:space="0" w:color="auto"/>
      </w:divBdr>
    </w:div>
    <w:div w:id="1992099675">
      <w:bodyDiv w:val="1"/>
      <w:marLeft w:val="0"/>
      <w:marRight w:val="0"/>
      <w:marTop w:val="0"/>
      <w:marBottom w:val="0"/>
      <w:divBdr>
        <w:top w:val="none" w:sz="0" w:space="0" w:color="auto"/>
        <w:left w:val="none" w:sz="0" w:space="0" w:color="auto"/>
        <w:bottom w:val="none" w:sz="0" w:space="0" w:color="auto"/>
        <w:right w:val="none" w:sz="0" w:space="0" w:color="auto"/>
      </w:divBdr>
    </w:div>
    <w:div w:id="1997757891">
      <w:bodyDiv w:val="1"/>
      <w:marLeft w:val="0"/>
      <w:marRight w:val="0"/>
      <w:marTop w:val="0"/>
      <w:marBottom w:val="0"/>
      <w:divBdr>
        <w:top w:val="none" w:sz="0" w:space="0" w:color="auto"/>
        <w:left w:val="none" w:sz="0" w:space="0" w:color="auto"/>
        <w:bottom w:val="none" w:sz="0" w:space="0" w:color="auto"/>
        <w:right w:val="none" w:sz="0" w:space="0" w:color="auto"/>
      </w:divBdr>
    </w:div>
    <w:div w:id="2010131895">
      <w:bodyDiv w:val="1"/>
      <w:marLeft w:val="0"/>
      <w:marRight w:val="0"/>
      <w:marTop w:val="0"/>
      <w:marBottom w:val="0"/>
      <w:divBdr>
        <w:top w:val="none" w:sz="0" w:space="0" w:color="auto"/>
        <w:left w:val="none" w:sz="0" w:space="0" w:color="auto"/>
        <w:bottom w:val="none" w:sz="0" w:space="0" w:color="auto"/>
        <w:right w:val="none" w:sz="0" w:space="0" w:color="auto"/>
      </w:divBdr>
    </w:div>
    <w:div w:id="2015298710">
      <w:bodyDiv w:val="1"/>
      <w:marLeft w:val="0"/>
      <w:marRight w:val="0"/>
      <w:marTop w:val="0"/>
      <w:marBottom w:val="0"/>
      <w:divBdr>
        <w:top w:val="none" w:sz="0" w:space="0" w:color="auto"/>
        <w:left w:val="none" w:sz="0" w:space="0" w:color="auto"/>
        <w:bottom w:val="none" w:sz="0" w:space="0" w:color="auto"/>
        <w:right w:val="none" w:sz="0" w:space="0" w:color="auto"/>
      </w:divBdr>
    </w:div>
    <w:div w:id="2017608304">
      <w:bodyDiv w:val="1"/>
      <w:marLeft w:val="0"/>
      <w:marRight w:val="0"/>
      <w:marTop w:val="0"/>
      <w:marBottom w:val="0"/>
      <w:divBdr>
        <w:top w:val="none" w:sz="0" w:space="0" w:color="auto"/>
        <w:left w:val="none" w:sz="0" w:space="0" w:color="auto"/>
        <w:bottom w:val="none" w:sz="0" w:space="0" w:color="auto"/>
        <w:right w:val="none" w:sz="0" w:space="0" w:color="auto"/>
      </w:divBdr>
      <w:divsChild>
        <w:div w:id="909539640">
          <w:marLeft w:val="0"/>
          <w:marRight w:val="0"/>
          <w:marTop w:val="0"/>
          <w:marBottom w:val="0"/>
          <w:divBdr>
            <w:top w:val="none" w:sz="0" w:space="0" w:color="auto"/>
            <w:left w:val="none" w:sz="0" w:space="0" w:color="auto"/>
            <w:bottom w:val="none" w:sz="0" w:space="0" w:color="auto"/>
            <w:right w:val="none" w:sz="0" w:space="0" w:color="auto"/>
          </w:divBdr>
          <w:divsChild>
            <w:div w:id="1738891866">
              <w:marLeft w:val="0"/>
              <w:marRight w:val="0"/>
              <w:marTop w:val="0"/>
              <w:marBottom w:val="0"/>
              <w:divBdr>
                <w:top w:val="none" w:sz="0" w:space="0" w:color="auto"/>
                <w:left w:val="none" w:sz="0" w:space="0" w:color="auto"/>
                <w:bottom w:val="none" w:sz="0" w:space="0" w:color="auto"/>
                <w:right w:val="none" w:sz="0" w:space="0" w:color="auto"/>
              </w:divBdr>
              <w:divsChild>
                <w:div w:id="440801988">
                  <w:marLeft w:val="0"/>
                  <w:marRight w:val="0"/>
                  <w:marTop w:val="0"/>
                  <w:marBottom w:val="0"/>
                  <w:divBdr>
                    <w:top w:val="none" w:sz="0" w:space="0" w:color="auto"/>
                    <w:left w:val="none" w:sz="0" w:space="0" w:color="auto"/>
                    <w:bottom w:val="none" w:sz="0" w:space="0" w:color="auto"/>
                    <w:right w:val="none" w:sz="0" w:space="0" w:color="auto"/>
                  </w:divBdr>
                  <w:divsChild>
                    <w:div w:id="818617276">
                      <w:marLeft w:val="0"/>
                      <w:marRight w:val="0"/>
                      <w:marTop w:val="0"/>
                      <w:marBottom w:val="0"/>
                      <w:divBdr>
                        <w:top w:val="single" w:sz="2" w:space="0" w:color="E2E2E2"/>
                        <w:left w:val="single" w:sz="2" w:space="15" w:color="E2E2E2"/>
                        <w:bottom w:val="single" w:sz="2" w:space="0" w:color="E2E2E2"/>
                        <w:right w:val="single" w:sz="2" w:space="15" w:color="E2E2E2"/>
                      </w:divBdr>
                      <w:divsChild>
                        <w:div w:id="666710421">
                          <w:marLeft w:val="0"/>
                          <w:marRight w:val="0"/>
                          <w:marTop w:val="0"/>
                          <w:marBottom w:val="0"/>
                          <w:divBdr>
                            <w:top w:val="none" w:sz="0" w:space="0" w:color="auto"/>
                            <w:left w:val="none" w:sz="0" w:space="0" w:color="auto"/>
                            <w:bottom w:val="none" w:sz="0" w:space="0" w:color="auto"/>
                            <w:right w:val="none" w:sz="0" w:space="0" w:color="auto"/>
                          </w:divBdr>
                          <w:divsChild>
                            <w:div w:id="306210407">
                              <w:marLeft w:val="0"/>
                              <w:marRight w:val="0"/>
                              <w:marTop w:val="0"/>
                              <w:marBottom w:val="0"/>
                              <w:divBdr>
                                <w:top w:val="none" w:sz="0" w:space="0" w:color="auto"/>
                                <w:left w:val="none" w:sz="0" w:space="0" w:color="auto"/>
                                <w:bottom w:val="none" w:sz="0" w:space="0" w:color="auto"/>
                                <w:right w:val="none" w:sz="0" w:space="0" w:color="auto"/>
                              </w:divBdr>
                              <w:divsChild>
                                <w:div w:id="1757095752">
                                  <w:marLeft w:val="0"/>
                                  <w:marRight w:val="0"/>
                                  <w:marTop w:val="0"/>
                                  <w:marBottom w:val="0"/>
                                  <w:divBdr>
                                    <w:top w:val="single" w:sz="6" w:space="0" w:color="DDDDDD"/>
                                    <w:left w:val="single" w:sz="6" w:space="8" w:color="DDDDDD"/>
                                    <w:bottom w:val="single" w:sz="6" w:space="8" w:color="DDDDDD"/>
                                    <w:right w:val="single" w:sz="6" w:space="8" w:color="DDDDDD"/>
                                  </w:divBdr>
                                  <w:divsChild>
                                    <w:div w:id="2066443805">
                                      <w:marLeft w:val="0"/>
                                      <w:marRight w:val="0"/>
                                      <w:marTop w:val="0"/>
                                      <w:marBottom w:val="0"/>
                                      <w:divBdr>
                                        <w:top w:val="none" w:sz="0" w:space="0" w:color="auto"/>
                                        <w:left w:val="none" w:sz="0" w:space="0" w:color="auto"/>
                                        <w:bottom w:val="none" w:sz="0" w:space="0" w:color="auto"/>
                                        <w:right w:val="none" w:sz="0" w:space="0" w:color="auto"/>
                                      </w:divBdr>
                                      <w:divsChild>
                                        <w:div w:id="1748068696">
                                          <w:marLeft w:val="0"/>
                                          <w:marRight w:val="0"/>
                                          <w:marTop w:val="0"/>
                                          <w:marBottom w:val="0"/>
                                          <w:divBdr>
                                            <w:top w:val="none" w:sz="0" w:space="0" w:color="auto"/>
                                            <w:left w:val="none" w:sz="0" w:space="0" w:color="auto"/>
                                            <w:bottom w:val="none" w:sz="0" w:space="0" w:color="auto"/>
                                            <w:right w:val="none" w:sz="0" w:space="0" w:color="auto"/>
                                          </w:divBdr>
                                          <w:divsChild>
                                            <w:div w:id="20474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333394">
      <w:bodyDiv w:val="1"/>
      <w:marLeft w:val="0"/>
      <w:marRight w:val="0"/>
      <w:marTop w:val="0"/>
      <w:marBottom w:val="0"/>
      <w:divBdr>
        <w:top w:val="none" w:sz="0" w:space="0" w:color="auto"/>
        <w:left w:val="none" w:sz="0" w:space="0" w:color="auto"/>
        <w:bottom w:val="none" w:sz="0" w:space="0" w:color="auto"/>
        <w:right w:val="none" w:sz="0" w:space="0" w:color="auto"/>
      </w:divBdr>
      <w:divsChild>
        <w:div w:id="504593860">
          <w:marLeft w:val="0"/>
          <w:marRight w:val="0"/>
          <w:marTop w:val="0"/>
          <w:marBottom w:val="0"/>
          <w:divBdr>
            <w:top w:val="none" w:sz="0" w:space="0" w:color="auto"/>
            <w:left w:val="none" w:sz="0" w:space="0" w:color="auto"/>
            <w:bottom w:val="none" w:sz="0" w:space="0" w:color="auto"/>
            <w:right w:val="none" w:sz="0" w:space="0" w:color="auto"/>
          </w:divBdr>
        </w:div>
      </w:divsChild>
    </w:div>
    <w:div w:id="2038579379">
      <w:bodyDiv w:val="1"/>
      <w:marLeft w:val="0"/>
      <w:marRight w:val="0"/>
      <w:marTop w:val="0"/>
      <w:marBottom w:val="0"/>
      <w:divBdr>
        <w:top w:val="none" w:sz="0" w:space="0" w:color="auto"/>
        <w:left w:val="none" w:sz="0" w:space="0" w:color="auto"/>
        <w:bottom w:val="none" w:sz="0" w:space="0" w:color="auto"/>
        <w:right w:val="none" w:sz="0" w:space="0" w:color="auto"/>
      </w:divBdr>
    </w:div>
    <w:div w:id="2039698102">
      <w:bodyDiv w:val="1"/>
      <w:marLeft w:val="0"/>
      <w:marRight w:val="0"/>
      <w:marTop w:val="0"/>
      <w:marBottom w:val="0"/>
      <w:divBdr>
        <w:top w:val="none" w:sz="0" w:space="0" w:color="auto"/>
        <w:left w:val="none" w:sz="0" w:space="0" w:color="auto"/>
        <w:bottom w:val="none" w:sz="0" w:space="0" w:color="auto"/>
        <w:right w:val="none" w:sz="0" w:space="0" w:color="auto"/>
      </w:divBdr>
    </w:div>
    <w:div w:id="2049525726">
      <w:bodyDiv w:val="1"/>
      <w:marLeft w:val="0"/>
      <w:marRight w:val="0"/>
      <w:marTop w:val="0"/>
      <w:marBottom w:val="0"/>
      <w:divBdr>
        <w:top w:val="none" w:sz="0" w:space="0" w:color="auto"/>
        <w:left w:val="none" w:sz="0" w:space="0" w:color="auto"/>
        <w:bottom w:val="none" w:sz="0" w:space="0" w:color="auto"/>
        <w:right w:val="none" w:sz="0" w:space="0" w:color="auto"/>
      </w:divBdr>
    </w:div>
    <w:div w:id="2062092079">
      <w:bodyDiv w:val="1"/>
      <w:marLeft w:val="0"/>
      <w:marRight w:val="0"/>
      <w:marTop w:val="0"/>
      <w:marBottom w:val="0"/>
      <w:divBdr>
        <w:top w:val="none" w:sz="0" w:space="0" w:color="auto"/>
        <w:left w:val="none" w:sz="0" w:space="0" w:color="auto"/>
        <w:bottom w:val="none" w:sz="0" w:space="0" w:color="auto"/>
        <w:right w:val="none" w:sz="0" w:space="0" w:color="auto"/>
      </w:divBdr>
    </w:div>
    <w:div w:id="2071490705">
      <w:bodyDiv w:val="1"/>
      <w:marLeft w:val="0"/>
      <w:marRight w:val="0"/>
      <w:marTop w:val="0"/>
      <w:marBottom w:val="0"/>
      <w:divBdr>
        <w:top w:val="none" w:sz="0" w:space="0" w:color="auto"/>
        <w:left w:val="none" w:sz="0" w:space="0" w:color="auto"/>
        <w:bottom w:val="none" w:sz="0" w:space="0" w:color="auto"/>
        <w:right w:val="none" w:sz="0" w:space="0" w:color="auto"/>
      </w:divBdr>
    </w:div>
    <w:div w:id="2081175199">
      <w:bodyDiv w:val="1"/>
      <w:marLeft w:val="0"/>
      <w:marRight w:val="0"/>
      <w:marTop w:val="0"/>
      <w:marBottom w:val="0"/>
      <w:divBdr>
        <w:top w:val="none" w:sz="0" w:space="0" w:color="auto"/>
        <w:left w:val="none" w:sz="0" w:space="0" w:color="auto"/>
        <w:bottom w:val="none" w:sz="0" w:space="0" w:color="auto"/>
        <w:right w:val="none" w:sz="0" w:space="0" w:color="auto"/>
      </w:divBdr>
    </w:div>
    <w:div w:id="2086685534">
      <w:bodyDiv w:val="1"/>
      <w:marLeft w:val="0"/>
      <w:marRight w:val="0"/>
      <w:marTop w:val="0"/>
      <w:marBottom w:val="0"/>
      <w:divBdr>
        <w:top w:val="none" w:sz="0" w:space="0" w:color="auto"/>
        <w:left w:val="none" w:sz="0" w:space="0" w:color="auto"/>
        <w:bottom w:val="none" w:sz="0" w:space="0" w:color="auto"/>
        <w:right w:val="none" w:sz="0" w:space="0" w:color="auto"/>
      </w:divBdr>
    </w:div>
    <w:div w:id="2092505815">
      <w:bodyDiv w:val="1"/>
      <w:marLeft w:val="0"/>
      <w:marRight w:val="0"/>
      <w:marTop w:val="0"/>
      <w:marBottom w:val="0"/>
      <w:divBdr>
        <w:top w:val="none" w:sz="0" w:space="0" w:color="auto"/>
        <w:left w:val="none" w:sz="0" w:space="0" w:color="auto"/>
        <w:bottom w:val="none" w:sz="0" w:space="0" w:color="auto"/>
        <w:right w:val="none" w:sz="0" w:space="0" w:color="auto"/>
      </w:divBdr>
    </w:div>
    <w:div w:id="2097970403">
      <w:bodyDiv w:val="1"/>
      <w:marLeft w:val="0"/>
      <w:marRight w:val="0"/>
      <w:marTop w:val="0"/>
      <w:marBottom w:val="0"/>
      <w:divBdr>
        <w:top w:val="none" w:sz="0" w:space="0" w:color="auto"/>
        <w:left w:val="none" w:sz="0" w:space="0" w:color="auto"/>
        <w:bottom w:val="none" w:sz="0" w:space="0" w:color="auto"/>
        <w:right w:val="none" w:sz="0" w:space="0" w:color="auto"/>
      </w:divBdr>
    </w:div>
    <w:div w:id="2098741898">
      <w:bodyDiv w:val="1"/>
      <w:marLeft w:val="0"/>
      <w:marRight w:val="0"/>
      <w:marTop w:val="0"/>
      <w:marBottom w:val="0"/>
      <w:divBdr>
        <w:top w:val="none" w:sz="0" w:space="0" w:color="auto"/>
        <w:left w:val="none" w:sz="0" w:space="0" w:color="auto"/>
        <w:bottom w:val="none" w:sz="0" w:space="0" w:color="auto"/>
        <w:right w:val="none" w:sz="0" w:space="0" w:color="auto"/>
      </w:divBdr>
    </w:div>
    <w:div w:id="2100061420">
      <w:bodyDiv w:val="1"/>
      <w:marLeft w:val="0"/>
      <w:marRight w:val="0"/>
      <w:marTop w:val="0"/>
      <w:marBottom w:val="0"/>
      <w:divBdr>
        <w:top w:val="none" w:sz="0" w:space="0" w:color="auto"/>
        <w:left w:val="none" w:sz="0" w:space="0" w:color="auto"/>
        <w:bottom w:val="none" w:sz="0" w:space="0" w:color="auto"/>
        <w:right w:val="none" w:sz="0" w:space="0" w:color="auto"/>
      </w:divBdr>
    </w:div>
    <w:div w:id="2107071139">
      <w:bodyDiv w:val="1"/>
      <w:marLeft w:val="0"/>
      <w:marRight w:val="0"/>
      <w:marTop w:val="0"/>
      <w:marBottom w:val="0"/>
      <w:divBdr>
        <w:top w:val="none" w:sz="0" w:space="0" w:color="auto"/>
        <w:left w:val="none" w:sz="0" w:space="0" w:color="auto"/>
        <w:bottom w:val="none" w:sz="0" w:space="0" w:color="auto"/>
        <w:right w:val="none" w:sz="0" w:space="0" w:color="auto"/>
      </w:divBdr>
    </w:div>
    <w:div w:id="2110157211">
      <w:bodyDiv w:val="1"/>
      <w:marLeft w:val="0"/>
      <w:marRight w:val="0"/>
      <w:marTop w:val="0"/>
      <w:marBottom w:val="0"/>
      <w:divBdr>
        <w:top w:val="none" w:sz="0" w:space="0" w:color="auto"/>
        <w:left w:val="none" w:sz="0" w:space="0" w:color="auto"/>
        <w:bottom w:val="none" w:sz="0" w:space="0" w:color="auto"/>
        <w:right w:val="none" w:sz="0" w:space="0" w:color="auto"/>
      </w:divBdr>
    </w:div>
    <w:div w:id="2113282092">
      <w:bodyDiv w:val="1"/>
      <w:marLeft w:val="0"/>
      <w:marRight w:val="0"/>
      <w:marTop w:val="0"/>
      <w:marBottom w:val="0"/>
      <w:divBdr>
        <w:top w:val="none" w:sz="0" w:space="0" w:color="auto"/>
        <w:left w:val="none" w:sz="0" w:space="0" w:color="auto"/>
        <w:bottom w:val="none" w:sz="0" w:space="0" w:color="auto"/>
        <w:right w:val="none" w:sz="0" w:space="0" w:color="auto"/>
      </w:divBdr>
    </w:div>
    <w:div w:id="2117016634">
      <w:bodyDiv w:val="1"/>
      <w:marLeft w:val="0"/>
      <w:marRight w:val="0"/>
      <w:marTop w:val="0"/>
      <w:marBottom w:val="0"/>
      <w:divBdr>
        <w:top w:val="none" w:sz="0" w:space="0" w:color="auto"/>
        <w:left w:val="none" w:sz="0" w:space="0" w:color="auto"/>
        <w:bottom w:val="none" w:sz="0" w:space="0" w:color="auto"/>
        <w:right w:val="none" w:sz="0" w:space="0" w:color="auto"/>
      </w:divBdr>
    </w:div>
    <w:div w:id="2146459054">
      <w:bodyDiv w:val="1"/>
      <w:marLeft w:val="0"/>
      <w:marRight w:val="0"/>
      <w:marTop w:val="0"/>
      <w:marBottom w:val="0"/>
      <w:divBdr>
        <w:top w:val="none" w:sz="0" w:space="0" w:color="auto"/>
        <w:left w:val="none" w:sz="0" w:space="0" w:color="auto"/>
        <w:bottom w:val="none" w:sz="0" w:space="0" w:color="auto"/>
        <w:right w:val="none" w:sz="0" w:space="0" w:color="auto"/>
      </w:divBdr>
    </w:div>
    <w:div w:id="214716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emf"/><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21.emf"/></Relationships>
</file>

<file path=word/_rels/footnotes.xml.rels><?xml version="1.0" encoding="UTF-8" standalone="yes"?>
<Relationships xmlns="http://schemas.openxmlformats.org/package/2006/relationships"><Relationship Id="rId1" Type="http://schemas.openxmlformats.org/officeDocument/2006/relationships/hyperlink" Target="https://www.paho.org/es/temas/etiquetado-fron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302AB81163B74BBBFA108117F0F75D" ma:contentTypeVersion="12" ma:contentTypeDescription="Crear nuevo documento." ma:contentTypeScope="" ma:versionID="804d0836b742fb1b0682c6484a3875c6">
  <xsd:schema xmlns:xsd="http://www.w3.org/2001/XMLSchema" xmlns:xs="http://www.w3.org/2001/XMLSchema" xmlns:p="http://schemas.microsoft.com/office/2006/metadata/properties" xmlns:ns3="31719012-82ca-4d06-8bb2-f88247085280" xmlns:ns4="1c864706-809d-434d-885f-dfd3d3d54863" targetNamespace="http://schemas.microsoft.com/office/2006/metadata/properties" ma:root="true" ma:fieldsID="a8554d487ec1981f3132586ad65a42cc" ns3:_="" ns4:_="">
    <xsd:import namespace="31719012-82ca-4d06-8bb2-f88247085280"/>
    <xsd:import namespace="1c864706-809d-434d-885f-dfd3d3d5486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19012-82ca-4d06-8bb2-f88247085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64706-809d-434d-885f-dfd3d3d5486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R i b b o n E s t a t u s   x m l n s = " h t t p : / / s c h e m a s . o p e n x m l f o r m a t s . o r g / R i b b o n E s t a t u s " > < b t n A b r i r P l a n t i l l a s > < N a m e > b t n A b r i r P l a n t i l l a s < / N a m e > < E n a b l e > t r u e < / E n a b l e > < V i s i b l e > t r u e < / V i s i b l e > < / b t n A b r i r P l a n t i l l a s > < b t n O b t e n e r D a t o s > < N a m e > b t n O b t e n e r D a t o s < / N a m e > < E n a b l e > f a l s e < / E n a b l e > < V i s i b l e > t r u e < / V i s i b l e > < / b t n O b t e n e r D a t o s > < b t n M o s t r a r P l a n t i l l a s > < N a m e > b t n M o s t r a r P l a n t i l l a s < / N a m e > < E n a b l e > f a l s e < / E n a b l e > < V i s i b l e > t r u e < / V i s i b l e > < / b t n M o s t r a r P l a n t i l l a s > < b t n Q u i t a r E t i q u e t a s > < N a m e > b t n Q u i t a r E t i q u e t a s < / N a m e > < E n a b l e > f a l s e < / E n a b l e > < V i s i b l e > t r u e < / V i s i b l e > < / b t n Q u i t a r E t i q u e t a s > < g r o u p P l a n t i l l a s > < N a m e > g r o u p P l a n t i l l a s < / N a m e > < V i s i b l e > t r u e < / V i s i b l e > < / g r o u p P l a n t i l l a s > < g r o u p C e r r a r S e s i o n > < N a m e > g r o u p C e r r a r S e s i o n < / N a m e > < V i s i b l e > t r u e < / V i s i b l e > < / g r o u p C e r r a r S e s i o n > < / R i b b o n E s t a t u 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ABCC8-CD91-4214-9714-26ECC34B0BB1}">
  <ds:schemaRefs>
    <ds:schemaRef ds:uri="http://schemas.microsoft.com/sharepoint/v3/contenttype/forms"/>
  </ds:schemaRefs>
</ds:datastoreItem>
</file>

<file path=customXml/itemProps2.xml><?xml version="1.0" encoding="utf-8"?>
<ds:datastoreItem xmlns:ds="http://schemas.openxmlformats.org/officeDocument/2006/customXml" ds:itemID="{781F0370-B89E-407E-8D7A-DAD48DE32E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3199F7-C857-4779-A038-9A38290F1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19012-82ca-4d06-8bb2-f88247085280"/>
    <ds:schemaRef ds:uri="1c864706-809d-434d-885f-dfd3d3d5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E1984-A3D3-4B1F-AD94-2420D5BA430F}">
  <ds:schemaRefs>
    <ds:schemaRef ds:uri="http://schemas.openxmlformats.org/RibbonEstatus"/>
  </ds:schemaRefs>
</ds:datastoreItem>
</file>

<file path=customXml/itemProps5.xml><?xml version="1.0" encoding="utf-8"?>
<ds:datastoreItem xmlns:ds="http://schemas.openxmlformats.org/officeDocument/2006/customXml" ds:itemID="{50F2E56B-EC58-4435-8CB1-B2F49B3CC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40463</Words>
  <Characters>222549</Characters>
  <Application>Microsoft Office Word</Application>
  <DocSecurity>0</DocSecurity>
  <Lines>1854</Lines>
  <Paragraphs>524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JOSE AÑORVE FERNANDEZ</dc:creator>
  <cp:lastModifiedBy>Fernanda Rodriguez</cp:lastModifiedBy>
  <cp:revision>2</cp:revision>
  <cp:lastPrinted>2024-03-14T21:43:00Z</cp:lastPrinted>
  <dcterms:created xsi:type="dcterms:W3CDTF">2024-11-26T22:19:00Z</dcterms:created>
  <dcterms:modified xsi:type="dcterms:W3CDTF">2024-11-26T22:19:00Z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0x01010060302AB81163B74BBBFA108117F0F75D</vt:lpwstr>
  </property>
  <property fmtid="{D5CDD505-2E9C-101B-9397-08002B2CF9AE}" pid="3" name="_dlc_DocIdItemGuid">
    <vt:lpwstr>1f76e338-3bf5-429e-af96-c183aa649fa5</vt:lpwstr>
  </property>
</Properties>
</file>